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customXml/itemProps3.xml" ContentType="application/vnd.openxmlformats-officedocument.customXmlProperties+xml"/>
  <Override PartName="/customXml/itemProps1.xml" ContentType="application/vnd.openxmlformats-officedocument.customXmlProperties+xml"/>
  <Override PartName="/word/header16.xml" ContentType="application/vnd.openxmlformats-officedocument.wordprocessingml.header+xml"/>
  <Override PartName="/word/footer9.xml" ContentType="application/vnd.openxmlformats-officedocument.wordprocessingml.footer+xml"/>
  <Override PartName="/word/footer6.xml" ContentType="application/vnd.openxmlformats-officedocument.wordprocessingml.footer+xml"/>
  <Override PartName="/word/header14.xml" ContentType="application/vnd.openxmlformats-officedocument.wordprocessingml.header+xml"/>
  <Override PartName="/word/footer7.xml" ContentType="application/vnd.openxmlformats-officedocument.wordprocessingml.footer+xml"/>
  <Override PartName="/word/header15.xml" ContentType="application/vnd.openxmlformats-officedocument.wordprocessingml.header+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Default Extension="gif" ContentType="image/gif"/>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Default Extension="xlsx" ContentType="application/vnd.openxmlformats-officedocument.spreadsheetml.sheet"/>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Override PartName="/customXml/itemProps4.xml" ContentType="application/vnd.openxmlformats-officedocument.customXmlProperties+xml"/>
  <Default Extension="png" ContentType="image/png"/>
  <Override PartName="/word/header19.xml" ContentType="application/vnd.openxmlformats-officedocument.wordprocessingml.header+xml"/>
  <Override PartName="/customXml/itemProps2.xml" ContentType="application/vnd.openxmlformats-officedocument.customXmlProperties+xml"/>
  <Override PartName="/word/header17.xml" ContentType="application/vnd.openxmlformats-officedocument.wordprocessingml.header+xml"/>
  <Override PartName="/word/footer8.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Mriekatabuky"/>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1267"/>
        <w:gridCol w:w="6624"/>
        <w:gridCol w:w="1396"/>
      </w:tblGrid>
      <w:tr w:rsidR="00544A1F" w:rsidTr="007A461E">
        <w:tc>
          <w:tcPr>
            <w:tcW w:w="1101" w:type="dxa"/>
            <w:vAlign w:val="center"/>
          </w:tcPr>
          <w:p w:rsidR="00544A1F" w:rsidRDefault="00544A1F" w:rsidP="007A461E">
            <w:pPr>
              <w:ind w:left="0"/>
              <w:jc w:val="center"/>
              <w:rPr>
                <w:b/>
                <w:sz w:val="26"/>
                <w:szCs w:val="26"/>
              </w:rPr>
            </w:pPr>
            <w:r w:rsidRPr="0094437E">
              <w:rPr>
                <w:b/>
                <w:noProof/>
                <w:sz w:val="26"/>
                <w:szCs w:val="26"/>
              </w:rPr>
              <w:drawing>
                <wp:inline distT="0" distB="0" distL="0" distR="0">
                  <wp:extent cx="648000" cy="637875"/>
                  <wp:effectExtent l="19050" t="0" r="0" b="0"/>
                  <wp:docPr id="4" name="Obrázok 1" descr="D:\Dokumenty\Ulohy\Usual\2010\Okt-Dec_2010\Technická Revízia OPD_2\MDVRR Znak\mdvrr_znak_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kumenty\Ulohy\Usual\2010\Okt-Dec_2010\Technická Revízia OPD_2\MDVRR Znak\mdvrr_znak_logo.gif"/>
                          <pic:cNvPicPr>
                            <a:picLocks noChangeAspect="1" noChangeArrowheads="1"/>
                          </pic:cNvPicPr>
                        </pic:nvPicPr>
                        <pic:blipFill>
                          <a:blip r:embed="rId8" cstate="print"/>
                          <a:srcRect/>
                          <a:stretch>
                            <a:fillRect/>
                          </a:stretch>
                        </pic:blipFill>
                        <pic:spPr bwMode="auto">
                          <a:xfrm>
                            <a:off x="0" y="0"/>
                            <a:ext cx="648000" cy="637875"/>
                          </a:xfrm>
                          <a:prstGeom prst="rect">
                            <a:avLst/>
                          </a:prstGeom>
                          <a:noFill/>
                          <a:ln w="9525">
                            <a:noFill/>
                            <a:miter lim="800000"/>
                            <a:headEnd/>
                            <a:tailEnd/>
                          </a:ln>
                        </pic:spPr>
                      </pic:pic>
                    </a:graphicData>
                  </a:graphic>
                </wp:inline>
              </w:drawing>
            </w:r>
          </w:p>
        </w:tc>
        <w:tc>
          <w:tcPr>
            <w:tcW w:w="6804" w:type="dxa"/>
            <w:vAlign w:val="center"/>
          </w:tcPr>
          <w:p w:rsidR="00544A1F" w:rsidRDefault="00544A1F" w:rsidP="007A461E">
            <w:pPr>
              <w:spacing w:before="120"/>
              <w:ind w:left="0"/>
              <w:jc w:val="center"/>
              <w:rPr>
                <w:sz w:val="26"/>
                <w:szCs w:val="26"/>
              </w:rPr>
            </w:pPr>
            <w:r w:rsidRPr="0094437E">
              <w:rPr>
                <w:b/>
              </w:rPr>
              <w:t>Ministerstvo dopravy, výstavby a regionálneho rozvoja SR</w:t>
            </w:r>
            <w:r w:rsidRPr="000313A9">
              <w:rPr>
                <w:sz w:val="26"/>
                <w:szCs w:val="26"/>
              </w:rPr>
              <w:t xml:space="preserve"> </w:t>
            </w:r>
          </w:p>
          <w:p w:rsidR="00544A1F" w:rsidRDefault="00544A1F" w:rsidP="007A461E">
            <w:pPr>
              <w:spacing w:before="120"/>
              <w:ind w:left="0"/>
              <w:jc w:val="center"/>
            </w:pPr>
            <w:r w:rsidRPr="0094437E">
              <w:t xml:space="preserve">Riadiaci orgán </w:t>
            </w:r>
          </w:p>
          <w:p w:rsidR="00544A1F" w:rsidRPr="0094437E" w:rsidRDefault="00544A1F" w:rsidP="007A461E">
            <w:pPr>
              <w:spacing w:after="120"/>
              <w:ind w:left="0"/>
              <w:jc w:val="center"/>
            </w:pPr>
            <w:r w:rsidRPr="0094437E">
              <w:t>pre Operačný program Integrovaná infraštruktúra</w:t>
            </w:r>
          </w:p>
        </w:tc>
        <w:tc>
          <w:tcPr>
            <w:tcW w:w="1249" w:type="dxa"/>
            <w:vAlign w:val="center"/>
          </w:tcPr>
          <w:p w:rsidR="00544A1F" w:rsidRDefault="00544A1F" w:rsidP="007A461E">
            <w:pPr>
              <w:ind w:left="0"/>
              <w:jc w:val="center"/>
              <w:rPr>
                <w:b/>
                <w:sz w:val="26"/>
                <w:szCs w:val="26"/>
              </w:rPr>
            </w:pPr>
            <w:r w:rsidRPr="0094437E">
              <w:rPr>
                <w:b/>
                <w:noProof/>
                <w:sz w:val="26"/>
                <w:szCs w:val="26"/>
              </w:rPr>
              <w:drawing>
                <wp:inline distT="0" distB="0" distL="0" distR="0">
                  <wp:extent cx="729916" cy="504000"/>
                  <wp:effectExtent l="19050" t="0" r="0" b="0"/>
                  <wp:docPr id="2" name="Obrázok 3" descr="Logo_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EU"/>
                          <pic:cNvPicPr>
                            <a:picLocks noChangeAspect="1" noChangeArrowheads="1"/>
                          </pic:cNvPicPr>
                        </pic:nvPicPr>
                        <pic:blipFill>
                          <a:blip r:embed="rId9" cstate="print"/>
                          <a:srcRect/>
                          <a:stretch>
                            <a:fillRect/>
                          </a:stretch>
                        </pic:blipFill>
                        <pic:spPr bwMode="auto">
                          <a:xfrm>
                            <a:off x="0" y="0"/>
                            <a:ext cx="729916" cy="504000"/>
                          </a:xfrm>
                          <a:prstGeom prst="rect">
                            <a:avLst/>
                          </a:prstGeom>
                          <a:noFill/>
                          <a:ln w="9525">
                            <a:noFill/>
                            <a:miter lim="800000"/>
                            <a:headEnd/>
                            <a:tailEnd/>
                          </a:ln>
                        </pic:spPr>
                      </pic:pic>
                    </a:graphicData>
                  </a:graphic>
                </wp:inline>
              </w:drawing>
            </w:r>
          </w:p>
        </w:tc>
      </w:tr>
    </w:tbl>
    <w:p w:rsidR="00544A1F" w:rsidRPr="000313A9" w:rsidRDefault="00544A1F" w:rsidP="00544A1F">
      <w:pPr>
        <w:spacing w:before="120" w:after="240"/>
        <w:jc w:val="center"/>
        <w:rPr>
          <w:u w:val="single"/>
        </w:rPr>
      </w:pPr>
    </w:p>
    <w:p w:rsidR="00544A1F" w:rsidRPr="00EB4FEF" w:rsidRDefault="00544A1F" w:rsidP="00544A1F">
      <w:pPr>
        <w:spacing w:before="120"/>
        <w:jc w:val="center"/>
        <w:rPr>
          <w:b/>
        </w:rPr>
      </w:pPr>
      <w:r w:rsidRPr="00EB4FEF">
        <w:rPr>
          <w:b/>
        </w:rPr>
        <w:t>Ministerstvo financií SR</w:t>
      </w:r>
    </w:p>
    <w:p w:rsidR="00544A1F" w:rsidRPr="00EB4FEF" w:rsidRDefault="00544A1F" w:rsidP="00544A1F">
      <w:pPr>
        <w:spacing w:before="120"/>
        <w:jc w:val="center"/>
      </w:pPr>
      <w:r w:rsidRPr="00EB4FEF">
        <w:t xml:space="preserve">Sprostredkovateľský orgán pod riadiacim orgánom </w:t>
      </w:r>
    </w:p>
    <w:p w:rsidR="00544A1F" w:rsidRPr="00EB4FEF" w:rsidRDefault="00544A1F" w:rsidP="00544A1F">
      <w:pPr>
        <w:spacing w:after="240"/>
        <w:jc w:val="center"/>
      </w:pPr>
      <w:r w:rsidRPr="00EB4FEF">
        <w:t>pre Operačný program Integrovaná infraštruktúra</w:t>
      </w:r>
    </w:p>
    <w:p w:rsidR="00544A1F" w:rsidRPr="006F5951" w:rsidRDefault="00544A1F" w:rsidP="00544A1F">
      <w:pPr>
        <w:spacing w:before="120" w:after="240"/>
        <w:jc w:val="center"/>
        <w:rPr>
          <w:b/>
          <w:u w:val="single"/>
        </w:rPr>
      </w:pPr>
    </w:p>
    <w:p w:rsidR="00544A1F" w:rsidRDefault="00544A1F" w:rsidP="00544A1F">
      <w:pPr>
        <w:spacing w:before="120" w:after="240"/>
        <w:rPr>
          <w:b/>
          <w:u w:val="single"/>
        </w:rPr>
      </w:pPr>
    </w:p>
    <w:p w:rsidR="00544A1F" w:rsidRDefault="00544A1F" w:rsidP="00544A1F">
      <w:pPr>
        <w:spacing w:before="120" w:after="240"/>
        <w:rPr>
          <w:b/>
          <w:u w:val="single"/>
        </w:rPr>
      </w:pPr>
    </w:p>
    <w:p w:rsidR="00544A1F" w:rsidRDefault="00544A1F" w:rsidP="00544A1F">
      <w:pPr>
        <w:spacing w:before="120" w:after="240"/>
        <w:jc w:val="center"/>
      </w:pPr>
    </w:p>
    <w:p w:rsidR="00544A1F" w:rsidRDefault="00544A1F" w:rsidP="00544A1F">
      <w:pPr>
        <w:spacing w:before="120" w:after="240"/>
        <w:jc w:val="center"/>
      </w:pPr>
    </w:p>
    <w:p w:rsidR="00544A1F" w:rsidRDefault="00544A1F" w:rsidP="00544A1F">
      <w:pPr>
        <w:spacing w:before="120" w:after="240"/>
        <w:jc w:val="center"/>
      </w:pPr>
    </w:p>
    <w:p w:rsidR="00544A1F" w:rsidRPr="00A81B79" w:rsidRDefault="00544A1F" w:rsidP="00544A1F">
      <w:pPr>
        <w:spacing w:before="120" w:after="240"/>
        <w:jc w:val="center"/>
      </w:pPr>
      <w:r w:rsidRPr="00A81B79">
        <w:t>- Návrh -</w:t>
      </w:r>
    </w:p>
    <w:p w:rsidR="00544A1F" w:rsidRDefault="00544A1F" w:rsidP="00544A1F">
      <w:pPr>
        <w:jc w:val="center"/>
        <w:rPr>
          <w:rFonts w:ascii="Tahoma" w:hAnsi="Tahoma" w:cs="Tahoma"/>
          <w:b/>
          <w:sz w:val="40"/>
          <w:szCs w:val="40"/>
        </w:rPr>
      </w:pPr>
      <w:r>
        <w:rPr>
          <w:rFonts w:ascii="Tahoma" w:hAnsi="Tahoma" w:cs="Tahoma"/>
          <w:b/>
          <w:sz w:val="40"/>
          <w:szCs w:val="40"/>
        </w:rPr>
        <w:t xml:space="preserve">Operačný program </w:t>
      </w:r>
    </w:p>
    <w:p w:rsidR="00544A1F" w:rsidRPr="00034B9B" w:rsidRDefault="00544A1F" w:rsidP="00544A1F">
      <w:pPr>
        <w:jc w:val="center"/>
        <w:rPr>
          <w:rFonts w:ascii="Tahoma" w:hAnsi="Tahoma" w:cs="Tahoma"/>
          <w:b/>
          <w:sz w:val="34"/>
          <w:szCs w:val="34"/>
        </w:rPr>
      </w:pPr>
      <w:r>
        <w:rPr>
          <w:rFonts w:ascii="Tahoma" w:hAnsi="Tahoma" w:cs="Tahoma"/>
          <w:b/>
          <w:sz w:val="40"/>
          <w:szCs w:val="40"/>
        </w:rPr>
        <w:t>Integrovaná infraštruktúra 2014 - 2020</w:t>
      </w:r>
    </w:p>
    <w:p w:rsidR="00544A1F" w:rsidRPr="005D6636" w:rsidRDefault="00544A1F" w:rsidP="00544A1F">
      <w:pPr>
        <w:spacing w:before="120" w:after="240"/>
      </w:pPr>
    </w:p>
    <w:p w:rsidR="00544A1F" w:rsidRPr="005D6636" w:rsidRDefault="00544A1F" w:rsidP="00544A1F">
      <w:pPr>
        <w:spacing w:before="120" w:after="240"/>
      </w:pPr>
    </w:p>
    <w:p w:rsidR="00544A1F" w:rsidRDefault="00544A1F" w:rsidP="00544A1F">
      <w:pPr>
        <w:spacing w:before="120" w:after="240"/>
      </w:pPr>
    </w:p>
    <w:p w:rsidR="00544A1F" w:rsidRDefault="00544A1F" w:rsidP="00544A1F">
      <w:pPr>
        <w:tabs>
          <w:tab w:val="left" w:pos="1871"/>
        </w:tabs>
        <w:spacing w:before="120"/>
      </w:pPr>
    </w:p>
    <w:p w:rsidR="00544A1F" w:rsidRDefault="00544A1F" w:rsidP="00544A1F">
      <w:pPr>
        <w:tabs>
          <w:tab w:val="left" w:pos="1871"/>
        </w:tabs>
        <w:spacing w:before="120"/>
      </w:pPr>
    </w:p>
    <w:p w:rsidR="00544A1F" w:rsidRDefault="00544A1F" w:rsidP="00544A1F">
      <w:pPr>
        <w:tabs>
          <w:tab w:val="left" w:pos="1871"/>
        </w:tabs>
        <w:spacing w:before="120"/>
      </w:pPr>
    </w:p>
    <w:p w:rsidR="00544A1F" w:rsidRDefault="00544A1F" w:rsidP="00544A1F">
      <w:pPr>
        <w:tabs>
          <w:tab w:val="left" w:pos="1871"/>
        </w:tabs>
        <w:spacing w:before="120"/>
      </w:pPr>
    </w:p>
    <w:p w:rsidR="00544A1F" w:rsidRDefault="00544A1F" w:rsidP="00544A1F">
      <w:pPr>
        <w:tabs>
          <w:tab w:val="left" w:pos="1871"/>
        </w:tabs>
        <w:spacing w:before="120"/>
      </w:pPr>
    </w:p>
    <w:p w:rsidR="00544A1F" w:rsidRDefault="00544A1F" w:rsidP="00544A1F">
      <w:pPr>
        <w:tabs>
          <w:tab w:val="left" w:pos="1871"/>
        </w:tabs>
        <w:spacing w:before="120"/>
      </w:pPr>
    </w:p>
    <w:p w:rsidR="00544A1F" w:rsidRDefault="00544A1F" w:rsidP="00544A1F">
      <w:pPr>
        <w:tabs>
          <w:tab w:val="left" w:pos="1871"/>
        </w:tabs>
        <w:spacing w:before="120"/>
      </w:pPr>
    </w:p>
    <w:p w:rsidR="00544A1F" w:rsidRDefault="00544A1F" w:rsidP="00544A1F">
      <w:pPr>
        <w:tabs>
          <w:tab w:val="left" w:pos="1871"/>
        </w:tabs>
        <w:spacing w:before="120"/>
      </w:pPr>
    </w:p>
    <w:p w:rsidR="00544A1F" w:rsidRDefault="00544A1F" w:rsidP="00544A1F">
      <w:pPr>
        <w:tabs>
          <w:tab w:val="left" w:pos="1871"/>
        </w:tabs>
        <w:spacing w:before="120"/>
        <w:jc w:val="center"/>
      </w:pPr>
    </w:p>
    <w:p w:rsidR="00544A1F" w:rsidRDefault="00544A1F" w:rsidP="00544A1F">
      <w:pPr>
        <w:tabs>
          <w:tab w:val="left" w:pos="1871"/>
        </w:tabs>
        <w:spacing w:before="120"/>
        <w:jc w:val="center"/>
      </w:pPr>
    </w:p>
    <w:p w:rsidR="00544A1F" w:rsidRDefault="00FA4C5A" w:rsidP="00544A1F">
      <w:pPr>
        <w:tabs>
          <w:tab w:val="left" w:pos="1871"/>
        </w:tabs>
        <w:spacing w:before="120"/>
        <w:jc w:val="center"/>
      </w:pPr>
      <w:r>
        <w:t xml:space="preserve">Bratislava 16. </w:t>
      </w:r>
      <w:r w:rsidR="00E3616E">
        <w:t>apríl</w:t>
      </w:r>
      <w:r>
        <w:t>a</w:t>
      </w:r>
      <w:r w:rsidR="00544A1F">
        <w:t xml:space="preserve"> 2014</w:t>
      </w:r>
    </w:p>
    <w:p w:rsidR="00544A1F" w:rsidRDefault="00544A1F" w:rsidP="00544A1F">
      <w:pPr>
        <w:pStyle w:val="Hlavikaobsahu"/>
        <w:spacing w:before="0"/>
        <w:sectPr w:rsidR="00544A1F" w:rsidSect="00ED5953">
          <w:headerReference w:type="default" r:id="rId10"/>
          <w:footerReference w:type="default" r:id="rId11"/>
          <w:pgSz w:w="11906" w:h="16838"/>
          <w:pgMar w:top="1531" w:right="1361" w:bottom="1304" w:left="1474" w:header="709" w:footer="709" w:gutter="0"/>
          <w:cols w:space="708"/>
          <w:docGrid w:linePitch="360"/>
        </w:sectPr>
      </w:pPr>
    </w:p>
    <w:sdt>
      <w:sdtPr>
        <w:rPr>
          <w:rFonts w:ascii="Times New Roman" w:eastAsia="Times New Roman" w:hAnsi="Times New Roman" w:cs="Times New Roman"/>
          <w:b w:val="0"/>
          <w:bCs w:val="0"/>
          <w:color w:val="auto"/>
          <w:sz w:val="24"/>
          <w:szCs w:val="24"/>
          <w:lang w:eastAsia="sk-SK"/>
        </w:rPr>
        <w:id w:val="78374576"/>
        <w:docPartObj>
          <w:docPartGallery w:val="Table of Contents"/>
          <w:docPartUnique/>
        </w:docPartObj>
      </w:sdtPr>
      <w:sdtContent>
        <w:p w:rsidR="00717C03" w:rsidRDefault="00717C03" w:rsidP="00544A1F">
          <w:pPr>
            <w:pStyle w:val="Hlavikaobsahu"/>
            <w:pBdr>
              <w:bottom w:val="none" w:sz="0" w:space="0" w:color="auto"/>
            </w:pBdr>
            <w:spacing w:before="0"/>
          </w:pPr>
          <w:r>
            <w:t>Obsah</w:t>
          </w:r>
        </w:p>
        <w:p w:rsidR="00FA4C5A" w:rsidRDefault="00B75FBB">
          <w:pPr>
            <w:pStyle w:val="Obsah1"/>
            <w:rPr>
              <w:rFonts w:asciiTheme="minorHAnsi" w:eastAsiaTheme="minorEastAsia" w:hAnsiTheme="minorHAnsi" w:cstheme="minorBidi"/>
              <w:b w:val="0"/>
              <w:bCs w:val="0"/>
              <w:caps w:val="0"/>
              <w:szCs w:val="22"/>
            </w:rPr>
          </w:pPr>
          <w:r w:rsidRPr="00B75FBB">
            <w:fldChar w:fldCharType="begin"/>
          </w:r>
          <w:r w:rsidR="00717C03">
            <w:instrText xml:space="preserve"> TOC \o "1-3" \h \z \u </w:instrText>
          </w:r>
          <w:r w:rsidRPr="00B75FBB">
            <w:fldChar w:fldCharType="separate"/>
          </w:r>
          <w:hyperlink w:anchor="_Toc385310671" w:history="1">
            <w:r w:rsidR="00FA4C5A" w:rsidRPr="0047094D">
              <w:rPr>
                <w:rStyle w:val="Hypertextovprepojenie"/>
              </w:rPr>
              <w:t>1</w:t>
            </w:r>
            <w:r w:rsidR="00FA4C5A">
              <w:rPr>
                <w:rFonts w:asciiTheme="minorHAnsi" w:eastAsiaTheme="minorEastAsia" w:hAnsiTheme="minorHAnsi" w:cstheme="minorBidi"/>
                <w:b w:val="0"/>
                <w:bCs w:val="0"/>
                <w:caps w:val="0"/>
                <w:szCs w:val="22"/>
              </w:rPr>
              <w:tab/>
            </w:r>
            <w:r w:rsidR="00FA4C5A" w:rsidRPr="0047094D">
              <w:rPr>
                <w:rStyle w:val="Hypertextovprepojenie"/>
              </w:rPr>
              <w:t>Stratégia operačného programu</w:t>
            </w:r>
            <w:r w:rsidR="00FA4C5A">
              <w:rPr>
                <w:webHidden/>
              </w:rPr>
              <w:tab/>
            </w:r>
            <w:r>
              <w:rPr>
                <w:webHidden/>
              </w:rPr>
              <w:fldChar w:fldCharType="begin"/>
            </w:r>
            <w:r w:rsidR="00FA4C5A">
              <w:rPr>
                <w:webHidden/>
              </w:rPr>
              <w:instrText xml:space="preserve"> PAGEREF _Toc385310671 \h </w:instrText>
            </w:r>
            <w:r>
              <w:rPr>
                <w:webHidden/>
              </w:rPr>
            </w:r>
            <w:r>
              <w:rPr>
                <w:webHidden/>
              </w:rPr>
              <w:fldChar w:fldCharType="separate"/>
            </w:r>
            <w:r w:rsidR="00FA4C5A">
              <w:rPr>
                <w:webHidden/>
              </w:rPr>
              <w:t>7</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672" w:history="1">
            <w:r w:rsidR="00FA4C5A" w:rsidRPr="0047094D">
              <w:rPr>
                <w:rStyle w:val="Hypertextovprepojenie"/>
                <w:noProof/>
              </w:rPr>
              <w:t>1.1</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Stratégia OP pre príspevok k stratégii EÚ pre inteligentný, udržateľný a inkluzívny rast a na dosiahnutie ekonomickej, sociálnej a územnej súdržnosti</w:t>
            </w:r>
            <w:r w:rsidR="00FA4C5A">
              <w:rPr>
                <w:noProof/>
                <w:webHidden/>
              </w:rPr>
              <w:tab/>
            </w:r>
            <w:r>
              <w:rPr>
                <w:noProof/>
                <w:webHidden/>
              </w:rPr>
              <w:fldChar w:fldCharType="begin"/>
            </w:r>
            <w:r w:rsidR="00FA4C5A">
              <w:rPr>
                <w:noProof/>
                <w:webHidden/>
              </w:rPr>
              <w:instrText xml:space="preserve"> PAGEREF _Toc385310672 \h </w:instrText>
            </w:r>
            <w:r>
              <w:rPr>
                <w:noProof/>
                <w:webHidden/>
              </w:rPr>
            </w:r>
            <w:r>
              <w:rPr>
                <w:noProof/>
                <w:webHidden/>
              </w:rPr>
              <w:fldChar w:fldCharType="separate"/>
            </w:r>
            <w:r w:rsidR="00FA4C5A">
              <w:rPr>
                <w:noProof/>
                <w:webHidden/>
              </w:rPr>
              <w:t>7</w:t>
            </w:r>
            <w:r>
              <w:rPr>
                <w:noProof/>
                <w:webHidden/>
              </w:rPr>
              <w:fldChar w:fldCharType="end"/>
            </w:r>
          </w:hyperlink>
        </w:p>
        <w:p w:rsidR="00FA4C5A" w:rsidRDefault="00B75FBB">
          <w:pPr>
            <w:pStyle w:val="Obsah3"/>
            <w:rPr>
              <w:rFonts w:asciiTheme="minorHAnsi" w:eastAsiaTheme="minorEastAsia" w:hAnsiTheme="minorHAnsi" w:cstheme="minorBidi"/>
              <w:szCs w:val="22"/>
            </w:rPr>
          </w:pPr>
          <w:hyperlink w:anchor="_Toc385310673" w:history="1">
            <w:r w:rsidR="00FA4C5A" w:rsidRPr="0047094D">
              <w:rPr>
                <w:rStyle w:val="Hypertextovprepojenie"/>
              </w:rPr>
              <w:t>1.1.1</w:t>
            </w:r>
            <w:r w:rsidR="00FA4C5A">
              <w:rPr>
                <w:rFonts w:asciiTheme="minorHAnsi" w:eastAsiaTheme="minorEastAsia" w:hAnsiTheme="minorHAnsi" w:cstheme="minorBidi"/>
                <w:szCs w:val="22"/>
              </w:rPr>
              <w:tab/>
            </w:r>
            <w:r w:rsidR="00FA4C5A" w:rsidRPr="0047094D">
              <w:rPr>
                <w:rStyle w:val="Hypertextovprepojenie"/>
              </w:rPr>
              <w:t>Popis stratégie OP z hľadiska prínosu k stratégii Európa 2020 a k dosiahnutiu ekonomickej, sociálnej a územnej súdržnosti</w:t>
            </w:r>
            <w:r w:rsidR="00FA4C5A">
              <w:rPr>
                <w:webHidden/>
              </w:rPr>
              <w:tab/>
            </w:r>
            <w:r>
              <w:rPr>
                <w:webHidden/>
              </w:rPr>
              <w:fldChar w:fldCharType="begin"/>
            </w:r>
            <w:r w:rsidR="00FA4C5A">
              <w:rPr>
                <w:webHidden/>
              </w:rPr>
              <w:instrText xml:space="preserve"> PAGEREF _Toc385310673 \h </w:instrText>
            </w:r>
            <w:r>
              <w:rPr>
                <w:webHidden/>
              </w:rPr>
            </w:r>
            <w:r>
              <w:rPr>
                <w:webHidden/>
              </w:rPr>
              <w:fldChar w:fldCharType="separate"/>
            </w:r>
            <w:r w:rsidR="00FA4C5A">
              <w:rPr>
                <w:webHidden/>
              </w:rPr>
              <w:t>8</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74" w:history="1">
            <w:r w:rsidR="00FA4C5A" w:rsidRPr="0047094D">
              <w:rPr>
                <w:rStyle w:val="Hypertextovprepojenie"/>
              </w:rPr>
              <w:t>1.1.2</w:t>
            </w:r>
            <w:r w:rsidR="00FA4C5A">
              <w:rPr>
                <w:rFonts w:asciiTheme="minorHAnsi" w:eastAsiaTheme="minorEastAsia" w:hAnsiTheme="minorHAnsi" w:cstheme="minorBidi"/>
                <w:szCs w:val="22"/>
              </w:rPr>
              <w:tab/>
            </w:r>
            <w:r w:rsidR="00FA4C5A" w:rsidRPr="0047094D">
              <w:rPr>
                <w:rStyle w:val="Hypertextovprepojenie"/>
              </w:rPr>
              <w:t>Zdôvodnenie výberu tematických cieľov a príslušných investičných priorít</w:t>
            </w:r>
            <w:r w:rsidR="00FA4C5A">
              <w:rPr>
                <w:webHidden/>
              </w:rPr>
              <w:tab/>
            </w:r>
            <w:r>
              <w:rPr>
                <w:webHidden/>
              </w:rPr>
              <w:fldChar w:fldCharType="begin"/>
            </w:r>
            <w:r w:rsidR="00FA4C5A">
              <w:rPr>
                <w:webHidden/>
              </w:rPr>
              <w:instrText xml:space="preserve"> PAGEREF _Toc385310674 \h </w:instrText>
            </w:r>
            <w:r>
              <w:rPr>
                <w:webHidden/>
              </w:rPr>
            </w:r>
            <w:r>
              <w:rPr>
                <w:webHidden/>
              </w:rPr>
              <w:fldChar w:fldCharType="separate"/>
            </w:r>
            <w:r w:rsidR="00FA4C5A">
              <w:rPr>
                <w:webHidden/>
              </w:rPr>
              <w:t>17</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675" w:history="1">
            <w:r w:rsidR="00FA4C5A" w:rsidRPr="0047094D">
              <w:rPr>
                <w:rStyle w:val="Hypertextovprepojenie"/>
                <w:noProof/>
              </w:rPr>
              <w:t>1.2</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Zdôvodnenie finančnej alokácie OP</w:t>
            </w:r>
            <w:r w:rsidR="00FA4C5A">
              <w:rPr>
                <w:noProof/>
                <w:webHidden/>
              </w:rPr>
              <w:tab/>
            </w:r>
            <w:r>
              <w:rPr>
                <w:noProof/>
                <w:webHidden/>
              </w:rPr>
              <w:fldChar w:fldCharType="begin"/>
            </w:r>
            <w:r w:rsidR="00FA4C5A">
              <w:rPr>
                <w:noProof/>
                <w:webHidden/>
              </w:rPr>
              <w:instrText xml:space="preserve"> PAGEREF _Toc385310675 \h </w:instrText>
            </w:r>
            <w:r>
              <w:rPr>
                <w:noProof/>
                <w:webHidden/>
              </w:rPr>
            </w:r>
            <w:r>
              <w:rPr>
                <w:noProof/>
                <w:webHidden/>
              </w:rPr>
              <w:fldChar w:fldCharType="separate"/>
            </w:r>
            <w:r w:rsidR="00FA4C5A">
              <w:rPr>
                <w:noProof/>
                <w:webHidden/>
              </w:rPr>
              <w:t>19</w:t>
            </w:r>
            <w:r>
              <w:rPr>
                <w:noProof/>
                <w:webHidden/>
              </w:rPr>
              <w:fldChar w:fldCharType="end"/>
            </w:r>
          </w:hyperlink>
        </w:p>
        <w:p w:rsidR="00FA4C5A" w:rsidRDefault="00B75FBB">
          <w:pPr>
            <w:pStyle w:val="Obsah1"/>
            <w:rPr>
              <w:rFonts w:asciiTheme="minorHAnsi" w:eastAsiaTheme="minorEastAsia" w:hAnsiTheme="minorHAnsi" w:cstheme="minorBidi"/>
              <w:b w:val="0"/>
              <w:bCs w:val="0"/>
              <w:caps w:val="0"/>
              <w:szCs w:val="22"/>
            </w:rPr>
          </w:pPr>
          <w:hyperlink w:anchor="_Toc385310676" w:history="1">
            <w:r w:rsidR="00FA4C5A" w:rsidRPr="0047094D">
              <w:rPr>
                <w:rStyle w:val="Hypertextovprepojenie"/>
              </w:rPr>
              <w:t>2</w:t>
            </w:r>
            <w:r w:rsidR="00FA4C5A">
              <w:rPr>
                <w:rFonts w:asciiTheme="minorHAnsi" w:eastAsiaTheme="minorEastAsia" w:hAnsiTheme="minorHAnsi" w:cstheme="minorBidi"/>
                <w:b w:val="0"/>
                <w:bCs w:val="0"/>
                <w:caps w:val="0"/>
                <w:szCs w:val="22"/>
              </w:rPr>
              <w:tab/>
            </w:r>
            <w:r w:rsidR="00FA4C5A" w:rsidRPr="0047094D">
              <w:rPr>
                <w:rStyle w:val="Hypertextovprepojenie"/>
              </w:rPr>
              <w:t>Prioritné osi</w:t>
            </w:r>
            <w:r w:rsidR="00FA4C5A">
              <w:rPr>
                <w:webHidden/>
              </w:rPr>
              <w:tab/>
            </w:r>
            <w:r>
              <w:rPr>
                <w:webHidden/>
              </w:rPr>
              <w:fldChar w:fldCharType="begin"/>
            </w:r>
            <w:r w:rsidR="00FA4C5A">
              <w:rPr>
                <w:webHidden/>
              </w:rPr>
              <w:instrText xml:space="preserve"> PAGEREF _Toc385310676 \h </w:instrText>
            </w:r>
            <w:r>
              <w:rPr>
                <w:webHidden/>
              </w:rPr>
            </w:r>
            <w:r>
              <w:rPr>
                <w:webHidden/>
              </w:rPr>
              <w:fldChar w:fldCharType="separate"/>
            </w:r>
            <w:r w:rsidR="00FA4C5A">
              <w:rPr>
                <w:webHidden/>
              </w:rPr>
              <w:t>24</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677" w:history="1">
            <w:r w:rsidR="00FA4C5A" w:rsidRPr="0047094D">
              <w:rPr>
                <w:rStyle w:val="Hypertextovprepojenie"/>
                <w:noProof/>
              </w:rPr>
              <w:t>Popis prioritných osí okrem technickej pomoci</w:t>
            </w:r>
            <w:r w:rsidR="00FA4C5A">
              <w:rPr>
                <w:noProof/>
                <w:webHidden/>
              </w:rPr>
              <w:tab/>
            </w:r>
            <w:r>
              <w:rPr>
                <w:noProof/>
                <w:webHidden/>
              </w:rPr>
              <w:fldChar w:fldCharType="begin"/>
            </w:r>
            <w:r w:rsidR="00FA4C5A">
              <w:rPr>
                <w:noProof/>
                <w:webHidden/>
              </w:rPr>
              <w:instrText xml:space="preserve"> PAGEREF _Toc385310677 \h </w:instrText>
            </w:r>
            <w:r>
              <w:rPr>
                <w:noProof/>
                <w:webHidden/>
              </w:rPr>
            </w:r>
            <w:r>
              <w:rPr>
                <w:noProof/>
                <w:webHidden/>
              </w:rPr>
              <w:fldChar w:fldCharType="separate"/>
            </w:r>
            <w:r w:rsidR="00FA4C5A">
              <w:rPr>
                <w:noProof/>
                <w:webHidden/>
              </w:rPr>
              <w:t>24</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678" w:history="1">
            <w:r w:rsidR="00FA4C5A" w:rsidRPr="0047094D">
              <w:rPr>
                <w:rStyle w:val="Hypertextovprepojenie"/>
                <w:noProof/>
              </w:rPr>
              <w:t>2.1</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PRIORITNÁ OS 1: ŽELEZNIČNÁ INFRAŠTRUKTÚRA TEN-T CORE A OBNOVA MOBILNÝCH PROSTRIEDKOV</w:t>
            </w:r>
            <w:r w:rsidR="00FA4C5A">
              <w:rPr>
                <w:noProof/>
                <w:webHidden/>
              </w:rPr>
              <w:tab/>
            </w:r>
            <w:r>
              <w:rPr>
                <w:noProof/>
                <w:webHidden/>
              </w:rPr>
              <w:fldChar w:fldCharType="begin"/>
            </w:r>
            <w:r w:rsidR="00FA4C5A">
              <w:rPr>
                <w:noProof/>
                <w:webHidden/>
              </w:rPr>
              <w:instrText xml:space="preserve"> PAGEREF _Toc385310678 \h </w:instrText>
            </w:r>
            <w:r>
              <w:rPr>
                <w:noProof/>
                <w:webHidden/>
              </w:rPr>
            </w:r>
            <w:r>
              <w:rPr>
                <w:noProof/>
                <w:webHidden/>
              </w:rPr>
              <w:fldChar w:fldCharType="separate"/>
            </w:r>
            <w:r w:rsidR="00FA4C5A">
              <w:rPr>
                <w:noProof/>
                <w:webHidden/>
              </w:rPr>
              <w:t>24</w:t>
            </w:r>
            <w:r>
              <w:rPr>
                <w:noProof/>
                <w:webHidden/>
              </w:rPr>
              <w:fldChar w:fldCharType="end"/>
            </w:r>
          </w:hyperlink>
        </w:p>
        <w:p w:rsidR="00FA4C5A" w:rsidRDefault="00B75FBB">
          <w:pPr>
            <w:pStyle w:val="Obsah3"/>
            <w:rPr>
              <w:rFonts w:asciiTheme="minorHAnsi" w:eastAsiaTheme="minorEastAsia" w:hAnsiTheme="minorHAnsi" w:cstheme="minorBidi"/>
              <w:szCs w:val="22"/>
            </w:rPr>
          </w:pPr>
          <w:hyperlink w:anchor="_Toc385310679" w:history="1">
            <w:r w:rsidR="00FA4C5A" w:rsidRPr="0047094D">
              <w:rPr>
                <w:rStyle w:val="Hypertextovprepojenie"/>
              </w:rPr>
              <w:t>2.1.1</w:t>
            </w:r>
            <w:r w:rsidR="00FA4C5A">
              <w:rPr>
                <w:rFonts w:asciiTheme="minorHAnsi" w:eastAsiaTheme="minorEastAsia" w:hAnsiTheme="minorHAnsi" w:cstheme="minorBidi"/>
                <w:szCs w:val="22"/>
              </w:rPr>
              <w:tab/>
            </w:r>
            <w:r w:rsidR="00FA4C5A" w:rsidRPr="0047094D">
              <w:rPr>
                <w:rStyle w:val="Hypertextovprepojenie"/>
              </w:rPr>
              <w:t>Fond, kategória regiónu a základ pre výpočet podpory Únie</w:t>
            </w:r>
            <w:r w:rsidR="00FA4C5A">
              <w:rPr>
                <w:webHidden/>
              </w:rPr>
              <w:tab/>
            </w:r>
            <w:r>
              <w:rPr>
                <w:webHidden/>
              </w:rPr>
              <w:fldChar w:fldCharType="begin"/>
            </w:r>
            <w:r w:rsidR="00FA4C5A">
              <w:rPr>
                <w:webHidden/>
              </w:rPr>
              <w:instrText xml:space="preserve"> PAGEREF _Toc385310679 \h </w:instrText>
            </w:r>
            <w:r>
              <w:rPr>
                <w:webHidden/>
              </w:rPr>
            </w:r>
            <w:r>
              <w:rPr>
                <w:webHidden/>
              </w:rPr>
              <w:fldChar w:fldCharType="separate"/>
            </w:r>
            <w:r w:rsidR="00FA4C5A">
              <w:rPr>
                <w:webHidden/>
              </w:rPr>
              <w:t>24</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80" w:history="1">
            <w:r w:rsidR="00FA4C5A" w:rsidRPr="0047094D">
              <w:rPr>
                <w:rStyle w:val="Hypertextovprepojenie"/>
              </w:rPr>
              <w:t>2.1.2</w:t>
            </w:r>
            <w:r w:rsidR="00FA4C5A">
              <w:rPr>
                <w:rFonts w:asciiTheme="minorHAnsi" w:eastAsiaTheme="minorEastAsia" w:hAnsiTheme="minorHAnsi" w:cstheme="minorBidi"/>
                <w:szCs w:val="22"/>
              </w:rPr>
              <w:tab/>
            </w:r>
            <w:r w:rsidR="00FA4C5A" w:rsidRPr="0047094D">
              <w:rPr>
                <w:rStyle w:val="Hypertextovprepojenie"/>
              </w:rPr>
              <w:t>INVESTIČNÁ PRIORITA 7a): Podpora multimodálneho jednotného európskeho dopravného priestoru pomocou investícií do TEN-T</w:t>
            </w:r>
            <w:r w:rsidR="00FA4C5A">
              <w:rPr>
                <w:webHidden/>
              </w:rPr>
              <w:tab/>
            </w:r>
            <w:r>
              <w:rPr>
                <w:webHidden/>
              </w:rPr>
              <w:fldChar w:fldCharType="begin"/>
            </w:r>
            <w:r w:rsidR="00FA4C5A">
              <w:rPr>
                <w:webHidden/>
              </w:rPr>
              <w:instrText xml:space="preserve"> PAGEREF _Toc385310680 \h </w:instrText>
            </w:r>
            <w:r>
              <w:rPr>
                <w:webHidden/>
              </w:rPr>
            </w:r>
            <w:r>
              <w:rPr>
                <w:webHidden/>
              </w:rPr>
              <w:fldChar w:fldCharType="separate"/>
            </w:r>
            <w:r w:rsidR="00FA4C5A">
              <w:rPr>
                <w:webHidden/>
              </w:rPr>
              <w:t>24</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81" w:history="1">
            <w:r w:rsidR="00FA4C5A" w:rsidRPr="0047094D">
              <w:rPr>
                <w:rStyle w:val="Hypertextovprepojenie"/>
              </w:rPr>
              <w:t>2.1.3</w:t>
            </w:r>
            <w:r w:rsidR="00FA4C5A">
              <w:rPr>
                <w:rFonts w:asciiTheme="minorHAnsi" w:eastAsiaTheme="minorEastAsia" w:hAnsiTheme="minorHAnsi" w:cstheme="minorBidi"/>
                <w:szCs w:val="22"/>
              </w:rPr>
              <w:tab/>
            </w:r>
            <w:r w:rsidR="00FA4C5A" w:rsidRPr="0047094D">
              <w:rPr>
                <w:rStyle w:val="Hypertextovprepojenie"/>
              </w:rPr>
              <w:t>INVESTIČNÁ PRIORITA 7d): Vývoj a modernizácia komplexných, interoperabilných železničných systémov vysokej kvality a podpora opatrení na znižovanie hluku</w:t>
            </w:r>
            <w:r w:rsidR="00FA4C5A">
              <w:rPr>
                <w:webHidden/>
              </w:rPr>
              <w:tab/>
            </w:r>
            <w:r>
              <w:rPr>
                <w:webHidden/>
              </w:rPr>
              <w:fldChar w:fldCharType="begin"/>
            </w:r>
            <w:r w:rsidR="00FA4C5A">
              <w:rPr>
                <w:webHidden/>
              </w:rPr>
              <w:instrText xml:space="preserve"> PAGEREF _Toc385310681 \h </w:instrText>
            </w:r>
            <w:r>
              <w:rPr>
                <w:webHidden/>
              </w:rPr>
            </w:r>
            <w:r>
              <w:rPr>
                <w:webHidden/>
              </w:rPr>
              <w:fldChar w:fldCharType="separate"/>
            </w:r>
            <w:r w:rsidR="00FA4C5A">
              <w:rPr>
                <w:webHidden/>
              </w:rPr>
              <w:t>25</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82" w:history="1">
            <w:r w:rsidR="00FA4C5A" w:rsidRPr="0047094D">
              <w:rPr>
                <w:rStyle w:val="Hypertextovprepojenie"/>
              </w:rPr>
              <w:t>2.1.4</w:t>
            </w:r>
            <w:r w:rsidR="00FA4C5A">
              <w:rPr>
                <w:rFonts w:asciiTheme="minorHAnsi" w:eastAsiaTheme="minorEastAsia" w:hAnsiTheme="minorHAnsi" w:cstheme="minorBidi"/>
                <w:szCs w:val="22"/>
              </w:rPr>
              <w:tab/>
            </w:r>
            <w:r w:rsidR="00FA4C5A" w:rsidRPr="0047094D">
              <w:rPr>
                <w:rStyle w:val="Hypertextovprepojenie"/>
              </w:rPr>
              <w:t>Aktivity, ktoré budú podporené v rámci investičnej priority</w:t>
            </w:r>
            <w:r w:rsidR="00FA4C5A">
              <w:rPr>
                <w:webHidden/>
              </w:rPr>
              <w:tab/>
            </w:r>
            <w:r>
              <w:rPr>
                <w:webHidden/>
              </w:rPr>
              <w:fldChar w:fldCharType="begin"/>
            </w:r>
            <w:r w:rsidR="00FA4C5A">
              <w:rPr>
                <w:webHidden/>
              </w:rPr>
              <w:instrText xml:space="preserve"> PAGEREF _Toc385310682 \h </w:instrText>
            </w:r>
            <w:r>
              <w:rPr>
                <w:webHidden/>
              </w:rPr>
            </w:r>
            <w:r>
              <w:rPr>
                <w:webHidden/>
              </w:rPr>
              <w:fldChar w:fldCharType="separate"/>
            </w:r>
            <w:r w:rsidR="00FA4C5A">
              <w:rPr>
                <w:webHidden/>
              </w:rPr>
              <w:t>28</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83" w:history="1">
            <w:r w:rsidR="00FA4C5A" w:rsidRPr="0047094D">
              <w:rPr>
                <w:rStyle w:val="Hypertextovprepojenie"/>
              </w:rPr>
              <w:t>2.1.5</w:t>
            </w:r>
            <w:r w:rsidR="00FA4C5A">
              <w:rPr>
                <w:rFonts w:asciiTheme="minorHAnsi" w:eastAsiaTheme="minorEastAsia" w:hAnsiTheme="minorHAnsi" w:cstheme="minorBidi"/>
                <w:szCs w:val="22"/>
              </w:rPr>
              <w:tab/>
            </w:r>
            <w:r w:rsidR="00FA4C5A" w:rsidRPr="0047094D">
              <w:rPr>
                <w:rStyle w:val="Hypertextovprepojenie"/>
              </w:rPr>
              <w:t>Výkonnostný rámec prioritnej osi</w:t>
            </w:r>
            <w:r w:rsidR="00FA4C5A">
              <w:rPr>
                <w:webHidden/>
              </w:rPr>
              <w:tab/>
            </w:r>
            <w:r>
              <w:rPr>
                <w:webHidden/>
              </w:rPr>
              <w:fldChar w:fldCharType="begin"/>
            </w:r>
            <w:r w:rsidR="00FA4C5A">
              <w:rPr>
                <w:webHidden/>
              </w:rPr>
              <w:instrText xml:space="preserve"> PAGEREF _Toc385310683 \h </w:instrText>
            </w:r>
            <w:r>
              <w:rPr>
                <w:webHidden/>
              </w:rPr>
            </w:r>
            <w:r>
              <w:rPr>
                <w:webHidden/>
              </w:rPr>
              <w:fldChar w:fldCharType="separate"/>
            </w:r>
            <w:r w:rsidR="00FA4C5A">
              <w:rPr>
                <w:webHidden/>
              </w:rPr>
              <w:t>33</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84" w:history="1">
            <w:r w:rsidR="00FA4C5A" w:rsidRPr="0047094D">
              <w:rPr>
                <w:rStyle w:val="Hypertextovprepojenie"/>
              </w:rPr>
              <w:t>2.1.6</w:t>
            </w:r>
            <w:r w:rsidR="00FA4C5A">
              <w:rPr>
                <w:rFonts w:asciiTheme="minorHAnsi" w:eastAsiaTheme="minorEastAsia" w:hAnsiTheme="minorHAnsi" w:cstheme="minorBidi"/>
                <w:szCs w:val="22"/>
              </w:rPr>
              <w:tab/>
            </w:r>
            <w:r w:rsidR="00FA4C5A" w:rsidRPr="0047094D">
              <w:rPr>
                <w:rStyle w:val="Hypertextovprepojenie"/>
              </w:rPr>
              <w:t>Kategórie intervencií</w:t>
            </w:r>
            <w:r w:rsidR="00FA4C5A">
              <w:rPr>
                <w:webHidden/>
              </w:rPr>
              <w:tab/>
            </w:r>
            <w:r>
              <w:rPr>
                <w:webHidden/>
              </w:rPr>
              <w:fldChar w:fldCharType="begin"/>
            </w:r>
            <w:r w:rsidR="00FA4C5A">
              <w:rPr>
                <w:webHidden/>
              </w:rPr>
              <w:instrText xml:space="preserve"> PAGEREF _Toc385310684 \h </w:instrText>
            </w:r>
            <w:r>
              <w:rPr>
                <w:webHidden/>
              </w:rPr>
            </w:r>
            <w:r>
              <w:rPr>
                <w:webHidden/>
              </w:rPr>
              <w:fldChar w:fldCharType="separate"/>
            </w:r>
            <w:r w:rsidR="00FA4C5A">
              <w:rPr>
                <w:webHidden/>
              </w:rPr>
              <w:t>33</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85" w:history="1">
            <w:r w:rsidR="00FA4C5A" w:rsidRPr="0047094D">
              <w:rPr>
                <w:rStyle w:val="Hypertextovprepojenie"/>
              </w:rPr>
              <w:t>2.1.7</w:t>
            </w:r>
            <w:r w:rsidR="00FA4C5A">
              <w:rPr>
                <w:rFonts w:asciiTheme="minorHAnsi" w:eastAsiaTheme="minorEastAsia" w:hAnsiTheme="minorHAnsi" w:cstheme="minorBidi"/>
                <w:szCs w:val="22"/>
              </w:rPr>
              <w:tab/>
            </w:r>
            <w:r w:rsidR="00FA4C5A" w:rsidRPr="0047094D">
              <w:rPr>
                <w:rStyle w:val="Hypertextovprepojenie"/>
              </w:rPr>
              <w:t>Súhrn plánovaného využitia technickej pomoci vrátane, ak je to vhodné, akcií na posilnenie administratívnej kapacity orgánov zapojených do riadenia a kontroly programu a prijímateľov (ak je to vhodné)</w:t>
            </w:r>
            <w:r w:rsidR="00FA4C5A">
              <w:rPr>
                <w:webHidden/>
              </w:rPr>
              <w:tab/>
            </w:r>
            <w:r>
              <w:rPr>
                <w:webHidden/>
              </w:rPr>
              <w:fldChar w:fldCharType="begin"/>
            </w:r>
            <w:r w:rsidR="00FA4C5A">
              <w:rPr>
                <w:webHidden/>
              </w:rPr>
              <w:instrText xml:space="preserve"> PAGEREF _Toc385310685 \h </w:instrText>
            </w:r>
            <w:r>
              <w:rPr>
                <w:webHidden/>
              </w:rPr>
            </w:r>
            <w:r>
              <w:rPr>
                <w:webHidden/>
              </w:rPr>
              <w:fldChar w:fldCharType="separate"/>
            </w:r>
            <w:r w:rsidR="00FA4C5A">
              <w:rPr>
                <w:webHidden/>
              </w:rPr>
              <w:t>34</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686" w:history="1">
            <w:r w:rsidR="00FA4C5A" w:rsidRPr="0047094D">
              <w:rPr>
                <w:rStyle w:val="Hypertextovprepojenie"/>
                <w:noProof/>
              </w:rPr>
              <w:t>2.2</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PRIORITNÁ OS 2: CESTNÁ INFRAŠTRUKTÚRA (TEN-T CORE)</w:t>
            </w:r>
            <w:r w:rsidR="00FA4C5A">
              <w:rPr>
                <w:noProof/>
                <w:webHidden/>
              </w:rPr>
              <w:tab/>
            </w:r>
            <w:r>
              <w:rPr>
                <w:noProof/>
                <w:webHidden/>
              </w:rPr>
              <w:fldChar w:fldCharType="begin"/>
            </w:r>
            <w:r w:rsidR="00FA4C5A">
              <w:rPr>
                <w:noProof/>
                <w:webHidden/>
              </w:rPr>
              <w:instrText xml:space="preserve"> PAGEREF _Toc385310686 \h </w:instrText>
            </w:r>
            <w:r>
              <w:rPr>
                <w:noProof/>
                <w:webHidden/>
              </w:rPr>
            </w:r>
            <w:r>
              <w:rPr>
                <w:noProof/>
                <w:webHidden/>
              </w:rPr>
              <w:fldChar w:fldCharType="separate"/>
            </w:r>
            <w:r w:rsidR="00FA4C5A">
              <w:rPr>
                <w:noProof/>
                <w:webHidden/>
              </w:rPr>
              <w:t>35</w:t>
            </w:r>
            <w:r>
              <w:rPr>
                <w:noProof/>
                <w:webHidden/>
              </w:rPr>
              <w:fldChar w:fldCharType="end"/>
            </w:r>
          </w:hyperlink>
        </w:p>
        <w:p w:rsidR="00FA4C5A" w:rsidRDefault="00B75FBB">
          <w:pPr>
            <w:pStyle w:val="Obsah3"/>
            <w:rPr>
              <w:rFonts w:asciiTheme="minorHAnsi" w:eastAsiaTheme="minorEastAsia" w:hAnsiTheme="minorHAnsi" w:cstheme="minorBidi"/>
              <w:szCs w:val="22"/>
            </w:rPr>
          </w:pPr>
          <w:hyperlink w:anchor="_Toc385310687" w:history="1">
            <w:r w:rsidR="00FA4C5A" w:rsidRPr="0047094D">
              <w:rPr>
                <w:rStyle w:val="Hypertextovprepojenie"/>
              </w:rPr>
              <w:t>2.2.1</w:t>
            </w:r>
            <w:r w:rsidR="00FA4C5A">
              <w:rPr>
                <w:rFonts w:asciiTheme="minorHAnsi" w:eastAsiaTheme="minorEastAsia" w:hAnsiTheme="minorHAnsi" w:cstheme="minorBidi"/>
                <w:szCs w:val="22"/>
              </w:rPr>
              <w:tab/>
            </w:r>
            <w:r w:rsidR="00FA4C5A" w:rsidRPr="0047094D">
              <w:rPr>
                <w:rStyle w:val="Hypertextovprepojenie"/>
              </w:rPr>
              <w:t>Fond, kategória regiónu a základ pre výpočet podpory Únie</w:t>
            </w:r>
            <w:r w:rsidR="00FA4C5A">
              <w:rPr>
                <w:webHidden/>
              </w:rPr>
              <w:tab/>
            </w:r>
            <w:r>
              <w:rPr>
                <w:webHidden/>
              </w:rPr>
              <w:fldChar w:fldCharType="begin"/>
            </w:r>
            <w:r w:rsidR="00FA4C5A">
              <w:rPr>
                <w:webHidden/>
              </w:rPr>
              <w:instrText xml:space="preserve"> PAGEREF _Toc385310687 \h </w:instrText>
            </w:r>
            <w:r>
              <w:rPr>
                <w:webHidden/>
              </w:rPr>
            </w:r>
            <w:r>
              <w:rPr>
                <w:webHidden/>
              </w:rPr>
              <w:fldChar w:fldCharType="separate"/>
            </w:r>
            <w:r w:rsidR="00FA4C5A">
              <w:rPr>
                <w:webHidden/>
              </w:rPr>
              <w:t>35</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88" w:history="1">
            <w:r w:rsidR="00FA4C5A" w:rsidRPr="0047094D">
              <w:rPr>
                <w:rStyle w:val="Hypertextovprepojenie"/>
              </w:rPr>
              <w:t>2.2.2</w:t>
            </w:r>
            <w:r w:rsidR="00FA4C5A">
              <w:rPr>
                <w:rFonts w:asciiTheme="minorHAnsi" w:eastAsiaTheme="minorEastAsia" w:hAnsiTheme="minorHAnsi" w:cstheme="minorBidi"/>
                <w:szCs w:val="22"/>
              </w:rPr>
              <w:tab/>
            </w:r>
            <w:r w:rsidR="00FA4C5A" w:rsidRPr="0047094D">
              <w:rPr>
                <w:rStyle w:val="Hypertextovprepojenie"/>
              </w:rPr>
              <w:t>INVESTIČNÁ PRIORITA 7a): Podpora multimodálneho jednotného európskeho dopravného priestoru pomocou investícií do TEN-T</w:t>
            </w:r>
            <w:r w:rsidR="00FA4C5A">
              <w:rPr>
                <w:webHidden/>
              </w:rPr>
              <w:tab/>
            </w:r>
            <w:r>
              <w:rPr>
                <w:webHidden/>
              </w:rPr>
              <w:fldChar w:fldCharType="begin"/>
            </w:r>
            <w:r w:rsidR="00FA4C5A">
              <w:rPr>
                <w:webHidden/>
              </w:rPr>
              <w:instrText xml:space="preserve"> PAGEREF _Toc385310688 \h </w:instrText>
            </w:r>
            <w:r>
              <w:rPr>
                <w:webHidden/>
              </w:rPr>
            </w:r>
            <w:r>
              <w:rPr>
                <w:webHidden/>
              </w:rPr>
              <w:fldChar w:fldCharType="separate"/>
            </w:r>
            <w:r w:rsidR="00FA4C5A">
              <w:rPr>
                <w:webHidden/>
              </w:rPr>
              <w:t>35</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89" w:history="1">
            <w:r w:rsidR="00FA4C5A" w:rsidRPr="0047094D">
              <w:rPr>
                <w:rStyle w:val="Hypertextovprepojenie"/>
              </w:rPr>
              <w:t>2.2.3</w:t>
            </w:r>
            <w:r w:rsidR="00FA4C5A">
              <w:rPr>
                <w:rFonts w:asciiTheme="minorHAnsi" w:eastAsiaTheme="minorEastAsia" w:hAnsiTheme="minorHAnsi" w:cstheme="minorBidi"/>
                <w:szCs w:val="22"/>
              </w:rPr>
              <w:tab/>
            </w:r>
            <w:r w:rsidR="00FA4C5A" w:rsidRPr="0047094D">
              <w:rPr>
                <w:rStyle w:val="Hypertextovprepojenie"/>
              </w:rPr>
              <w:t>Aktivity, ktoré budú podporené v rámci investičnej priority</w:t>
            </w:r>
            <w:r w:rsidR="00FA4C5A">
              <w:rPr>
                <w:webHidden/>
              </w:rPr>
              <w:tab/>
            </w:r>
            <w:r>
              <w:rPr>
                <w:webHidden/>
              </w:rPr>
              <w:fldChar w:fldCharType="begin"/>
            </w:r>
            <w:r w:rsidR="00FA4C5A">
              <w:rPr>
                <w:webHidden/>
              </w:rPr>
              <w:instrText xml:space="preserve"> PAGEREF _Toc385310689 \h </w:instrText>
            </w:r>
            <w:r>
              <w:rPr>
                <w:webHidden/>
              </w:rPr>
            </w:r>
            <w:r>
              <w:rPr>
                <w:webHidden/>
              </w:rPr>
              <w:fldChar w:fldCharType="separate"/>
            </w:r>
            <w:r w:rsidR="00FA4C5A">
              <w:rPr>
                <w:webHidden/>
              </w:rPr>
              <w:t>37</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90" w:history="1">
            <w:r w:rsidR="00FA4C5A" w:rsidRPr="0047094D">
              <w:rPr>
                <w:rStyle w:val="Hypertextovprepojenie"/>
              </w:rPr>
              <w:t>2.2.4</w:t>
            </w:r>
            <w:r w:rsidR="00FA4C5A">
              <w:rPr>
                <w:rFonts w:asciiTheme="minorHAnsi" w:eastAsiaTheme="minorEastAsia" w:hAnsiTheme="minorHAnsi" w:cstheme="minorBidi"/>
                <w:szCs w:val="22"/>
              </w:rPr>
              <w:tab/>
            </w:r>
            <w:r w:rsidR="00FA4C5A" w:rsidRPr="0047094D">
              <w:rPr>
                <w:rStyle w:val="Hypertextovprepojenie"/>
              </w:rPr>
              <w:t>Výkonnostný rámec prioritnej osi</w:t>
            </w:r>
            <w:r w:rsidR="00FA4C5A">
              <w:rPr>
                <w:webHidden/>
              </w:rPr>
              <w:tab/>
            </w:r>
            <w:r>
              <w:rPr>
                <w:webHidden/>
              </w:rPr>
              <w:fldChar w:fldCharType="begin"/>
            </w:r>
            <w:r w:rsidR="00FA4C5A">
              <w:rPr>
                <w:webHidden/>
              </w:rPr>
              <w:instrText xml:space="preserve"> PAGEREF _Toc385310690 \h </w:instrText>
            </w:r>
            <w:r>
              <w:rPr>
                <w:webHidden/>
              </w:rPr>
            </w:r>
            <w:r>
              <w:rPr>
                <w:webHidden/>
              </w:rPr>
              <w:fldChar w:fldCharType="separate"/>
            </w:r>
            <w:r w:rsidR="00FA4C5A">
              <w:rPr>
                <w:webHidden/>
              </w:rPr>
              <w:t>42</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91" w:history="1">
            <w:r w:rsidR="00FA4C5A" w:rsidRPr="0047094D">
              <w:rPr>
                <w:rStyle w:val="Hypertextovprepojenie"/>
              </w:rPr>
              <w:t>2.2.5</w:t>
            </w:r>
            <w:r w:rsidR="00FA4C5A">
              <w:rPr>
                <w:rFonts w:asciiTheme="minorHAnsi" w:eastAsiaTheme="minorEastAsia" w:hAnsiTheme="minorHAnsi" w:cstheme="minorBidi"/>
                <w:szCs w:val="22"/>
              </w:rPr>
              <w:tab/>
            </w:r>
            <w:r w:rsidR="00FA4C5A" w:rsidRPr="0047094D">
              <w:rPr>
                <w:rStyle w:val="Hypertextovprepojenie"/>
              </w:rPr>
              <w:t>Kategórie intervencií</w:t>
            </w:r>
            <w:r w:rsidR="00FA4C5A">
              <w:rPr>
                <w:webHidden/>
              </w:rPr>
              <w:tab/>
            </w:r>
            <w:r>
              <w:rPr>
                <w:webHidden/>
              </w:rPr>
              <w:fldChar w:fldCharType="begin"/>
            </w:r>
            <w:r w:rsidR="00FA4C5A">
              <w:rPr>
                <w:webHidden/>
              </w:rPr>
              <w:instrText xml:space="preserve"> PAGEREF _Toc385310691 \h </w:instrText>
            </w:r>
            <w:r>
              <w:rPr>
                <w:webHidden/>
              </w:rPr>
            </w:r>
            <w:r>
              <w:rPr>
                <w:webHidden/>
              </w:rPr>
              <w:fldChar w:fldCharType="separate"/>
            </w:r>
            <w:r w:rsidR="00FA4C5A">
              <w:rPr>
                <w:webHidden/>
              </w:rPr>
              <w:t>42</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92" w:history="1">
            <w:r w:rsidR="00FA4C5A" w:rsidRPr="0047094D">
              <w:rPr>
                <w:rStyle w:val="Hypertextovprepojenie"/>
              </w:rPr>
              <w:t>2.2.6</w:t>
            </w:r>
            <w:r w:rsidR="00FA4C5A">
              <w:rPr>
                <w:rFonts w:asciiTheme="minorHAnsi" w:eastAsiaTheme="minorEastAsia" w:hAnsiTheme="minorHAnsi" w:cstheme="minorBidi"/>
                <w:szCs w:val="22"/>
              </w:rPr>
              <w:tab/>
            </w:r>
            <w:r w:rsidR="00FA4C5A" w:rsidRPr="0047094D">
              <w:rPr>
                <w:rStyle w:val="Hypertextovprepojenie"/>
              </w:rPr>
              <w:t>Súhrn plánovaného využitia technickej pomoci vrátane, ak je to vhodné, akcií na posilnenie administratívnej kapacity orgánov zapojených do riadenia a kontroly programu a prijímateľov (ak je to vhodné)</w:t>
            </w:r>
            <w:r w:rsidR="00FA4C5A">
              <w:rPr>
                <w:webHidden/>
              </w:rPr>
              <w:tab/>
            </w:r>
            <w:r>
              <w:rPr>
                <w:webHidden/>
              </w:rPr>
              <w:fldChar w:fldCharType="begin"/>
            </w:r>
            <w:r w:rsidR="00FA4C5A">
              <w:rPr>
                <w:webHidden/>
              </w:rPr>
              <w:instrText xml:space="preserve"> PAGEREF _Toc385310692 \h </w:instrText>
            </w:r>
            <w:r>
              <w:rPr>
                <w:webHidden/>
              </w:rPr>
            </w:r>
            <w:r>
              <w:rPr>
                <w:webHidden/>
              </w:rPr>
              <w:fldChar w:fldCharType="separate"/>
            </w:r>
            <w:r w:rsidR="00FA4C5A">
              <w:rPr>
                <w:webHidden/>
              </w:rPr>
              <w:t>43</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693" w:history="1">
            <w:r w:rsidR="00FA4C5A" w:rsidRPr="0047094D">
              <w:rPr>
                <w:rStyle w:val="Hypertextovprepojenie"/>
                <w:noProof/>
              </w:rPr>
              <w:t>2.3</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PRIORITNÁ OS 3: VEREJNÁ OSOBNÁ DOPRAVA</w:t>
            </w:r>
            <w:r w:rsidR="00FA4C5A">
              <w:rPr>
                <w:noProof/>
                <w:webHidden/>
              </w:rPr>
              <w:tab/>
            </w:r>
            <w:r>
              <w:rPr>
                <w:noProof/>
                <w:webHidden/>
              </w:rPr>
              <w:fldChar w:fldCharType="begin"/>
            </w:r>
            <w:r w:rsidR="00FA4C5A">
              <w:rPr>
                <w:noProof/>
                <w:webHidden/>
              </w:rPr>
              <w:instrText xml:space="preserve"> PAGEREF _Toc385310693 \h </w:instrText>
            </w:r>
            <w:r>
              <w:rPr>
                <w:noProof/>
                <w:webHidden/>
              </w:rPr>
            </w:r>
            <w:r>
              <w:rPr>
                <w:noProof/>
                <w:webHidden/>
              </w:rPr>
              <w:fldChar w:fldCharType="separate"/>
            </w:r>
            <w:r w:rsidR="00FA4C5A">
              <w:rPr>
                <w:noProof/>
                <w:webHidden/>
              </w:rPr>
              <w:t>44</w:t>
            </w:r>
            <w:r>
              <w:rPr>
                <w:noProof/>
                <w:webHidden/>
              </w:rPr>
              <w:fldChar w:fldCharType="end"/>
            </w:r>
          </w:hyperlink>
        </w:p>
        <w:p w:rsidR="00FA4C5A" w:rsidRDefault="00B75FBB">
          <w:pPr>
            <w:pStyle w:val="Obsah3"/>
            <w:rPr>
              <w:rFonts w:asciiTheme="minorHAnsi" w:eastAsiaTheme="minorEastAsia" w:hAnsiTheme="minorHAnsi" w:cstheme="minorBidi"/>
              <w:szCs w:val="22"/>
            </w:rPr>
          </w:pPr>
          <w:hyperlink w:anchor="_Toc385310694" w:history="1">
            <w:r w:rsidR="00FA4C5A" w:rsidRPr="0047094D">
              <w:rPr>
                <w:rStyle w:val="Hypertextovprepojenie"/>
              </w:rPr>
              <w:t>2.3.1</w:t>
            </w:r>
            <w:r w:rsidR="00FA4C5A">
              <w:rPr>
                <w:rFonts w:asciiTheme="minorHAnsi" w:eastAsiaTheme="minorEastAsia" w:hAnsiTheme="minorHAnsi" w:cstheme="minorBidi"/>
                <w:szCs w:val="22"/>
              </w:rPr>
              <w:tab/>
            </w:r>
            <w:r w:rsidR="00FA4C5A" w:rsidRPr="0047094D">
              <w:rPr>
                <w:rStyle w:val="Hypertextovprepojenie"/>
              </w:rPr>
              <w:t>Fond, kategória regiónu a základ pre výpočet podpory Únie</w:t>
            </w:r>
            <w:r w:rsidR="00FA4C5A">
              <w:rPr>
                <w:webHidden/>
              </w:rPr>
              <w:tab/>
            </w:r>
            <w:r>
              <w:rPr>
                <w:webHidden/>
              </w:rPr>
              <w:fldChar w:fldCharType="begin"/>
            </w:r>
            <w:r w:rsidR="00FA4C5A">
              <w:rPr>
                <w:webHidden/>
              </w:rPr>
              <w:instrText xml:space="preserve"> PAGEREF _Toc385310694 \h </w:instrText>
            </w:r>
            <w:r>
              <w:rPr>
                <w:webHidden/>
              </w:rPr>
            </w:r>
            <w:r>
              <w:rPr>
                <w:webHidden/>
              </w:rPr>
              <w:fldChar w:fldCharType="separate"/>
            </w:r>
            <w:r w:rsidR="00FA4C5A">
              <w:rPr>
                <w:webHidden/>
              </w:rPr>
              <w:t>44</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95" w:history="1">
            <w:r w:rsidR="00FA4C5A" w:rsidRPr="0047094D">
              <w:rPr>
                <w:rStyle w:val="Hypertextovprepojenie"/>
              </w:rPr>
              <w:t>2.3.2</w:t>
            </w:r>
            <w:r w:rsidR="00FA4C5A">
              <w:rPr>
                <w:rFonts w:asciiTheme="minorHAnsi" w:eastAsiaTheme="minorEastAsia" w:hAnsiTheme="minorHAnsi" w:cstheme="minorBidi"/>
                <w:szCs w:val="22"/>
              </w:rPr>
              <w:tab/>
            </w:r>
            <w:r w:rsidR="00FA4C5A" w:rsidRPr="0047094D">
              <w:rPr>
                <w:rStyle w:val="Hypertextovprepojenie"/>
              </w:rPr>
              <w:t>INVESTIČNÁ PRIORITA 7c): Vývoj a zlepšovanie ekologicky priaznivých, vrátane nízkohlukových, a nízkouhlíkových dopravných systémov vrátane vnútrozemských vodných ciest a námornej dopravy, prístavov, multimodálnych prepojení a letiskovej infraštruktúry v záujme podpory udržateľnej regionálnej a miestnej mobility</w:t>
            </w:r>
            <w:r w:rsidR="00FA4C5A">
              <w:rPr>
                <w:webHidden/>
              </w:rPr>
              <w:tab/>
            </w:r>
            <w:r>
              <w:rPr>
                <w:webHidden/>
              </w:rPr>
              <w:fldChar w:fldCharType="begin"/>
            </w:r>
            <w:r w:rsidR="00FA4C5A">
              <w:rPr>
                <w:webHidden/>
              </w:rPr>
              <w:instrText xml:space="preserve"> PAGEREF _Toc385310695 \h </w:instrText>
            </w:r>
            <w:r>
              <w:rPr>
                <w:webHidden/>
              </w:rPr>
            </w:r>
            <w:r>
              <w:rPr>
                <w:webHidden/>
              </w:rPr>
              <w:fldChar w:fldCharType="separate"/>
            </w:r>
            <w:r w:rsidR="00FA4C5A">
              <w:rPr>
                <w:webHidden/>
              </w:rPr>
              <w:t>44</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96" w:history="1">
            <w:r w:rsidR="00FA4C5A" w:rsidRPr="0047094D">
              <w:rPr>
                <w:rStyle w:val="Hypertextovprepojenie"/>
              </w:rPr>
              <w:t>2.3.3</w:t>
            </w:r>
            <w:r w:rsidR="00FA4C5A">
              <w:rPr>
                <w:rFonts w:asciiTheme="minorHAnsi" w:eastAsiaTheme="minorEastAsia" w:hAnsiTheme="minorHAnsi" w:cstheme="minorBidi"/>
                <w:szCs w:val="22"/>
              </w:rPr>
              <w:tab/>
            </w:r>
            <w:r w:rsidR="00FA4C5A" w:rsidRPr="0047094D">
              <w:rPr>
                <w:rStyle w:val="Hypertextovprepojenie"/>
              </w:rPr>
              <w:t>Aktivity, ktoré budú podporené v rámci investičnej priority</w:t>
            </w:r>
            <w:r w:rsidR="00FA4C5A">
              <w:rPr>
                <w:webHidden/>
              </w:rPr>
              <w:tab/>
            </w:r>
            <w:r>
              <w:rPr>
                <w:webHidden/>
              </w:rPr>
              <w:fldChar w:fldCharType="begin"/>
            </w:r>
            <w:r w:rsidR="00FA4C5A">
              <w:rPr>
                <w:webHidden/>
              </w:rPr>
              <w:instrText xml:space="preserve"> PAGEREF _Toc385310696 \h </w:instrText>
            </w:r>
            <w:r>
              <w:rPr>
                <w:webHidden/>
              </w:rPr>
            </w:r>
            <w:r>
              <w:rPr>
                <w:webHidden/>
              </w:rPr>
              <w:fldChar w:fldCharType="separate"/>
            </w:r>
            <w:r w:rsidR="00FA4C5A">
              <w:rPr>
                <w:webHidden/>
              </w:rPr>
              <w:t>46</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97" w:history="1">
            <w:r w:rsidR="00FA4C5A" w:rsidRPr="0047094D">
              <w:rPr>
                <w:rStyle w:val="Hypertextovprepojenie"/>
              </w:rPr>
              <w:t>2.3.4</w:t>
            </w:r>
            <w:r w:rsidR="00FA4C5A">
              <w:rPr>
                <w:rFonts w:asciiTheme="minorHAnsi" w:eastAsiaTheme="minorEastAsia" w:hAnsiTheme="minorHAnsi" w:cstheme="minorBidi"/>
                <w:szCs w:val="22"/>
              </w:rPr>
              <w:tab/>
            </w:r>
            <w:r w:rsidR="00FA4C5A" w:rsidRPr="0047094D">
              <w:rPr>
                <w:rStyle w:val="Hypertextovprepojenie"/>
              </w:rPr>
              <w:t>Výkonnostný rámec prioritnej osi</w:t>
            </w:r>
            <w:r w:rsidR="00FA4C5A">
              <w:rPr>
                <w:webHidden/>
              </w:rPr>
              <w:tab/>
            </w:r>
            <w:r>
              <w:rPr>
                <w:webHidden/>
              </w:rPr>
              <w:fldChar w:fldCharType="begin"/>
            </w:r>
            <w:r w:rsidR="00FA4C5A">
              <w:rPr>
                <w:webHidden/>
              </w:rPr>
              <w:instrText xml:space="preserve"> PAGEREF _Toc385310697 \h </w:instrText>
            </w:r>
            <w:r>
              <w:rPr>
                <w:webHidden/>
              </w:rPr>
            </w:r>
            <w:r>
              <w:rPr>
                <w:webHidden/>
              </w:rPr>
              <w:fldChar w:fldCharType="separate"/>
            </w:r>
            <w:r w:rsidR="00FA4C5A">
              <w:rPr>
                <w:webHidden/>
              </w:rPr>
              <w:t>56</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98" w:history="1">
            <w:r w:rsidR="00FA4C5A" w:rsidRPr="0047094D">
              <w:rPr>
                <w:rStyle w:val="Hypertextovprepojenie"/>
              </w:rPr>
              <w:t>2.3.5</w:t>
            </w:r>
            <w:r w:rsidR="00FA4C5A">
              <w:rPr>
                <w:rFonts w:asciiTheme="minorHAnsi" w:eastAsiaTheme="minorEastAsia" w:hAnsiTheme="minorHAnsi" w:cstheme="minorBidi"/>
                <w:szCs w:val="22"/>
              </w:rPr>
              <w:tab/>
            </w:r>
            <w:r w:rsidR="00FA4C5A" w:rsidRPr="0047094D">
              <w:rPr>
                <w:rStyle w:val="Hypertextovprepojenie"/>
              </w:rPr>
              <w:t>Kategórie intervencií</w:t>
            </w:r>
            <w:r w:rsidR="00FA4C5A">
              <w:rPr>
                <w:webHidden/>
              </w:rPr>
              <w:tab/>
            </w:r>
            <w:r>
              <w:rPr>
                <w:webHidden/>
              </w:rPr>
              <w:fldChar w:fldCharType="begin"/>
            </w:r>
            <w:r w:rsidR="00FA4C5A">
              <w:rPr>
                <w:webHidden/>
              </w:rPr>
              <w:instrText xml:space="preserve"> PAGEREF _Toc385310698 \h </w:instrText>
            </w:r>
            <w:r>
              <w:rPr>
                <w:webHidden/>
              </w:rPr>
            </w:r>
            <w:r>
              <w:rPr>
                <w:webHidden/>
              </w:rPr>
              <w:fldChar w:fldCharType="separate"/>
            </w:r>
            <w:r w:rsidR="00FA4C5A">
              <w:rPr>
                <w:webHidden/>
              </w:rPr>
              <w:t>56</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699" w:history="1">
            <w:r w:rsidR="00FA4C5A" w:rsidRPr="0047094D">
              <w:rPr>
                <w:rStyle w:val="Hypertextovprepojenie"/>
              </w:rPr>
              <w:t>2.3.6</w:t>
            </w:r>
            <w:r w:rsidR="00FA4C5A">
              <w:rPr>
                <w:rFonts w:asciiTheme="minorHAnsi" w:eastAsiaTheme="minorEastAsia" w:hAnsiTheme="minorHAnsi" w:cstheme="minorBidi"/>
                <w:szCs w:val="22"/>
              </w:rPr>
              <w:tab/>
            </w:r>
            <w:r w:rsidR="00FA4C5A" w:rsidRPr="0047094D">
              <w:rPr>
                <w:rStyle w:val="Hypertextovprepojenie"/>
              </w:rPr>
              <w:t>Súhrn plánovaného využitia technickej pomoci vrátane, ak je to vhodné, akcií na posilnenie administratívnej kapacity orgánov zapojených do riadenia a kontroly programu a prijímateľov (ak je to vhodné)</w:t>
            </w:r>
            <w:r w:rsidR="00FA4C5A">
              <w:rPr>
                <w:webHidden/>
              </w:rPr>
              <w:tab/>
            </w:r>
            <w:r>
              <w:rPr>
                <w:webHidden/>
              </w:rPr>
              <w:fldChar w:fldCharType="begin"/>
            </w:r>
            <w:r w:rsidR="00FA4C5A">
              <w:rPr>
                <w:webHidden/>
              </w:rPr>
              <w:instrText xml:space="preserve"> PAGEREF _Toc385310699 \h </w:instrText>
            </w:r>
            <w:r>
              <w:rPr>
                <w:webHidden/>
              </w:rPr>
            </w:r>
            <w:r>
              <w:rPr>
                <w:webHidden/>
              </w:rPr>
              <w:fldChar w:fldCharType="separate"/>
            </w:r>
            <w:r w:rsidR="00FA4C5A">
              <w:rPr>
                <w:webHidden/>
              </w:rPr>
              <w:t>57</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00" w:history="1">
            <w:r w:rsidR="00FA4C5A" w:rsidRPr="0047094D">
              <w:rPr>
                <w:rStyle w:val="Hypertextovprepojenie"/>
                <w:noProof/>
              </w:rPr>
              <w:t>2.4</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PRIORI</w:t>
            </w:r>
            <w:r w:rsidR="00FA4C5A" w:rsidRPr="0047094D">
              <w:rPr>
                <w:rStyle w:val="Hypertextovprepojenie"/>
                <w:noProof/>
              </w:rPr>
              <w:t>T</w:t>
            </w:r>
            <w:r w:rsidR="00FA4C5A" w:rsidRPr="0047094D">
              <w:rPr>
                <w:rStyle w:val="Hypertextovprepojenie"/>
                <w:noProof/>
              </w:rPr>
              <w:t>NÁ OS 4: INFRAŠTRUKTÚRA VODNEJ DOPRAVY (TEN-T CORE)</w:t>
            </w:r>
            <w:r w:rsidR="00FA4C5A">
              <w:rPr>
                <w:noProof/>
                <w:webHidden/>
              </w:rPr>
              <w:tab/>
            </w:r>
            <w:r>
              <w:rPr>
                <w:noProof/>
                <w:webHidden/>
              </w:rPr>
              <w:fldChar w:fldCharType="begin"/>
            </w:r>
            <w:r w:rsidR="00FA4C5A">
              <w:rPr>
                <w:noProof/>
                <w:webHidden/>
              </w:rPr>
              <w:instrText xml:space="preserve"> PAGEREF _Toc385310700 \h </w:instrText>
            </w:r>
            <w:r>
              <w:rPr>
                <w:noProof/>
                <w:webHidden/>
              </w:rPr>
            </w:r>
            <w:r>
              <w:rPr>
                <w:noProof/>
                <w:webHidden/>
              </w:rPr>
              <w:fldChar w:fldCharType="separate"/>
            </w:r>
            <w:r w:rsidR="00FA4C5A">
              <w:rPr>
                <w:noProof/>
                <w:webHidden/>
              </w:rPr>
              <w:t>58</w:t>
            </w:r>
            <w:r>
              <w:rPr>
                <w:noProof/>
                <w:webHidden/>
              </w:rPr>
              <w:fldChar w:fldCharType="end"/>
            </w:r>
          </w:hyperlink>
        </w:p>
        <w:p w:rsidR="00FA4C5A" w:rsidRDefault="00B75FBB">
          <w:pPr>
            <w:pStyle w:val="Obsah3"/>
            <w:rPr>
              <w:rFonts w:asciiTheme="minorHAnsi" w:eastAsiaTheme="minorEastAsia" w:hAnsiTheme="minorHAnsi" w:cstheme="minorBidi"/>
              <w:szCs w:val="22"/>
            </w:rPr>
          </w:pPr>
          <w:hyperlink w:anchor="_Toc385310701" w:history="1">
            <w:r w:rsidR="00FA4C5A" w:rsidRPr="0047094D">
              <w:rPr>
                <w:rStyle w:val="Hypertextovprepojenie"/>
              </w:rPr>
              <w:t>2.4.1</w:t>
            </w:r>
            <w:r w:rsidR="00FA4C5A">
              <w:rPr>
                <w:rFonts w:asciiTheme="minorHAnsi" w:eastAsiaTheme="minorEastAsia" w:hAnsiTheme="minorHAnsi" w:cstheme="minorBidi"/>
                <w:szCs w:val="22"/>
              </w:rPr>
              <w:tab/>
            </w:r>
            <w:r w:rsidR="00FA4C5A" w:rsidRPr="0047094D">
              <w:rPr>
                <w:rStyle w:val="Hypertextovprepojenie"/>
              </w:rPr>
              <w:t>Fond, kategória regiónu a základ pre výpočet podpory Únie</w:t>
            </w:r>
            <w:r w:rsidR="00FA4C5A">
              <w:rPr>
                <w:webHidden/>
              </w:rPr>
              <w:tab/>
            </w:r>
            <w:r>
              <w:rPr>
                <w:webHidden/>
              </w:rPr>
              <w:fldChar w:fldCharType="begin"/>
            </w:r>
            <w:r w:rsidR="00FA4C5A">
              <w:rPr>
                <w:webHidden/>
              </w:rPr>
              <w:instrText xml:space="preserve"> PAGEREF _Toc385310701 \h </w:instrText>
            </w:r>
            <w:r>
              <w:rPr>
                <w:webHidden/>
              </w:rPr>
            </w:r>
            <w:r>
              <w:rPr>
                <w:webHidden/>
              </w:rPr>
              <w:fldChar w:fldCharType="separate"/>
            </w:r>
            <w:r w:rsidR="00FA4C5A">
              <w:rPr>
                <w:webHidden/>
              </w:rPr>
              <w:t>58</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02" w:history="1">
            <w:r w:rsidR="00FA4C5A" w:rsidRPr="0047094D">
              <w:rPr>
                <w:rStyle w:val="Hypertextovprepojenie"/>
              </w:rPr>
              <w:t>2.4.2</w:t>
            </w:r>
            <w:r w:rsidR="00FA4C5A">
              <w:rPr>
                <w:rFonts w:asciiTheme="minorHAnsi" w:eastAsiaTheme="minorEastAsia" w:hAnsiTheme="minorHAnsi" w:cstheme="minorBidi"/>
                <w:szCs w:val="22"/>
              </w:rPr>
              <w:tab/>
            </w:r>
            <w:r w:rsidR="00FA4C5A" w:rsidRPr="0047094D">
              <w:rPr>
                <w:rStyle w:val="Hypertextovprepojenie"/>
              </w:rPr>
              <w:t>INVESTIČNÁ PRIORITA 7a): Podpora multimodálneho jednotného európskeho dopravného priestoru pomocou investícií do TEN-T</w:t>
            </w:r>
            <w:r w:rsidR="00FA4C5A">
              <w:rPr>
                <w:webHidden/>
              </w:rPr>
              <w:tab/>
            </w:r>
            <w:r>
              <w:rPr>
                <w:webHidden/>
              </w:rPr>
              <w:fldChar w:fldCharType="begin"/>
            </w:r>
            <w:r w:rsidR="00FA4C5A">
              <w:rPr>
                <w:webHidden/>
              </w:rPr>
              <w:instrText xml:space="preserve"> PAGEREF _Toc385310702 \h </w:instrText>
            </w:r>
            <w:r>
              <w:rPr>
                <w:webHidden/>
              </w:rPr>
            </w:r>
            <w:r>
              <w:rPr>
                <w:webHidden/>
              </w:rPr>
              <w:fldChar w:fldCharType="separate"/>
            </w:r>
            <w:r w:rsidR="00FA4C5A">
              <w:rPr>
                <w:webHidden/>
              </w:rPr>
              <w:t>58</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03" w:history="1">
            <w:r w:rsidR="00FA4C5A" w:rsidRPr="0047094D">
              <w:rPr>
                <w:rStyle w:val="Hypertextovprepojenie"/>
              </w:rPr>
              <w:t>2.4.3</w:t>
            </w:r>
            <w:r w:rsidR="00FA4C5A">
              <w:rPr>
                <w:rFonts w:asciiTheme="minorHAnsi" w:eastAsiaTheme="minorEastAsia" w:hAnsiTheme="minorHAnsi" w:cstheme="minorBidi"/>
                <w:szCs w:val="22"/>
              </w:rPr>
              <w:tab/>
            </w:r>
            <w:r w:rsidR="00FA4C5A" w:rsidRPr="0047094D">
              <w:rPr>
                <w:rStyle w:val="Hypertextovprepojenie"/>
              </w:rPr>
              <w:t>Aktivity, ktoré budú podporené v rámci investičnej priority</w:t>
            </w:r>
            <w:r w:rsidR="00FA4C5A">
              <w:rPr>
                <w:webHidden/>
              </w:rPr>
              <w:tab/>
            </w:r>
            <w:r>
              <w:rPr>
                <w:webHidden/>
              </w:rPr>
              <w:fldChar w:fldCharType="begin"/>
            </w:r>
            <w:r w:rsidR="00FA4C5A">
              <w:rPr>
                <w:webHidden/>
              </w:rPr>
              <w:instrText xml:space="preserve"> PAGEREF _Toc385310703 \h </w:instrText>
            </w:r>
            <w:r>
              <w:rPr>
                <w:webHidden/>
              </w:rPr>
            </w:r>
            <w:r>
              <w:rPr>
                <w:webHidden/>
              </w:rPr>
              <w:fldChar w:fldCharType="separate"/>
            </w:r>
            <w:r w:rsidR="00FA4C5A">
              <w:rPr>
                <w:webHidden/>
              </w:rPr>
              <w:t>60</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04" w:history="1">
            <w:r w:rsidR="00FA4C5A" w:rsidRPr="0047094D">
              <w:rPr>
                <w:rStyle w:val="Hypertextovprepojenie"/>
              </w:rPr>
              <w:t>2.4.4</w:t>
            </w:r>
            <w:r w:rsidR="00FA4C5A">
              <w:rPr>
                <w:rFonts w:asciiTheme="minorHAnsi" w:eastAsiaTheme="minorEastAsia" w:hAnsiTheme="minorHAnsi" w:cstheme="minorBidi"/>
                <w:szCs w:val="22"/>
              </w:rPr>
              <w:tab/>
            </w:r>
            <w:r w:rsidR="00FA4C5A" w:rsidRPr="0047094D">
              <w:rPr>
                <w:rStyle w:val="Hypertextovprepojenie"/>
              </w:rPr>
              <w:t>Výkonnostný rámec prioritnej osi</w:t>
            </w:r>
            <w:r w:rsidR="00FA4C5A">
              <w:rPr>
                <w:webHidden/>
              </w:rPr>
              <w:tab/>
            </w:r>
            <w:r>
              <w:rPr>
                <w:webHidden/>
              </w:rPr>
              <w:fldChar w:fldCharType="begin"/>
            </w:r>
            <w:r w:rsidR="00FA4C5A">
              <w:rPr>
                <w:webHidden/>
              </w:rPr>
              <w:instrText xml:space="preserve"> PAGEREF _Toc385310704 \h </w:instrText>
            </w:r>
            <w:r>
              <w:rPr>
                <w:webHidden/>
              </w:rPr>
            </w:r>
            <w:r>
              <w:rPr>
                <w:webHidden/>
              </w:rPr>
              <w:fldChar w:fldCharType="separate"/>
            </w:r>
            <w:r w:rsidR="00FA4C5A">
              <w:rPr>
                <w:webHidden/>
              </w:rPr>
              <w:t>63</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05" w:history="1">
            <w:r w:rsidR="00FA4C5A" w:rsidRPr="0047094D">
              <w:rPr>
                <w:rStyle w:val="Hypertextovprepojenie"/>
              </w:rPr>
              <w:t>2.4.5</w:t>
            </w:r>
            <w:r w:rsidR="00FA4C5A">
              <w:rPr>
                <w:rFonts w:asciiTheme="minorHAnsi" w:eastAsiaTheme="minorEastAsia" w:hAnsiTheme="minorHAnsi" w:cstheme="minorBidi"/>
                <w:szCs w:val="22"/>
              </w:rPr>
              <w:tab/>
            </w:r>
            <w:r w:rsidR="00FA4C5A" w:rsidRPr="0047094D">
              <w:rPr>
                <w:rStyle w:val="Hypertextovprepojenie"/>
              </w:rPr>
              <w:t>Kategórie intervencií</w:t>
            </w:r>
            <w:r w:rsidR="00FA4C5A">
              <w:rPr>
                <w:webHidden/>
              </w:rPr>
              <w:tab/>
            </w:r>
            <w:r>
              <w:rPr>
                <w:webHidden/>
              </w:rPr>
              <w:fldChar w:fldCharType="begin"/>
            </w:r>
            <w:r w:rsidR="00FA4C5A">
              <w:rPr>
                <w:webHidden/>
              </w:rPr>
              <w:instrText xml:space="preserve"> PAGEREF _Toc385310705 \h </w:instrText>
            </w:r>
            <w:r>
              <w:rPr>
                <w:webHidden/>
              </w:rPr>
            </w:r>
            <w:r>
              <w:rPr>
                <w:webHidden/>
              </w:rPr>
              <w:fldChar w:fldCharType="separate"/>
            </w:r>
            <w:r w:rsidR="00FA4C5A">
              <w:rPr>
                <w:webHidden/>
              </w:rPr>
              <w:t>63</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06" w:history="1">
            <w:r w:rsidR="00FA4C5A" w:rsidRPr="0047094D">
              <w:rPr>
                <w:rStyle w:val="Hypertextovprepojenie"/>
              </w:rPr>
              <w:t>2.4.6</w:t>
            </w:r>
            <w:r w:rsidR="00FA4C5A">
              <w:rPr>
                <w:rFonts w:asciiTheme="minorHAnsi" w:eastAsiaTheme="minorEastAsia" w:hAnsiTheme="minorHAnsi" w:cstheme="minorBidi"/>
                <w:szCs w:val="22"/>
              </w:rPr>
              <w:tab/>
            </w:r>
            <w:r w:rsidR="00FA4C5A" w:rsidRPr="0047094D">
              <w:rPr>
                <w:rStyle w:val="Hypertextovprepojenie"/>
              </w:rPr>
              <w:t>Súhrn plánovaného využitia technickej pomoci vrátane, ak je to vhodné, akcií na posilnenie administratívnej kapacity orgánov zapojených do riadenia a kontroly programu a prijímateľov (ak je to vhodné)</w:t>
            </w:r>
            <w:r w:rsidR="00FA4C5A">
              <w:rPr>
                <w:webHidden/>
              </w:rPr>
              <w:tab/>
            </w:r>
            <w:r>
              <w:rPr>
                <w:webHidden/>
              </w:rPr>
              <w:fldChar w:fldCharType="begin"/>
            </w:r>
            <w:r w:rsidR="00FA4C5A">
              <w:rPr>
                <w:webHidden/>
              </w:rPr>
              <w:instrText xml:space="preserve"> PAGEREF _Toc385310706 \h </w:instrText>
            </w:r>
            <w:r>
              <w:rPr>
                <w:webHidden/>
              </w:rPr>
            </w:r>
            <w:r>
              <w:rPr>
                <w:webHidden/>
              </w:rPr>
              <w:fldChar w:fldCharType="separate"/>
            </w:r>
            <w:r w:rsidR="00FA4C5A">
              <w:rPr>
                <w:webHidden/>
              </w:rPr>
              <w:t>64</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07" w:history="1">
            <w:r w:rsidR="00FA4C5A" w:rsidRPr="0047094D">
              <w:rPr>
                <w:rStyle w:val="Hypertextovprepojenie"/>
                <w:noProof/>
              </w:rPr>
              <w:t>2.5</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PRIORITNÁ OS 5: ŽELEZNIČNÁ INFRAŠTRUKTÚTA (mimo TEN-T CORE)</w:t>
            </w:r>
            <w:r w:rsidR="00FA4C5A">
              <w:rPr>
                <w:noProof/>
                <w:webHidden/>
              </w:rPr>
              <w:tab/>
            </w:r>
            <w:r>
              <w:rPr>
                <w:noProof/>
                <w:webHidden/>
              </w:rPr>
              <w:fldChar w:fldCharType="begin"/>
            </w:r>
            <w:r w:rsidR="00FA4C5A">
              <w:rPr>
                <w:noProof/>
                <w:webHidden/>
              </w:rPr>
              <w:instrText xml:space="preserve"> PAGEREF _Toc385310707 \h </w:instrText>
            </w:r>
            <w:r>
              <w:rPr>
                <w:noProof/>
                <w:webHidden/>
              </w:rPr>
            </w:r>
            <w:r>
              <w:rPr>
                <w:noProof/>
                <w:webHidden/>
              </w:rPr>
              <w:fldChar w:fldCharType="separate"/>
            </w:r>
            <w:r w:rsidR="00FA4C5A">
              <w:rPr>
                <w:noProof/>
                <w:webHidden/>
              </w:rPr>
              <w:t>65</w:t>
            </w:r>
            <w:r>
              <w:rPr>
                <w:noProof/>
                <w:webHidden/>
              </w:rPr>
              <w:fldChar w:fldCharType="end"/>
            </w:r>
          </w:hyperlink>
        </w:p>
        <w:p w:rsidR="00FA4C5A" w:rsidRDefault="00B75FBB">
          <w:pPr>
            <w:pStyle w:val="Obsah3"/>
            <w:rPr>
              <w:rFonts w:asciiTheme="minorHAnsi" w:eastAsiaTheme="minorEastAsia" w:hAnsiTheme="minorHAnsi" w:cstheme="minorBidi"/>
              <w:szCs w:val="22"/>
            </w:rPr>
          </w:pPr>
          <w:hyperlink w:anchor="_Toc385310708" w:history="1">
            <w:r w:rsidR="00FA4C5A" w:rsidRPr="0047094D">
              <w:rPr>
                <w:rStyle w:val="Hypertextovprepojenie"/>
              </w:rPr>
              <w:t>2.5.1</w:t>
            </w:r>
            <w:r w:rsidR="00FA4C5A">
              <w:rPr>
                <w:rFonts w:asciiTheme="minorHAnsi" w:eastAsiaTheme="minorEastAsia" w:hAnsiTheme="minorHAnsi" w:cstheme="minorBidi"/>
                <w:szCs w:val="22"/>
              </w:rPr>
              <w:tab/>
            </w:r>
            <w:r w:rsidR="00FA4C5A" w:rsidRPr="0047094D">
              <w:rPr>
                <w:rStyle w:val="Hypertextovprepojenie"/>
              </w:rPr>
              <w:t>Fond, kategória regiónu a základ pre výpočet podpory Únie</w:t>
            </w:r>
            <w:r w:rsidR="00FA4C5A">
              <w:rPr>
                <w:webHidden/>
              </w:rPr>
              <w:tab/>
            </w:r>
            <w:r>
              <w:rPr>
                <w:webHidden/>
              </w:rPr>
              <w:fldChar w:fldCharType="begin"/>
            </w:r>
            <w:r w:rsidR="00FA4C5A">
              <w:rPr>
                <w:webHidden/>
              </w:rPr>
              <w:instrText xml:space="preserve"> PAGEREF _Toc385310708 \h </w:instrText>
            </w:r>
            <w:r>
              <w:rPr>
                <w:webHidden/>
              </w:rPr>
            </w:r>
            <w:r>
              <w:rPr>
                <w:webHidden/>
              </w:rPr>
              <w:fldChar w:fldCharType="separate"/>
            </w:r>
            <w:r w:rsidR="00FA4C5A">
              <w:rPr>
                <w:webHidden/>
              </w:rPr>
              <w:t>65</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09" w:history="1">
            <w:r w:rsidR="00FA4C5A" w:rsidRPr="0047094D">
              <w:rPr>
                <w:rStyle w:val="Hypertextovprepojenie"/>
              </w:rPr>
              <w:t>2.5.2</w:t>
            </w:r>
            <w:r w:rsidR="00FA4C5A">
              <w:rPr>
                <w:rFonts w:asciiTheme="minorHAnsi" w:eastAsiaTheme="minorEastAsia" w:hAnsiTheme="minorHAnsi" w:cstheme="minorBidi"/>
                <w:szCs w:val="22"/>
              </w:rPr>
              <w:tab/>
            </w:r>
            <w:r w:rsidR="00FA4C5A" w:rsidRPr="0047094D">
              <w:rPr>
                <w:rStyle w:val="Hypertextovprepojenie"/>
              </w:rPr>
              <w:t>INVESTIČNÁ PRIORITA 7d): Vývoj a modernizácia komplexných, interoperabilných železničných systémov vysokej kvality a podpora opatrení na znižovanie hluku</w:t>
            </w:r>
            <w:r w:rsidR="00FA4C5A">
              <w:rPr>
                <w:webHidden/>
              </w:rPr>
              <w:tab/>
            </w:r>
            <w:r>
              <w:rPr>
                <w:webHidden/>
              </w:rPr>
              <w:fldChar w:fldCharType="begin"/>
            </w:r>
            <w:r w:rsidR="00FA4C5A">
              <w:rPr>
                <w:webHidden/>
              </w:rPr>
              <w:instrText xml:space="preserve"> PAGEREF _Toc385310709 \h </w:instrText>
            </w:r>
            <w:r>
              <w:rPr>
                <w:webHidden/>
              </w:rPr>
            </w:r>
            <w:r>
              <w:rPr>
                <w:webHidden/>
              </w:rPr>
              <w:fldChar w:fldCharType="separate"/>
            </w:r>
            <w:r w:rsidR="00FA4C5A">
              <w:rPr>
                <w:webHidden/>
              </w:rPr>
              <w:t>65</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10" w:history="1">
            <w:r w:rsidR="00FA4C5A" w:rsidRPr="0047094D">
              <w:rPr>
                <w:rStyle w:val="Hypertextovprepojenie"/>
              </w:rPr>
              <w:t>2.5.3</w:t>
            </w:r>
            <w:r w:rsidR="00FA4C5A">
              <w:rPr>
                <w:rFonts w:asciiTheme="minorHAnsi" w:eastAsiaTheme="minorEastAsia" w:hAnsiTheme="minorHAnsi" w:cstheme="minorBidi"/>
                <w:szCs w:val="22"/>
              </w:rPr>
              <w:tab/>
            </w:r>
            <w:r w:rsidR="00FA4C5A" w:rsidRPr="0047094D">
              <w:rPr>
                <w:rStyle w:val="Hypertextovprepojenie"/>
              </w:rPr>
              <w:t>Aktivity, ktoré budú podporené v rámci investičnej priority</w:t>
            </w:r>
            <w:r w:rsidR="00FA4C5A">
              <w:rPr>
                <w:webHidden/>
              </w:rPr>
              <w:tab/>
            </w:r>
            <w:r>
              <w:rPr>
                <w:webHidden/>
              </w:rPr>
              <w:fldChar w:fldCharType="begin"/>
            </w:r>
            <w:r w:rsidR="00FA4C5A">
              <w:rPr>
                <w:webHidden/>
              </w:rPr>
              <w:instrText xml:space="preserve"> PAGEREF _Toc385310710 \h </w:instrText>
            </w:r>
            <w:r>
              <w:rPr>
                <w:webHidden/>
              </w:rPr>
            </w:r>
            <w:r>
              <w:rPr>
                <w:webHidden/>
              </w:rPr>
              <w:fldChar w:fldCharType="separate"/>
            </w:r>
            <w:r w:rsidR="00FA4C5A">
              <w:rPr>
                <w:webHidden/>
              </w:rPr>
              <w:t>67</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11" w:history="1">
            <w:r w:rsidR="00FA4C5A" w:rsidRPr="0047094D">
              <w:rPr>
                <w:rStyle w:val="Hypertextovprepojenie"/>
              </w:rPr>
              <w:t>2.5.4</w:t>
            </w:r>
            <w:r w:rsidR="00FA4C5A">
              <w:rPr>
                <w:rFonts w:asciiTheme="minorHAnsi" w:eastAsiaTheme="minorEastAsia" w:hAnsiTheme="minorHAnsi" w:cstheme="minorBidi"/>
                <w:szCs w:val="22"/>
              </w:rPr>
              <w:tab/>
            </w:r>
            <w:r w:rsidR="00FA4C5A" w:rsidRPr="0047094D">
              <w:rPr>
                <w:rStyle w:val="Hypertextovprepojenie"/>
              </w:rPr>
              <w:t>Výkonnostný rámec prioritnej osi</w:t>
            </w:r>
            <w:r w:rsidR="00FA4C5A">
              <w:rPr>
                <w:webHidden/>
              </w:rPr>
              <w:tab/>
            </w:r>
            <w:r>
              <w:rPr>
                <w:webHidden/>
              </w:rPr>
              <w:fldChar w:fldCharType="begin"/>
            </w:r>
            <w:r w:rsidR="00FA4C5A">
              <w:rPr>
                <w:webHidden/>
              </w:rPr>
              <w:instrText xml:space="preserve"> PAGEREF _Toc385310711 \h </w:instrText>
            </w:r>
            <w:r>
              <w:rPr>
                <w:webHidden/>
              </w:rPr>
            </w:r>
            <w:r>
              <w:rPr>
                <w:webHidden/>
              </w:rPr>
              <w:fldChar w:fldCharType="separate"/>
            </w:r>
            <w:r w:rsidR="00FA4C5A">
              <w:rPr>
                <w:webHidden/>
              </w:rPr>
              <w:t>72</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12" w:history="1">
            <w:r w:rsidR="00FA4C5A" w:rsidRPr="0047094D">
              <w:rPr>
                <w:rStyle w:val="Hypertextovprepojenie"/>
              </w:rPr>
              <w:t>2.5.5</w:t>
            </w:r>
            <w:r w:rsidR="00FA4C5A">
              <w:rPr>
                <w:rFonts w:asciiTheme="minorHAnsi" w:eastAsiaTheme="minorEastAsia" w:hAnsiTheme="minorHAnsi" w:cstheme="minorBidi"/>
                <w:szCs w:val="22"/>
              </w:rPr>
              <w:tab/>
            </w:r>
            <w:r w:rsidR="00FA4C5A" w:rsidRPr="0047094D">
              <w:rPr>
                <w:rStyle w:val="Hypertextovprepojenie"/>
              </w:rPr>
              <w:t>Kategórie intervencií</w:t>
            </w:r>
            <w:r w:rsidR="00FA4C5A">
              <w:rPr>
                <w:webHidden/>
              </w:rPr>
              <w:tab/>
            </w:r>
            <w:r>
              <w:rPr>
                <w:webHidden/>
              </w:rPr>
              <w:fldChar w:fldCharType="begin"/>
            </w:r>
            <w:r w:rsidR="00FA4C5A">
              <w:rPr>
                <w:webHidden/>
              </w:rPr>
              <w:instrText xml:space="preserve"> PAGEREF _Toc385310712 \h </w:instrText>
            </w:r>
            <w:r>
              <w:rPr>
                <w:webHidden/>
              </w:rPr>
            </w:r>
            <w:r>
              <w:rPr>
                <w:webHidden/>
              </w:rPr>
              <w:fldChar w:fldCharType="separate"/>
            </w:r>
            <w:r w:rsidR="00FA4C5A">
              <w:rPr>
                <w:webHidden/>
              </w:rPr>
              <w:t>73</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13" w:history="1">
            <w:r w:rsidR="00FA4C5A" w:rsidRPr="0047094D">
              <w:rPr>
                <w:rStyle w:val="Hypertextovprepojenie"/>
              </w:rPr>
              <w:t>2.5.6</w:t>
            </w:r>
            <w:r w:rsidR="00FA4C5A">
              <w:rPr>
                <w:rFonts w:asciiTheme="minorHAnsi" w:eastAsiaTheme="minorEastAsia" w:hAnsiTheme="minorHAnsi" w:cstheme="minorBidi"/>
                <w:szCs w:val="22"/>
              </w:rPr>
              <w:tab/>
            </w:r>
            <w:r w:rsidR="00FA4C5A" w:rsidRPr="0047094D">
              <w:rPr>
                <w:rStyle w:val="Hypertextovprepojenie"/>
              </w:rPr>
              <w:t>Súhrn plánovaného využitia technickej pomoci vrátane, ak je to vhodné, akcií na posilnenie administratívnej kapacity orgánov zapojených do riadenia a kontroly programu a prijímateľov (ak je to vhodné)</w:t>
            </w:r>
            <w:r w:rsidR="00FA4C5A">
              <w:rPr>
                <w:webHidden/>
              </w:rPr>
              <w:tab/>
            </w:r>
            <w:r>
              <w:rPr>
                <w:webHidden/>
              </w:rPr>
              <w:fldChar w:fldCharType="begin"/>
            </w:r>
            <w:r w:rsidR="00FA4C5A">
              <w:rPr>
                <w:webHidden/>
              </w:rPr>
              <w:instrText xml:space="preserve"> PAGEREF _Toc385310713 \h </w:instrText>
            </w:r>
            <w:r>
              <w:rPr>
                <w:webHidden/>
              </w:rPr>
            </w:r>
            <w:r>
              <w:rPr>
                <w:webHidden/>
              </w:rPr>
              <w:fldChar w:fldCharType="separate"/>
            </w:r>
            <w:r w:rsidR="00FA4C5A">
              <w:rPr>
                <w:webHidden/>
              </w:rPr>
              <w:t>73</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14" w:history="1">
            <w:r w:rsidR="00FA4C5A" w:rsidRPr="0047094D">
              <w:rPr>
                <w:rStyle w:val="Hypertextovprepojenie"/>
                <w:noProof/>
              </w:rPr>
              <w:t>2.6</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PRIORITNÁ OS 6: CESTNÁ INFRAŠTRUKTÚTA (mimo TEN-T CORE)</w:t>
            </w:r>
            <w:r w:rsidR="00FA4C5A">
              <w:rPr>
                <w:noProof/>
                <w:webHidden/>
              </w:rPr>
              <w:tab/>
            </w:r>
            <w:r>
              <w:rPr>
                <w:noProof/>
                <w:webHidden/>
              </w:rPr>
              <w:fldChar w:fldCharType="begin"/>
            </w:r>
            <w:r w:rsidR="00FA4C5A">
              <w:rPr>
                <w:noProof/>
                <w:webHidden/>
              </w:rPr>
              <w:instrText xml:space="preserve"> PAGEREF _Toc385310714 \h </w:instrText>
            </w:r>
            <w:r>
              <w:rPr>
                <w:noProof/>
                <w:webHidden/>
              </w:rPr>
            </w:r>
            <w:r>
              <w:rPr>
                <w:noProof/>
                <w:webHidden/>
              </w:rPr>
              <w:fldChar w:fldCharType="separate"/>
            </w:r>
            <w:r w:rsidR="00FA4C5A">
              <w:rPr>
                <w:noProof/>
                <w:webHidden/>
              </w:rPr>
              <w:t>74</w:t>
            </w:r>
            <w:r>
              <w:rPr>
                <w:noProof/>
                <w:webHidden/>
              </w:rPr>
              <w:fldChar w:fldCharType="end"/>
            </w:r>
          </w:hyperlink>
        </w:p>
        <w:p w:rsidR="00FA4C5A" w:rsidRDefault="00B75FBB">
          <w:pPr>
            <w:pStyle w:val="Obsah3"/>
            <w:rPr>
              <w:rFonts w:asciiTheme="minorHAnsi" w:eastAsiaTheme="minorEastAsia" w:hAnsiTheme="minorHAnsi" w:cstheme="minorBidi"/>
              <w:szCs w:val="22"/>
            </w:rPr>
          </w:pPr>
          <w:hyperlink w:anchor="_Toc385310715" w:history="1">
            <w:r w:rsidR="00FA4C5A" w:rsidRPr="0047094D">
              <w:rPr>
                <w:rStyle w:val="Hypertextovprepojenie"/>
              </w:rPr>
              <w:t>2.6.1</w:t>
            </w:r>
            <w:r w:rsidR="00FA4C5A">
              <w:rPr>
                <w:rFonts w:asciiTheme="minorHAnsi" w:eastAsiaTheme="minorEastAsia" w:hAnsiTheme="minorHAnsi" w:cstheme="minorBidi"/>
                <w:szCs w:val="22"/>
              </w:rPr>
              <w:tab/>
            </w:r>
            <w:r w:rsidR="00FA4C5A" w:rsidRPr="0047094D">
              <w:rPr>
                <w:rStyle w:val="Hypertextovprepojenie"/>
              </w:rPr>
              <w:t>Fond, kategória regiónu a základ pre výpočet podpory Únie</w:t>
            </w:r>
            <w:r w:rsidR="00FA4C5A">
              <w:rPr>
                <w:webHidden/>
              </w:rPr>
              <w:tab/>
            </w:r>
            <w:r>
              <w:rPr>
                <w:webHidden/>
              </w:rPr>
              <w:fldChar w:fldCharType="begin"/>
            </w:r>
            <w:r w:rsidR="00FA4C5A">
              <w:rPr>
                <w:webHidden/>
              </w:rPr>
              <w:instrText xml:space="preserve"> PAGEREF _Toc385310715 \h </w:instrText>
            </w:r>
            <w:r>
              <w:rPr>
                <w:webHidden/>
              </w:rPr>
            </w:r>
            <w:r>
              <w:rPr>
                <w:webHidden/>
              </w:rPr>
              <w:fldChar w:fldCharType="separate"/>
            </w:r>
            <w:r w:rsidR="00FA4C5A">
              <w:rPr>
                <w:webHidden/>
              </w:rPr>
              <w:t>74</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16" w:history="1">
            <w:r w:rsidR="00FA4C5A" w:rsidRPr="0047094D">
              <w:rPr>
                <w:rStyle w:val="Hypertextovprepojenie"/>
              </w:rPr>
              <w:t>2.6.2</w:t>
            </w:r>
            <w:r w:rsidR="00FA4C5A">
              <w:rPr>
                <w:rFonts w:asciiTheme="minorHAnsi" w:eastAsiaTheme="minorEastAsia" w:hAnsiTheme="minorHAnsi" w:cstheme="minorBidi"/>
                <w:szCs w:val="22"/>
              </w:rPr>
              <w:tab/>
            </w:r>
            <w:r w:rsidR="00FA4C5A" w:rsidRPr="0047094D">
              <w:rPr>
                <w:rStyle w:val="Hypertextovprepojenie"/>
              </w:rPr>
              <w:t>INVESTIČNÁ PRIORITA 7a): Podpora multimodálneho jednotného európskeho dopravného priestoru pomocou investícií do TEN-T</w:t>
            </w:r>
            <w:r w:rsidR="00FA4C5A">
              <w:rPr>
                <w:webHidden/>
              </w:rPr>
              <w:tab/>
            </w:r>
            <w:r>
              <w:rPr>
                <w:webHidden/>
              </w:rPr>
              <w:fldChar w:fldCharType="begin"/>
            </w:r>
            <w:r w:rsidR="00FA4C5A">
              <w:rPr>
                <w:webHidden/>
              </w:rPr>
              <w:instrText xml:space="preserve"> PAGEREF _Toc385310716 \h </w:instrText>
            </w:r>
            <w:r>
              <w:rPr>
                <w:webHidden/>
              </w:rPr>
            </w:r>
            <w:r>
              <w:rPr>
                <w:webHidden/>
              </w:rPr>
              <w:fldChar w:fldCharType="separate"/>
            </w:r>
            <w:r w:rsidR="00FA4C5A">
              <w:rPr>
                <w:webHidden/>
              </w:rPr>
              <w:t>74</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17" w:history="1">
            <w:r w:rsidR="00FA4C5A" w:rsidRPr="0047094D">
              <w:rPr>
                <w:rStyle w:val="Hypertextovprepojenie"/>
              </w:rPr>
              <w:t>2.6.3</w:t>
            </w:r>
            <w:r w:rsidR="00FA4C5A">
              <w:rPr>
                <w:rFonts w:asciiTheme="minorHAnsi" w:eastAsiaTheme="minorEastAsia" w:hAnsiTheme="minorHAnsi" w:cstheme="minorBidi"/>
                <w:szCs w:val="22"/>
              </w:rPr>
              <w:tab/>
            </w:r>
            <w:r w:rsidR="00FA4C5A" w:rsidRPr="0047094D">
              <w:rPr>
                <w:rStyle w:val="Hypertextovprepojenie"/>
              </w:rPr>
              <w:t>INVESTIČNÁ PRIORITA 7b): Posilnenie regionálnej mobility prepojením sekundárnych a terciárnych uzlov s infraštruktúrou TEN-T vrátane multimodálnych uzlov</w:t>
            </w:r>
            <w:r w:rsidR="00FA4C5A">
              <w:rPr>
                <w:webHidden/>
              </w:rPr>
              <w:tab/>
            </w:r>
            <w:r>
              <w:rPr>
                <w:webHidden/>
              </w:rPr>
              <w:fldChar w:fldCharType="begin"/>
            </w:r>
            <w:r w:rsidR="00FA4C5A">
              <w:rPr>
                <w:webHidden/>
              </w:rPr>
              <w:instrText xml:space="preserve"> PAGEREF _Toc385310717 \h </w:instrText>
            </w:r>
            <w:r>
              <w:rPr>
                <w:webHidden/>
              </w:rPr>
            </w:r>
            <w:r>
              <w:rPr>
                <w:webHidden/>
              </w:rPr>
              <w:fldChar w:fldCharType="separate"/>
            </w:r>
            <w:r w:rsidR="00FA4C5A">
              <w:rPr>
                <w:webHidden/>
              </w:rPr>
              <w:t>75</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18" w:history="1">
            <w:r w:rsidR="00FA4C5A" w:rsidRPr="0047094D">
              <w:rPr>
                <w:rStyle w:val="Hypertextovprepojenie"/>
              </w:rPr>
              <w:t>2.6.4</w:t>
            </w:r>
            <w:r w:rsidR="00FA4C5A">
              <w:rPr>
                <w:rFonts w:asciiTheme="minorHAnsi" w:eastAsiaTheme="minorEastAsia" w:hAnsiTheme="minorHAnsi" w:cstheme="minorBidi"/>
                <w:szCs w:val="22"/>
              </w:rPr>
              <w:tab/>
            </w:r>
            <w:r w:rsidR="00FA4C5A" w:rsidRPr="0047094D">
              <w:rPr>
                <w:rStyle w:val="Hypertextovprepojenie"/>
              </w:rPr>
              <w:t>Aktivity, ktoré budú podporené v rámci investičnej priority</w:t>
            </w:r>
            <w:r w:rsidR="00FA4C5A">
              <w:rPr>
                <w:webHidden/>
              </w:rPr>
              <w:tab/>
            </w:r>
            <w:r>
              <w:rPr>
                <w:webHidden/>
              </w:rPr>
              <w:fldChar w:fldCharType="begin"/>
            </w:r>
            <w:r w:rsidR="00FA4C5A">
              <w:rPr>
                <w:webHidden/>
              </w:rPr>
              <w:instrText xml:space="preserve"> PAGEREF _Toc385310718 \h </w:instrText>
            </w:r>
            <w:r>
              <w:rPr>
                <w:webHidden/>
              </w:rPr>
            </w:r>
            <w:r>
              <w:rPr>
                <w:webHidden/>
              </w:rPr>
              <w:fldChar w:fldCharType="separate"/>
            </w:r>
            <w:r w:rsidR="00FA4C5A">
              <w:rPr>
                <w:webHidden/>
              </w:rPr>
              <w:t>76</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19" w:history="1">
            <w:r w:rsidR="00FA4C5A" w:rsidRPr="0047094D">
              <w:rPr>
                <w:rStyle w:val="Hypertextovprepojenie"/>
              </w:rPr>
              <w:t>2.6.5</w:t>
            </w:r>
            <w:r w:rsidR="00FA4C5A">
              <w:rPr>
                <w:rFonts w:asciiTheme="minorHAnsi" w:eastAsiaTheme="minorEastAsia" w:hAnsiTheme="minorHAnsi" w:cstheme="minorBidi"/>
                <w:szCs w:val="22"/>
              </w:rPr>
              <w:tab/>
            </w:r>
            <w:r w:rsidR="00FA4C5A" w:rsidRPr="0047094D">
              <w:rPr>
                <w:rStyle w:val="Hypertextovprepojenie"/>
              </w:rPr>
              <w:t>Výkonnostný rámec prioritnej osi</w:t>
            </w:r>
            <w:r w:rsidR="00FA4C5A">
              <w:rPr>
                <w:webHidden/>
              </w:rPr>
              <w:tab/>
            </w:r>
            <w:r>
              <w:rPr>
                <w:webHidden/>
              </w:rPr>
              <w:fldChar w:fldCharType="begin"/>
            </w:r>
            <w:r w:rsidR="00FA4C5A">
              <w:rPr>
                <w:webHidden/>
              </w:rPr>
              <w:instrText xml:space="preserve"> PAGEREF _Toc385310719 \h </w:instrText>
            </w:r>
            <w:r>
              <w:rPr>
                <w:webHidden/>
              </w:rPr>
            </w:r>
            <w:r>
              <w:rPr>
                <w:webHidden/>
              </w:rPr>
              <w:fldChar w:fldCharType="separate"/>
            </w:r>
            <w:r w:rsidR="00FA4C5A">
              <w:rPr>
                <w:webHidden/>
              </w:rPr>
              <w:t>81</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20" w:history="1">
            <w:r w:rsidR="00FA4C5A" w:rsidRPr="0047094D">
              <w:rPr>
                <w:rStyle w:val="Hypertextovprepojenie"/>
              </w:rPr>
              <w:t>2.6.6</w:t>
            </w:r>
            <w:r w:rsidR="00FA4C5A">
              <w:rPr>
                <w:rFonts w:asciiTheme="minorHAnsi" w:eastAsiaTheme="minorEastAsia" w:hAnsiTheme="minorHAnsi" w:cstheme="minorBidi"/>
                <w:szCs w:val="22"/>
              </w:rPr>
              <w:tab/>
            </w:r>
            <w:r w:rsidR="00FA4C5A" w:rsidRPr="0047094D">
              <w:rPr>
                <w:rStyle w:val="Hypertextovprepojenie"/>
              </w:rPr>
              <w:t>Kategórie intervencií</w:t>
            </w:r>
            <w:r w:rsidR="00FA4C5A">
              <w:rPr>
                <w:webHidden/>
              </w:rPr>
              <w:tab/>
            </w:r>
            <w:r>
              <w:rPr>
                <w:webHidden/>
              </w:rPr>
              <w:fldChar w:fldCharType="begin"/>
            </w:r>
            <w:r w:rsidR="00FA4C5A">
              <w:rPr>
                <w:webHidden/>
              </w:rPr>
              <w:instrText xml:space="preserve"> PAGEREF _Toc385310720 \h </w:instrText>
            </w:r>
            <w:r>
              <w:rPr>
                <w:webHidden/>
              </w:rPr>
            </w:r>
            <w:r>
              <w:rPr>
                <w:webHidden/>
              </w:rPr>
              <w:fldChar w:fldCharType="separate"/>
            </w:r>
            <w:r w:rsidR="00FA4C5A">
              <w:rPr>
                <w:webHidden/>
              </w:rPr>
              <w:t>82</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21" w:history="1">
            <w:r w:rsidR="00FA4C5A" w:rsidRPr="0047094D">
              <w:rPr>
                <w:rStyle w:val="Hypertextovprepojenie"/>
              </w:rPr>
              <w:t>2.6.7</w:t>
            </w:r>
            <w:r w:rsidR="00FA4C5A">
              <w:rPr>
                <w:rFonts w:asciiTheme="minorHAnsi" w:eastAsiaTheme="minorEastAsia" w:hAnsiTheme="minorHAnsi" w:cstheme="minorBidi"/>
                <w:szCs w:val="22"/>
              </w:rPr>
              <w:tab/>
            </w:r>
            <w:r w:rsidR="00FA4C5A" w:rsidRPr="0047094D">
              <w:rPr>
                <w:rStyle w:val="Hypertextovprepojenie"/>
              </w:rPr>
              <w:t>Súhrn plánovaného využitia technickej pomoci vrátane, ak je to vhodné, akcií na posilnenie administratívnej kapacity orgánov zapojených do riadenia a kontroly programu a prijímateľov (ak je to vhodné)</w:t>
            </w:r>
            <w:r w:rsidR="00FA4C5A">
              <w:rPr>
                <w:webHidden/>
              </w:rPr>
              <w:tab/>
            </w:r>
            <w:r>
              <w:rPr>
                <w:webHidden/>
              </w:rPr>
              <w:fldChar w:fldCharType="begin"/>
            </w:r>
            <w:r w:rsidR="00FA4C5A">
              <w:rPr>
                <w:webHidden/>
              </w:rPr>
              <w:instrText xml:space="preserve"> PAGEREF _Toc385310721 \h </w:instrText>
            </w:r>
            <w:r>
              <w:rPr>
                <w:webHidden/>
              </w:rPr>
            </w:r>
            <w:r>
              <w:rPr>
                <w:webHidden/>
              </w:rPr>
              <w:fldChar w:fldCharType="separate"/>
            </w:r>
            <w:r w:rsidR="00FA4C5A">
              <w:rPr>
                <w:webHidden/>
              </w:rPr>
              <w:t>82</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22" w:history="1">
            <w:r w:rsidR="00FA4C5A" w:rsidRPr="0047094D">
              <w:rPr>
                <w:rStyle w:val="Hypertextovprepojenie"/>
                <w:noProof/>
              </w:rPr>
              <w:t>2.7</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PRIORITNÁ OS 7: INFORMAČNÁ SPOLOČNOSŤ</w:t>
            </w:r>
            <w:r w:rsidR="00FA4C5A">
              <w:rPr>
                <w:noProof/>
                <w:webHidden/>
              </w:rPr>
              <w:tab/>
            </w:r>
            <w:r>
              <w:rPr>
                <w:noProof/>
                <w:webHidden/>
              </w:rPr>
              <w:fldChar w:fldCharType="begin"/>
            </w:r>
            <w:r w:rsidR="00FA4C5A">
              <w:rPr>
                <w:noProof/>
                <w:webHidden/>
              </w:rPr>
              <w:instrText xml:space="preserve"> PAGEREF _Toc385310722 \h </w:instrText>
            </w:r>
            <w:r>
              <w:rPr>
                <w:noProof/>
                <w:webHidden/>
              </w:rPr>
            </w:r>
            <w:r>
              <w:rPr>
                <w:noProof/>
                <w:webHidden/>
              </w:rPr>
              <w:fldChar w:fldCharType="separate"/>
            </w:r>
            <w:r w:rsidR="00FA4C5A">
              <w:rPr>
                <w:noProof/>
                <w:webHidden/>
              </w:rPr>
              <w:t>83</w:t>
            </w:r>
            <w:r>
              <w:rPr>
                <w:noProof/>
                <w:webHidden/>
              </w:rPr>
              <w:fldChar w:fldCharType="end"/>
            </w:r>
          </w:hyperlink>
        </w:p>
        <w:p w:rsidR="00FA4C5A" w:rsidRDefault="00B75FBB">
          <w:pPr>
            <w:pStyle w:val="Obsah3"/>
            <w:rPr>
              <w:rFonts w:asciiTheme="minorHAnsi" w:eastAsiaTheme="minorEastAsia" w:hAnsiTheme="minorHAnsi" w:cstheme="minorBidi"/>
              <w:szCs w:val="22"/>
            </w:rPr>
          </w:pPr>
          <w:hyperlink w:anchor="_Toc385310723" w:history="1">
            <w:r w:rsidR="00FA4C5A" w:rsidRPr="0047094D">
              <w:rPr>
                <w:rStyle w:val="Hypertextovprepojenie"/>
              </w:rPr>
              <w:t>2.7.1</w:t>
            </w:r>
            <w:r w:rsidR="00FA4C5A">
              <w:rPr>
                <w:rFonts w:asciiTheme="minorHAnsi" w:eastAsiaTheme="minorEastAsia" w:hAnsiTheme="minorHAnsi" w:cstheme="minorBidi"/>
                <w:szCs w:val="22"/>
              </w:rPr>
              <w:tab/>
            </w:r>
            <w:r w:rsidR="00FA4C5A" w:rsidRPr="0047094D">
              <w:rPr>
                <w:rStyle w:val="Hypertextovprepojenie"/>
              </w:rPr>
              <w:t>Fond, kategória regiónu a základ pre výpočet podpory Únie</w:t>
            </w:r>
            <w:r w:rsidR="00FA4C5A">
              <w:rPr>
                <w:webHidden/>
              </w:rPr>
              <w:tab/>
            </w:r>
            <w:r>
              <w:rPr>
                <w:webHidden/>
              </w:rPr>
              <w:fldChar w:fldCharType="begin"/>
            </w:r>
            <w:r w:rsidR="00FA4C5A">
              <w:rPr>
                <w:webHidden/>
              </w:rPr>
              <w:instrText xml:space="preserve"> PAGEREF _Toc385310723 \h </w:instrText>
            </w:r>
            <w:r>
              <w:rPr>
                <w:webHidden/>
              </w:rPr>
            </w:r>
            <w:r>
              <w:rPr>
                <w:webHidden/>
              </w:rPr>
              <w:fldChar w:fldCharType="separate"/>
            </w:r>
            <w:r w:rsidR="00FA4C5A">
              <w:rPr>
                <w:webHidden/>
              </w:rPr>
              <w:t>83</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24" w:history="1">
            <w:r w:rsidR="00FA4C5A" w:rsidRPr="0047094D">
              <w:rPr>
                <w:rStyle w:val="Hypertextovprepojenie"/>
              </w:rPr>
              <w:t>2.7.2</w:t>
            </w:r>
            <w:r w:rsidR="00FA4C5A">
              <w:rPr>
                <w:rFonts w:asciiTheme="minorHAnsi" w:eastAsiaTheme="minorEastAsia" w:hAnsiTheme="minorHAnsi" w:cstheme="minorBidi"/>
                <w:szCs w:val="22"/>
              </w:rPr>
              <w:tab/>
            </w:r>
            <w:r w:rsidR="00FA4C5A" w:rsidRPr="0047094D">
              <w:rPr>
                <w:rStyle w:val="Hypertextovprepojenie"/>
              </w:rPr>
              <w:t>INVESTIČNÁ PRIORITA 2a): Rozšírenie širokopásmového pripojenia a zavádzanie vysokorýchlostných sietí a podpora zavádzania nastupujúcich technológií a sietí pre digitálne hospodárstvo</w:t>
            </w:r>
            <w:r w:rsidR="00FA4C5A">
              <w:rPr>
                <w:webHidden/>
              </w:rPr>
              <w:tab/>
            </w:r>
            <w:r>
              <w:rPr>
                <w:webHidden/>
              </w:rPr>
              <w:fldChar w:fldCharType="begin"/>
            </w:r>
            <w:r w:rsidR="00FA4C5A">
              <w:rPr>
                <w:webHidden/>
              </w:rPr>
              <w:instrText xml:space="preserve"> PAGEREF _Toc385310724 \h </w:instrText>
            </w:r>
            <w:r>
              <w:rPr>
                <w:webHidden/>
              </w:rPr>
            </w:r>
            <w:r>
              <w:rPr>
                <w:webHidden/>
              </w:rPr>
              <w:fldChar w:fldCharType="separate"/>
            </w:r>
            <w:r w:rsidR="00FA4C5A">
              <w:rPr>
                <w:webHidden/>
              </w:rPr>
              <w:t>83</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25" w:history="1">
            <w:r w:rsidR="00FA4C5A" w:rsidRPr="0047094D">
              <w:rPr>
                <w:rStyle w:val="Hypertextovprepojenie"/>
              </w:rPr>
              <w:t>2.7.3</w:t>
            </w:r>
            <w:r w:rsidR="00FA4C5A">
              <w:rPr>
                <w:rFonts w:asciiTheme="minorHAnsi" w:eastAsiaTheme="minorEastAsia" w:hAnsiTheme="minorHAnsi" w:cstheme="minorBidi"/>
                <w:szCs w:val="22"/>
              </w:rPr>
              <w:tab/>
            </w:r>
            <w:r w:rsidR="00FA4C5A" w:rsidRPr="0047094D">
              <w:rPr>
                <w:rStyle w:val="Hypertextovprepojenie"/>
              </w:rPr>
              <w:t>Aktivity, ktoré budú podporené v rámci investičnej priority</w:t>
            </w:r>
            <w:r w:rsidR="00FA4C5A">
              <w:rPr>
                <w:webHidden/>
              </w:rPr>
              <w:tab/>
            </w:r>
            <w:r>
              <w:rPr>
                <w:webHidden/>
              </w:rPr>
              <w:fldChar w:fldCharType="begin"/>
            </w:r>
            <w:r w:rsidR="00FA4C5A">
              <w:rPr>
                <w:webHidden/>
              </w:rPr>
              <w:instrText xml:space="preserve"> PAGEREF _Toc385310725 \h </w:instrText>
            </w:r>
            <w:r>
              <w:rPr>
                <w:webHidden/>
              </w:rPr>
            </w:r>
            <w:r>
              <w:rPr>
                <w:webHidden/>
              </w:rPr>
              <w:fldChar w:fldCharType="separate"/>
            </w:r>
            <w:r w:rsidR="00FA4C5A">
              <w:rPr>
                <w:webHidden/>
              </w:rPr>
              <w:t>84</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26" w:history="1">
            <w:r w:rsidR="00FA4C5A" w:rsidRPr="0047094D">
              <w:rPr>
                <w:rStyle w:val="Hypertextovprepojenie"/>
              </w:rPr>
              <w:t>2.7.4</w:t>
            </w:r>
            <w:r w:rsidR="00FA4C5A">
              <w:rPr>
                <w:rFonts w:asciiTheme="minorHAnsi" w:eastAsiaTheme="minorEastAsia" w:hAnsiTheme="minorHAnsi" w:cstheme="minorBidi"/>
                <w:szCs w:val="22"/>
              </w:rPr>
              <w:tab/>
            </w:r>
            <w:r w:rsidR="00FA4C5A" w:rsidRPr="0047094D">
              <w:rPr>
                <w:rStyle w:val="Hypertextovprepojenie"/>
              </w:rPr>
              <w:t>INVESTIČNÁ PRIORITA 2b): Vývoj produktov a služieb IKT, elektronického obchodu a posilnenia dopytu po IKT</w:t>
            </w:r>
            <w:r w:rsidR="00FA4C5A">
              <w:rPr>
                <w:webHidden/>
              </w:rPr>
              <w:tab/>
            </w:r>
            <w:r>
              <w:rPr>
                <w:webHidden/>
              </w:rPr>
              <w:fldChar w:fldCharType="begin"/>
            </w:r>
            <w:r w:rsidR="00FA4C5A">
              <w:rPr>
                <w:webHidden/>
              </w:rPr>
              <w:instrText xml:space="preserve"> PAGEREF _Toc385310726 \h </w:instrText>
            </w:r>
            <w:r>
              <w:rPr>
                <w:webHidden/>
              </w:rPr>
            </w:r>
            <w:r>
              <w:rPr>
                <w:webHidden/>
              </w:rPr>
              <w:fldChar w:fldCharType="separate"/>
            </w:r>
            <w:r w:rsidR="00FA4C5A">
              <w:rPr>
                <w:webHidden/>
              </w:rPr>
              <w:t>88</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27" w:history="1">
            <w:r w:rsidR="00FA4C5A" w:rsidRPr="0047094D">
              <w:rPr>
                <w:rStyle w:val="Hypertextovprepojenie"/>
              </w:rPr>
              <w:t>2.7.5</w:t>
            </w:r>
            <w:r w:rsidR="00FA4C5A">
              <w:rPr>
                <w:rFonts w:asciiTheme="minorHAnsi" w:eastAsiaTheme="minorEastAsia" w:hAnsiTheme="minorHAnsi" w:cstheme="minorBidi"/>
                <w:szCs w:val="22"/>
              </w:rPr>
              <w:tab/>
            </w:r>
            <w:r w:rsidR="00FA4C5A" w:rsidRPr="0047094D">
              <w:rPr>
                <w:rStyle w:val="Hypertextovprepojenie"/>
              </w:rPr>
              <w:t>Aktivity, ktoré budú podporené v rámci investičnej priority</w:t>
            </w:r>
            <w:r w:rsidR="00FA4C5A">
              <w:rPr>
                <w:webHidden/>
              </w:rPr>
              <w:tab/>
            </w:r>
            <w:r>
              <w:rPr>
                <w:webHidden/>
              </w:rPr>
              <w:fldChar w:fldCharType="begin"/>
            </w:r>
            <w:r w:rsidR="00FA4C5A">
              <w:rPr>
                <w:webHidden/>
              </w:rPr>
              <w:instrText xml:space="preserve"> PAGEREF _Toc385310727 \h </w:instrText>
            </w:r>
            <w:r>
              <w:rPr>
                <w:webHidden/>
              </w:rPr>
            </w:r>
            <w:r>
              <w:rPr>
                <w:webHidden/>
              </w:rPr>
              <w:fldChar w:fldCharType="separate"/>
            </w:r>
            <w:r w:rsidR="00FA4C5A">
              <w:rPr>
                <w:webHidden/>
              </w:rPr>
              <w:t>89</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28" w:history="1">
            <w:r w:rsidR="00FA4C5A" w:rsidRPr="0047094D">
              <w:rPr>
                <w:rStyle w:val="Hypertextovprepojenie"/>
              </w:rPr>
              <w:t>2.7.6</w:t>
            </w:r>
            <w:r w:rsidR="00FA4C5A">
              <w:rPr>
                <w:rFonts w:asciiTheme="minorHAnsi" w:eastAsiaTheme="minorEastAsia" w:hAnsiTheme="minorHAnsi" w:cstheme="minorBidi"/>
                <w:szCs w:val="22"/>
              </w:rPr>
              <w:tab/>
            </w:r>
            <w:r w:rsidR="00FA4C5A" w:rsidRPr="0047094D">
              <w:rPr>
                <w:rStyle w:val="Hypertextovprepojenie"/>
              </w:rPr>
              <w:t>INVESTIČNÁ PRIORITA 2c): Posilnenie aplikácií IKT v rámci elektronickej štátnej správy, elektronického vzdelávania, elektronickej inklúzie, elektronickej kultúry a elektronického zdravotníctva</w:t>
            </w:r>
            <w:r w:rsidR="00FA4C5A">
              <w:rPr>
                <w:webHidden/>
              </w:rPr>
              <w:tab/>
            </w:r>
            <w:r>
              <w:rPr>
                <w:webHidden/>
              </w:rPr>
              <w:fldChar w:fldCharType="begin"/>
            </w:r>
            <w:r w:rsidR="00FA4C5A">
              <w:rPr>
                <w:webHidden/>
              </w:rPr>
              <w:instrText xml:space="preserve"> PAGEREF _Toc385310728 \h </w:instrText>
            </w:r>
            <w:r>
              <w:rPr>
                <w:webHidden/>
              </w:rPr>
            </w:r>
            <w:r>
              <w:rPr>
                <w:webHidden/>
              </w:rPr>
              <w:fldChar w:fldCharType="separate"/>
            </w:r>
            <w:r w:rsidR="00FA4C5A">
              <w:rPr>
                <w:webHidden/>
              </w:rPr>
              <w:t>92</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29" w:history="1">
            <w:r w:rsidR="00FA4C5A" w:rsidRPr="0047094D">
              <w:rPr>
                <w:rStyle w:val="Hypertextovprepojenie"/>
              </w:rPr>
              <w:t>2.7.7</w:t>
            </w:r>
            <w:r w:rsidR="00FA4C5A">
              <w:rPr>
                <w:rFonts w:asciiTheme="minorHAnsi" w:eastAsiaTheme="minorEastAsia" w:hAnsiTheme="minorHAnsi" w:cstheme="minorBidi"/>
                <w:szCs w:val="22"/>
              </w:rPr>
              <w:tab/>
            </w:r>
            <w:r w:rsidR="00FA4C5A" w:rsidRPr="0047094D">
              <w:rPr>
                <w:rStyle w:val="Hypertextovprepojenie"/>
              </w:rPr>
              <w:t>Aktivity, ktoré budú podporené v rámci investičnej priority</w:t>
            </w:r>
            <w:r w:rsidR="00FA4C5A">
              <w:rPr>
                <w:webHidden/>
              </w:rPr>
              <w:tab/>
            </w:r>
            <w:r>
              <w:rPr>
                <w:webHidden/>
              </w:rPr>
              <w:fldChar w:fldCharType="begin"/>
            </w:r>
            <w:r w:rsidR="00FA4C5A">
              <w:rPr>
                <w:webHidden/>
              </w:rPr>
              <w:instrText xml:space="preserve"> PAGEREF _Toc385310729 \h </w:instrText>
            </w:r>
            <w:r>
              <w:rPr>
                <w:webHidden/>
              </w:rPr>
            </w:r>
            <w:r>
              <w:rPr>
                <w:webHidden/>
              </w:rPr>
              <w:fldChar w:fldCharType="separate"/>
            </w:r>
            <w:r w:rsidR="00FA4C5A">
              <w:rPr>
                <w:webHidden/>
              </w:rPr>
              <w:t>98</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30" w:history="1">
            <w:r w:rsidR="00FA4C5A" w:rsidRPr="0047094D">
              <w:rPr>
                <w:rStyle w:val="Hypertextovprepojenie"/>
              </w:rPr>
              <w:t>2.7.8</w:t>
            </w:r>
            <w:r w:rsidR="00FA4C5A">
              <w:rPr>
                <w:rFonts w:asciiTheme="minorHAnsi" w:eastAsiaTheme="minorEastAsia" w:hAnsiTheme="minorHAnsi" w:cstheme="minorBidi"/>
                <w:szCs w:val="22"/>
              </w:rPr>
              <w:tab/>
            </w:r>
            <w:r w:rsidR="00FA4C5A" w:rsidRPr="0047094D">
              <w:rPr>
                <w:rStyle w:val="Hypertextovprepojenie"/>
              </w:rPr>
              <w:t>Výkonnostný rámec prioritnej osi</w:t>
            </w:r>
            <w:r w:rsidR="00FA4C5A">
              <w:rPr>
                <w:webHidden/>
              </w:rPr>
              <w:tab/>
            </w:r>
            <w:r>
              <w:rPr>
                <w:webHidden/>
              </w:rPr>
              <w:fldChar w:fldCharType="begin"/>
            </w:r>
            <w:r w:rsidR="00FA4C5A">
              <w:rPr>
                <w:webHidden/>
              </w:rPr>
              <w:instrText xml:space="preserve"> PAGEREF _Toc385310730 \h </w:instrText>
            </w:r>
            <w:r>
              <w:rPr>
                <w:webHidden/>
              </w:rPr>
            </w:r>
            <w:r>
              <w:rPr>
                <w:webHidden/>
              </w:rPr>
              <w:fldChar w:fldCharType="separate"/>
            </w:r>
            <w:r w:rsidR="00FA4C5A">
              <w:rPr>
                <w:webHidden/>
              </w:rPr>
              <w:t>106</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31" w:history="1">
            <w:r w:rsidR="00FA4C5A" w:rsidRPr="0047094D">
              <w:rPr>
                <w:rStyle w:val="Hypertextovprepojenie"/>
              </w:rPr>
              <w:t>2.7.9</w:t>
            </w:r>
            <w:r w:rsidR="00FA4C5A">
              <w:rPr>
                <w:rFonts w:asciiTheme="minorHAnsi" w:eastAsiaTheme="minorEastAsia" w:hAnsiTheme="minorHAnsi" w:cstheme="minorBidi"/>
                <w:szCs w:val="22"/>
              </w:rPr>
              <w:tab/>
            </w:r>
            <w:r w:rsidR="00FA4C5A" w:rsidRPr="0047094D">
              <w:rPr>
                <w:rStyle w:val="Hypertextovprepojenie"/>
              </w:rPr>
              <w:t>Kategórie intervencií</w:t>
            </w:r>
            <w:r w:rsidR="00FA4C5A">
              <w:rPr>
                <w:webHidden/>
              </w:rPr>
              <w:tab/>
            </w:r>
            <w:r>
              <w:rPr>
                <w:webHidden/>
              </w:rPr>
              <w:fldChar w:fldCharType="begin"/>
            </w:r>
            <w:r w:rsidR="00FA4C5A">
              <w:rPr>
                <w:webHidden/>
              </w:rPr>
              <w:instrText xml:space="preserve"> PAGEREF _Toc385310731 \h </w:instrText>
            </w:r>
            <w:r>
              <w:rPr>
                <w:webHidden/>
              </w:rPr>
            </w:r>
            <w:r>
              <w:rPr>
                <w:webHidden/>
              </w:rPr>
              <w:fldChar w:fldCharType="separate"/>
            </w:r>
            <w:r w:rsidR="00FA4C5A">
              <w:rPr>
                <w:webHidden/>
              </w:rPr>
              <w:t>107</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32" w:history="1">
            <w:r w:rsidR="00FA4C5A" w:rsidRPr="0047094D">
              <w:rPr>
                <w:rStyle w:val="Hypertextovprepojenie"/>
              </w:rPr>
              <w:t>2.7.10</w:t>
            </w:r>
            <w:r w:rsidR="00FA4C5A">
              <w:rPr>
                <w:rFonts w:asciiTheme="minorHAnsi" w:eastAsiaTheme="minorEastAsia" w:hAnsiTheme="minorHAnsi" w:cstheme="minorBidi"/>
                <w:szCs w:val="22"/>
              </w:rPr>
              <w:tab/>
            </w:r>
            <w:r w:rsidR="00FA4C5A" w:rsidRPr="0047094D">
              <w:rPr>
                <w:rStyle w:val="Hypertextovprepojenie"/>
              </w:rPr>
              <w:t>Súhrn plánovaného využitia technickej pomoci vrátane, ak je to vhodné, akcií na posilnenie administratívnej kapacity orgánov zapojených do riadenia a kontroly programu a prijímateľov (ak je to vhodné)</w:t>
            </w:r>
            <w:r w:rsidR="00FA4C5A">
              <w:rPr>
                <w:webHidden/>
              </w:rPr>
              <w:tab/>
            </w:r>
            <w:r>
              <w:rPr>
                <w:webHidden/>
              </w:rPr>
              <w:fldChar w:fldCharType="begin"/>
            </w:r>
            <w:r w:rsidR="00FA4C5A">
              <w:rPr>
                <w:webHidden/>
              </w:rPr>
              <w:instrText xml:space="preserve"> PAGEREF _Toc385310732 \h </w:instrText>
            </w:r>
            <w:r>
              <w:rPr>
                <w:webHidden/>
              </w:rPr>
            </w:r>
            <w:r>
              <w:rPr>
                <w:webHidden/>
              </w:rPr>
              <w:fldChar w:fldCharType="separate"/>
            </w:r>
            <w:r w:rsidR="00FA4C5A">
              <w:rPr>
                <w:webHidden/>
              </w:rPr>
              <w:t>107</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33" w:history="1">
            <w:r w:rsidR="00FA4C5A" w:rsidRPr="0047094D">
              <w:rPr>
                <w:rStyle w:val="Hypertextovprepojenie"/>
                <w:noProof/>
              </w:rPr>
              <w:t>Popis prioritných osí pre technickú pomoc</w:t>
            </w:r>
            <w:r w:rsidR="00FA4C5A">
              <w:rPr>
                <w:noProof/>
                <w:webHidden/>
              </w:rPr>
              <w:tab/>
            </w:r>
            <w:r>
              <w:rPr>
                <w:noProof/>
                <w:webHidden/>
              </w:rPr>
              <w:fldChar w:fldCharType="begin"/>
            </w:r>
            <w:r w:rsidR="00FA4C5A">
              <w:rPr>
                <w:noProof/>
                <w:webHidden/>
              </w:rPr>
              <w:instrText xml:space="preserve"> PAGEREF _Toc385310733 \h </w:instrText>
            </w:r>
            <w:r>
              <w:rPr>
                <w:noProof/>
                <w:webHidden/>
              </w:rPr>
            </w:r>
            <w:r>
              <w:rPr>
                <w:noProof/>
                <w:webHidden/>
              </w:rPr>
              <w:fldChar w:fldCharType="separate"/>
            </w:r>
            <w:r w:rsidR="00FA4C5A">
              <w:rPr>
                <w:noProof/>
                <w:webHidden/>
              </w:rPr>
              <w:t>108</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34" w:history="1">
            <w:r w:rsidR="00FA4C5A" w:rsidRPr="0047094D">
              <w:rPr>
                <w:rStyle w:val="Hypertextovprepojenie"/>
                <w:noProof/>
              </w:rPr>
              <w:t>2.8</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Prioritná os 8 – Technická pomoc</w:t>
            </w:r>
            <w:r w:rsidR="00FA4C5A">
              <w:rPr>
                <w:noProof/>
                <w:webHidden/>
              </w:rPr>
              <w:tab/>
            </w:r>
            <w:r>
              <w:rPr>
                <w:noProof/>
                <w:webHidden/>
              </w:rPr>
              <w:fldChar w:fldCharType="begin"/>
            </w:r>
            <w:r w:rsidR="00FA4C5A">
              <w:rPr>
                <w:noProof/>
                <w:webHidden/>
              </w:rPr>
              <w:instrText xml:space="preserve"> PAGEREF _Toc385310734 \h </w:instrText>
            </w:r>
            <w:r>
              <w:rPr>
                <w:noProof/>
                <w:webHidden/>
              </w:rPr>
            </w:r>
            <w:r>
              <w:rPr>
                <w:noProof/>
                <w:webHidden/>
              </w:rPr>
              <w:fldChar w:fldCharType="separate"/>
            </w:r>
            <w:r w:rsidR="00FA4C5A">
              <w:rPr>
                <w:noProof/>
                <w:webHidden/>
              </w:rPr>
              <w:t>108</w:t>
            </w:r>
            <w:r>
              <w:rPr>
                <w:noProof/>
                <w:webHidden/>
              </w:rPr>
              <w:fldChar w:fldCharType="end"/>
            </w:r>
          </w:hyperlink>
        </w:p>
        <w:p w:rsidR="00FA4C5A" w:rsidRDefault="00B75FBB">
          <w:pPr>
            <w:pStyle w:val="Obsah3"/>
            <w:rPr>
              <w:rFonts w:asciiTheme="minorHAnsi" w:eastAsiaTheme="minorEastAsia" w:hAnsiTheme="minorHAnsi" w:cstheme="minorBidi"/>
              <w:szCs w:val="22"/>
            </w:rPr>
          </w:pPr>
          <w:hyperlink w:anchor="_Toc385310735" w:history="1">
            <w:r w:rsidR="00FA4C5A" w:rsidRPr="0047094D">
              <w:rPr>
                <w:rStyle w:val="Hypertextovprepojenie"/>
              </w:rPr>
              <w:t>2.8.1</w:t>
            </w:r>
            <w:r w:rsidR="00FA4C5A">
              <w:rPr>
                <w:rFonts w:asciiTheme="minorHAnsi" w:eastAsiaTheme="minorEastAsia" w:hAnsiTheme="minorHAnsi" w:cstheme="minorBidi"/>
                <w:szCs w:val="22"/>
              </w:rPr>
              <w:tab/>
            </w:r>
            <w:r w:rsidR="00FA4C5A" w:rsidRPr="0047094D">
              <w:rPr>
                <w:rStyle w:val="Hypertextovprepojenie"/>
              </w:rPr>
              <w:t>Fond, kategória regiónu a základ pre výpočet podpory Únie</w:t>
            </w:r>
            <w:r w:rsidR="00FA4C5A">
              <w:rPr>
                <w:webHidden/>
              </w:rPr>
              <w:tab/>
            </w:r>
            <w:r>
              <w:rPr>
                <w:webHidden/>
              </w:rPr>
              <w:fldChar w:fldCharType="begin"/>
            </w:r>
            <w:r w:rsidR="00FA4C5A">
              <w:rPr>
                <w:webHidden/>
              </w:rPr>
              <w:instrText xml:space="preserve"> PAGEREF _Toc385310735 \h </w:instrText>
            </w:r>
            <w:r>
              <w:rPr>
                <w:webHidden/>
              </w:rPr>
            </w:r>
            <w:r>
              <w:rPr>
                <w:webHidden/>
              </w:rPr>
              <w:fldChar w:fldCharType="separate"/>
            </w:r>
            <w:r w:rsidR="00FA4C5A">
              <w:rPr>
                <w:webHidden/>
              </w:rPr>
              <w:t>108</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36" w:history="1">
            <w:r w:rsidR="00FA4C5A" w:rsidRPr="0047094D">
              <w:rPr>
                <w:rStyle w:val="Hypertextovprepojenie"/>
              </w:rPr>
              <w:t>2.8.2</w:t>
            </w:r>
            <w:r w:rsidR="00FA4C5A">
              <w:rPr>
                <w:rFonts w:asciiTheme="minorHAnsi" w:eastAsiaTheme="minorEastAsia" w:hAnsiTheme="minorHAnsi" w:cstheme="minorBidi"/>
                <w:szCs w:val="22"/>
              </w:rPr>
              <w:tab/>
            </w:r>
            <w:r w:rsidR="00FA4C5A" w:rsidRPr="0047094D">
              <w:rPr>
                <w:rStyle w:val="Hypertextovprepojenie"/>
              </w:rPr>
              <w:t>Špecifické ciele pre investičné priority a očakávané výsledky</w:t>
            </w:r>
            <w:r w:rsidR="00FA4C5A">
              <w:rPr>
                <w:webHidden/>
              </w:rPr>
              <w:tab/>
            </w:r>
            <w:r>
              <w:rPr>
                <w:webHidden/>
              </w:rPr>
              <w:fldChar w:fldCharType="begin"/>
            </w:r>
            <w:r w:rsidR="00FA4C5A">
              <w:rPr>
                <w:webHidden/>
              </w:rPr>
              <w:instrText xml:space="preserve"> PAGEREF _Toc385310736 \h </w:instrText>
            </w:r>
            <w:r>
              <w:rPr>
                <w:webHidden/>
              </w:rPr>
            </w:r>
            <w:r>
              <w:rPr>
                <w:webHidden/>
              </w:rPr>
              <w:fldChar w:fldCharType="separate"/>
            </w:r>
            <w:r w:rsidR="00FA4C5A">
              <w:rPr>
                <w:webHidden/>
              </w:rPr>
              <w:t>108</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37" w:history="1">
            <w:r w:rsidR="00FA4C5A" w:rsidRPr="0047094D">
              <w:rPr>
                <w:rStyle w:val="Hypertextovprepojenie"/>
              </w:rPr>
              <w:t>2.8.3</w:t>
            </w:r>
            <w:r w:rsidR="00FA4C5A">
              <w:rPr>
                <w:rFonts w:asciiTheme="minorHAnsi" w:eastAsiaTheme="minorEastAsia" w:hAnsiTheme="minorHAnsi" w:cstheme="minorBidi"/>
                <w:szCs w:val="22"/>
              </w:rPr>
              <w:tab/>
            </w:r>
            <w:r w:rsidR="00FA4C5A" w:rsidRPr="0047094D">
              <w:rPr>
                <w:rStyle w:val="Hypertextovprepojenie"/>
              </w:rPr>
              <w:t>Aktivity, ktoré budú podporené a ich očakávaný prínos k špecifickému cieľu</w:t>
            </w:r>
            <w:r w:rsidR="00FA4C5A">
              <w:rPr>
                <w:webHidden/>
              </w:rPr>
              <w:tab/>
            </w:r>
            <w:r>
              <w:rPr>
                <w:webHidden/>
              </w:rPr>
              <w:fldChar w:fldCharType="begin"/>
            </w:r>
            <w:r w:rsidR="00FA4C5A">
              <w:rPr>
                <w:webHidden/>
              </w:rPr>
              <w:instrText xml:space="preserve"> PAGEREF _Toc385310737 \h </w:instrText>
            </w:r>
            <w:r>
              <w:rPr>
                <w:webHidden/>
              </w:rPr>
            </w:r>
            <w:r>
              <w:rPr>
                <w:webHidden/>
              </w:rPr>
              <w:fldChar w:fldCharType="separate"/>
            </w:r>
            <w:r w:rsidR="00FA4C5A">
              <w:rPr>
                <w:webHidden/>
              </w:rPr>
              <w:t>108</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38" w:history="1">
            <w:r w:rsidR="00FA4C5A" w:rsidRPr="0047094D">
              <w:rPr>
                <w:rStyle w:val="Hypertextovprepojenie"/>
              </w:rPr>
              <w:t>2.8.4</w:t>
            </w:r>
            <w:r w:rsidR="00FA4C5A">
              <w:rPr>
                <w:rFonts w:asciiTheme="minorHAnsi" w:eastAsiaTheme="minorEastAsia" w:hAnsiTheme="minorHAnsi" w:cstheme="minorBidi"/>
                <w:szCs w:val="22"/>
              </w:rPr>
              <w:tab/>
            </w:r>
            <w:r w:rsidR="00FA4C5A" w:rsidRPr="0047094D">
              <w:rPr>
                <w:rStyle w:val="Hypertextovprepojenie"/>
              </w:rPr>
              <w:t>Aktivity, ktoré budú podporené a ich očakávaný prínos k špecifickému cieľu</w:t>
            </w:r>
            <w:r w:rsidR="00FA4C5A">
              <w:rPr>
                <w:webHidden/>
              </w:rPr>
              <w:tab/>
            </w:r>
            <w:r>
              <w:rPr>
                <w:webHidden/>
              </w:rPr>
              <w:fldChar w:fldCharType="begin"/>
            </w:r>
            <w:r w:rsidR="00FA4C5A">
              <w:rPr>
                <w:webHidden/>
              </w:rPr>
              <w:instrText xml:space="preserve"> PAGEREF _Toc385310738 \h </w:instrText>
            </w:r>
            <w:r>
              <w:rPr>
                <w:webHidden/>
              </w:rPr>
            </w:r>
            <w:r>
              <w:rPr>
                <w:webHidden/>
              </w:rPr>
              <w:fldChar w:fldCharType="separate"/>
            </w:r>
            <w:r w:rsidR="00FA4C5A">
              <w:rPr>
                <w:webHidden/>
              </w:rPr>
              <w:t>109</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39" w:history="1">
            <w:r w:rsidR="00FA4C5A" w:rsidRPr="0047094D">
              <w:rPr>
                <w:rStyle w:val="Hypertextovprepojenie"/>
              </w:rPr>
              <w:t>2.8.5</w:t>
            </w:r>
            <w:r w:rsidR="00FA4C5A">
              <w:rPr>
                <w:rFonts w:asciiTheme="minorHAnsi" w:eastAsiaTheme="minorEastAsia" w:hAnsiTheme="minorHAnsi" w:cstheme="minorBidi"/>
                <w:szCs w:val="22"/>
              </w:rPr>
              <w:tab/>
            </w:r>
            <w:r w:rsidR="00FA4C5A" w:rsidRPr="0047094D">
              <w:rPr>
                <w:rStyle w:val="Hypertextovprepojenie"/>
              </w:rPr>
              <w:t>Aktivity, ktoré budú podporené a ich očakávaný prínos k špecifickému cieľu</w:t>
            </w:r>
            <w:r w:rsidR="00FA4C5A">
              <w:rPr>
                <w:webHidden/>
              </w:rPr>
              <w:tab/>
            </w:r>
            <w:r>
              <w:rPr>
                <w:webHidden/>
              </w:rPr>
              <w:fldChar w:fldCharType="begin"/>
            </w:r>
            <w:r w:rsidR="00FA4C5A">
              <w:rPr>
                <w:webHidden/>
              </w:rPr>
              <w:instrText xml:space="preserve"> PAGEREF _Toc385310739 \h </w:instrText>
            </w:r>
            <w:r>
              <w:rPr>
                <w:webHidden/>
              </w:rPr>
            </w:r>
            <w:r>
              <w:rPr>
                <w:webHidden/>
              </w:rPr>
              <w:fldChar w:fldCharType="separate"/>
            </w:r>
            <w:r w:rsidR="00FA4C5A">
              <w:rPr>
                <w:webHidden/>
              </w:rPr>
              <w:t>110</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40" w:history="1">
            <w:r w:rsidR="00FA4C5A" w:rsidRPr="0047094D">
              <w:rPr>
                <w:rStyle w:val="Hypertextovprepojenie"/>
              </w:rPr>
              <w:t>2.8.6</w:t>
            </w:r>
            <w:r w:rsidR="00FA4C5A">
              <w:rPr>
                <w:rFonts w:asciiTheme="minorHAnsi" w:eastAsiaTheme="minorEastAsia" w:hAnsiTheme="minorHAnsi" w:cstheme="minorBidi"/>
                <w:szCs w:val="22"/>
              </w:rPr>
              <w:tab/>
            </w:r>
            <w:r w:rsidR="00FA4C5A" w:rsidRPr="0047094D">
              <w:rPr>
                <w:rStyle w:val="Hypertextovprepojenie"/>
              </w:rPr>
              <w:t>Aktivity, ktoré budú podporené a ich očakávaný prínos k špecifickému cieľu</w:t>
            </w:r>
            <w:r w:rsidR="00FA4C5A">
              <w:rPr>
                <w:webHidden/>
              </w:rPr>
              <w:tab/>
            </w:r>
            <w:r>
              <w:rPr>
                <w:webHidden/>
              </w:rPr>
              <w:fldChar w:fldCharType="begin"/>
            </w:r>
            <w:r w:rsidR="00FA4C5A">
              <w:rPr>
                <w:webHidden/>
              </w:rPr>
              <w:instrText xml:space="preserve"> PAGEREF _Toc385310740 \h </w:instrText>
            </w:r>
            <w:r>
              <w:rPr>
                <w:webHidden/>
              </w:rPr>
            </w:r>
            <w:r>
              <w:rPr>
                <w:webHidden/>
              </w:rPr>
              <w:fldChar w:fldCharType="separate"/>
            </w:r>
            <w:r w:rsidR="00FA4C5A">
              <w:rPr>
                <w:webHidden/>
              </w:rPr>
              <w:t>111</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41" w:history="1">
            <w:r w:rsidR="00FA4C5A" w:rsidRPr="0047094D">
              <w:rPr>
                <w:rStyle w:val="Hypertextovprepojenie"/>
              </w:rPr>
              <w:t>2.8.7</w:t>
            </w:r>
            <w:r w:rsidR="00FA4C5A">
              <w:rPr>
                <w:rFonts w:asciiTheme="minorHAnsi" w:eastAsiaTheme="minorEastAsia" w:hAnsiTheme="minorHAnsi" w:cstheme="minorBidi"/>
                <w:szCs w:val="22"/>
              </w:rPr>
              <w:tab/>
            </w:r>
            <w:r w:rsidR="00FA4C5A" w:rsidRPr="0047094D">
              <w:rPr>
                <w:rStyle w:val="Hypertextovprepojenie"/>
              </w:rPr>
              <w:t>Kategórie intervencií</w:t>
            </w:r>
            <w:r w:rsidR="00FA4C5A">
              <w:rPr>
                <w:webHidden/>
              </w:rPr>
              <w:tab/>
            </w:r>
            <w:r>
              <w:rPr>
                <w:webHidden/>
              </w:rPr>
              <w:fldChar w:fldCharType="begin"/>
            </w:r>
            <w:r w:rsidR="00FA4C5A">
              <w:rPr>
                <w:webHidden/>
              </w:rPr>
              <w:instrText xml:space="preserve"> PAGEREF _Toc385310741 \h </w:instrText>
            </w:r>
            <w:r>
              <w:rPr>
                <w:webHidden/>
              </w:rPr>
            </w:r>
            <w:r>
              <w:rPr>
                <w:webHidden/>
              </w:rPr>
              <w:fldChar w:fldCharType="separate"/>
            </w:r>
            <w:r w:rsidR="00FA4C5A">
              <w:rPr>
                <w:webHidden/>
              </w:rPr>
              <w:t>112</w:t>
            </w:r>
            <w:r>
              <w:rPr>
                <w:webHidden/>
              </w:rPr>
              <w:fldChar w:fldCharType="end"/>
            </w:r>
          </w:hyperlink>
        </w:p>
        <w:p w:rsidR="00FA4C5A" w:rsidRDefault="00B75FBB">
          <w:pPr>
            <w:pStyle w:val="Obsah1"/>
            <w:rPr>
              <w:rFonts w:asciiTheme="minorHAnsi" w:eastAsiaTheme="minorEastAsia" w:hAnsiTheme="minorHAnsi" w:cstheme="minorBidi"/>
              <w:b w:val="0"/>
              <w:bCs w:val="0"/>
              <w:caps w:val="0"/>
              <w:szCs w:val="22"/>
            </w:rPr>
          </w:pPr>
          <w:hyperlink w:anchor="_Toc385310742" w:history="1">
            <w:r w:rsidR="00FA4C5A" w:rsidRPr="0047094D">
              <w:rPr>
                <w:rStyle w:val="Hypertextovprepojenie"/>
              </w:rPr>
              <w:t>3</w:t>
            </w:r>
            <w:r w:rsidR="00FA4C5A">
              <w:rPr>
                <w:rFonts w:asciiTheme="minorHAnsi" w:eastAsiaTheme="minorEastAsia" w:hAnsiTheme="minorHAnsi" w:cstheme="minorBidi"/>
                <w:b w:val="0"/>
                <w:bCs w:val="0"/>
                <w:caps w:val="0"/>
                <w:szCs w:val="22"/>
              </w:rPr>
              <w:tab/>
            </w:r>
            <w:r w:rsidR="00FA4C5A" w:rsidRPr="0047094D">
              <w:rPr>
                <w:rStyle w:val="Hypertextovprepojenie"/>
              </w:rPr>
              <w:t>Finančný plán operačného programu</w:t>
            </w:r>
            <w:r w:rsidR="00FA4C5A">
              <w:rPr>
                <w:webHidden/>
              </w:rPr>
              <w:tab/>
            </w:r>
            <w:r>
              <w:rPr>
                <w:webHidden/>
              </w:rPr>
              <w:fldChar w:fldCharType="begin"/>
            </w:r>
            <w:r w:rsidR="00FA4C5A">
              <w:rPr>
                <w:webHidden/>
              </w:rPr>
              <w:instrText xml:space="preserve"> PAGEREF _Toc385310742 \h </w:instrText>
            </w:r>
            <w:r>
              <w:rPr>
                <w:webHidden/>
              </w:rPr>
            </w:r>
            <w:r>
              <w:rPr>
                <w:webHidden/>
              </w:rPr>
              <w:fldChar w:fldCharType="separate"/>
            </w:r>
            <w:r w:rsidR="00FA4C5A">
              <w:rPr>
                <w:webHidden/>
              </w:rPr>
              <w:t>113</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43" w:history="1">
            <w:r w:rsidR="00FA4C5A" w:rsidRPr="0047094D">
              <w:rPr>
                <w:rStyle w:val="Hypertextovprepojenie"/>
                <w:noProof/>
              </w:rPr>
              <w:t>3.1</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Prehľad podľa jednotlivých rokov, celková výška finančných prostriedkov navrhovaných na podporu z jednotlivých fondov s vymedzením zodpovedajúcej výšky výkonnostnej rezervy (zdroje EÚ)</w:t>
            </w:r>
            <w:r w:rsidR="00FA4C5A">
              <w:rPr>
                <w:noProof/>
                <w:webHidden/>
              </w:rPr>
              <w:tab/>
            </w:r>
            <w:r>
              <w:rPr>
                <w:noProof/>
                <w:webHidden/>
              </w:rPr>
              <w:fldChar w:fldCharType="begin"/>
            </w:r>
            <w:r w:rsidR="00FA4C5A">
              <w:rPr>
                <w:noProof/>
                <w:webHidden/>
              </w:rPr>
              <w:instrText xml:space="preserve"> PAGEREF _Toc385310743 \h </w:instrText>
            </w:r>
            <w:r>
              <w:rPr>
                <w:noProof/>
                <w:webHidden/>
              </w:rPr>
            </w:r>
            <w:r>
              <w:rPr>
                <w:noProof/>
                <w:webHidden/>
              </w:rPr>
              <w:fldChar w:fldCharType="separate"/>
            </w:r>
            <w:r w:rsidR="00FA4C5A">
              <w:rPr>
                <w:noProof/>
                <w:webHidden/>
              </w:rPr>
              <w:t>113</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44" w:history="1">
            <w:r w:rsidR="00FA4C5A" w:rsidRPr="0047094D">
              <w:rPr>
                <w:rStyle w:val="Hypertextovprepojenie"/>
                <w:noProof/>
              </w:rPr>
              <w:t>3.2</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Finančný plán operačného programu, ktorý stanovuje celkovú výšku finančných prostriedkov na programové obdobie 2014 – 2020 z každého fondu ako aj výšku národného spolufinancovania na úrovni programu a jednotlivých prioritných osí (EUR)</w:t>
            </w:r>
            <w:r w:rsidR="00FA4C5A">
              <w:rPr>
                <w:noProof/>
                <w:webHidden/>
              </w:rPr>
              <w:tab/>
            </w:r>
            <w:r>
              <w:rPr>
                <w:noProof/>
                <w:webHidden/>
              </w:rPr>
              <w:fldChar w:fldCharType="begin"/>
            </w:r>
            <w:r w:rsidR="00FA4C5A">
              <w:rPr>
                <w:noProof/>
                <w:webHidden/>
              </w:rPr>
              <w:instrText xml:space="preserve"> PAGEREF _Toc385310744 \h </w:instrText>
            </w:r>
            <w:r>
              <w:rPr>
                <w:noProof/>
                <w:webHidden/>
              </w:rPr>
            </w:r>
            <w:r>
              <w:rPr>
                <w:noProof/>
                <w:webHidden/>
              </w:rPr>
              <w:fldChar w:fldCharType="separate"/>
            </w:r>
            <w:r w:rsidR="00FA4C5A">
              <w:rPr>
                <w:noProof/>
                <w:webHidden/>
              </w:rPr>
              <w:t>114</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45" w:history="1">
            <w:r w:rsidR="00FA4C5A" w:rsidRPr="0047094D">
              <w:rPr>
                <w:rStyle w:val="Hypertextovprepojenie"/>
                <w:noProof/>
              </w:rPr>
              <w:t>3.3</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Indikatívna alokácia na podporu cieľov zmeny klímy</w:t>
            </w:r>
            <w:r w:rsidR="00FA4C5A">
              <w:rPr>
                <w:noProof/>
                <w:webHidden/>
              </w:rPr>
              <w:tab/>
            </w:r>
            <w:r>
              <w:rPr>
                <w:noProof/>
                <w:webHidden/>
              </w:rPr>
              <w:fldChar w:fldCharType="begin"/>
            </w:r>
            <w:r w:rsidR="00FA4C5A">
              <w:rPr>
                <w:noProof/>
                <w:webHidden/>
              </w:rPr>
              <w:instrText xml:space="preserve"> PAGEREF _Toc385310745 \h </w:instrText>
            </w:r>
            <w:r>
              <w:rPr>
                <w:noProof/>
                <w:webHidden/>
              </w:rPr>
            </w:r>
            <w:r>
              <w:rPr>
                <w:noProof/>
                <w:webHidden/>
              </w:rPr>
              <w:fldChar w:fldCharType="separate"/>
            </w:r>
            <w:r w:rsidR="00FA4C5A">
              <w:rPr>
                <w:noProof/>
                <w:webHidden/>
              </w:rPr>
              <w:t>115</w:t>
            </w:r>
            <w:r>
              <w:rPr>
                <w:noProof/>
                <w:webHidden/>
              </w:rPr>
              <w:fldChar w:fldCharType="end"/>
            </w:r>
          </w:hyperlink>
        </w:p>
        <w:p w:rsidR="00FA4C5A" w:rsidRDefault="00B75FBB">
          <w:pPr>
            <w:pStyle w:val="Obsah1"/>
            <w:rPr>
              <w:rFonts w:asciiTheme="minorHAnsi" w:eastAsiaTheme="minorEastAsia" w:hAnsiTheme="minorHAnsi" w:cstheme="minorBidi"/>
              <w:b w:val="0"/>
              <w:bCs w:val="0"/>
              <w:caps w:val="0"/>
              <w:szCs w:val="22"/>
            </w:rPr>
          </w:pPr>
          <w:hyperlink w:anchor="_Toc385310746" w:history="1">
            <w:r w:rsidR="00FA4C5A" w:rsidRPr="0047094D">
              <w:rPr>
                <w:rStyle w:val="Hypertextovprepojenie"/>
              </w:rPr>
              <w:t>4</w:t>
            </w:r>
            <w:r w:rsidR="00FA4C5A">
              <w:rPr>
                <w:rFonts w:asciiTheme="minorHAnsi" w:eastAsiaTheme="minorEastAsia" w:hAnsiTheme="minorHAnsi" w:cstheme="minorBidi"/>
                <w:b w:val="0"/>
                <w:bCs w:val="0"/>
                <w:caps w:val="0"/>
                <w:szCs w:val="22"/>
              </w:rPr>
              <w:tab/>
            </w:r>
            <w:r w:rsidR="00FA4C5A" w:rsidRPr="0047094D">
              <w:rPr>
                <w:rStyle w:val="Hypertextovprepojenie"/>
              </w:rPr>
              <w:t>Integrovaný prístup k územnému rozvoju</w:t>
            </w:r>
            <w:r w:rsidR="00FA4C5A">
              <w:rPr>
                <w:webHidden/>
              </w:rPr>
              <w:tab/>
            </w:r>
            <w:r>
              <w:rPr>
                <w:webHidden/>
              </w:rPr>
              <w:fldChar w:fldCharType="begin"/>
            </w:r>
            <w:r w:rsidR="00FA4C5A">
              <w:rPr>
                <w:webHidden/>
              </w:rPr>
              <w:instrText xml:space="preserve"> PAGEREF _Toc385310746 \h </w:instrText>
            </w:r>
            <w:r>
              <w:rPr>
                <w:webHidden/>
              </w:rPr>
            </w:r>
            <w:r>
              <w:rPr>
                <w:webHidden/>
              </w:rPr>
              <w:fldChar w:fldCharType="separate"/>
            </w:r>
            <w:r w:rsidR="00FA4C5A">
              <w:rPr>
                <w:webHidden/>
              </w:rPr>
              <w:t>116</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47" w:history="1">
            <w:r w:rsidR="00FA4C5A" w:rsidRPr="0047094D">
              <w:rPr>
                <w:rStyle w:val="Hypertextovprepojenie"/>
                <w:noProof/>
              </w:rPr>
              <w:t>4.1</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Miestny rozvoj vedený komunitou</w:t>
            </w:r>
            <w:r w:rsidR="00FA4C5A">
              <w:rPr>
                <w:noProof/>
                <w:webHidden/>
              </w:rPr>
              <w:tab/>
            </w:r>
            <w:r>
              <w:rPr>
                <w:noProof/>
                <w:webHidden/>
              </w:rPr>
              <w:fldChar w:fldCharType="begin"/>
            </w:r>
            <w:r w:rsidR="00FA4C5A">
              <w:rPr>
                <w:noProof/>
                <w:webHidden/>
              </w:rPr>
              <w:instrText xml:space="preserve"> PAGEREF _Toc385310747 \h </w:instrText>
            </w:r>
            <w:r>
              <w:rPr>
                <w:noProof/>
                <w:webHidden/>
              </w:rPr>
            </w:r>
            <w:r>
              <w:rPr>
                <w:noProof/>
                <w:webHidden/>
              </w:rPr>
              <w:fldChar w:fldCharType="separate"/>
            </w:r>
            <w:r w:rsidR="00FA4C5A">
              <w:rPr>
                <w:noProof/>
                <w:webHidden/>
              </w:rPr>
              <w:t>116</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48" w:history="1">
            <w:r w:rsidR="00FA4C5A" w:rsidRPr="0047094D">
              <w:rPr>
                <w:rStyle w:val="Hypertextovprepojenie"/>
                <w:noProof/>
              </w:rPr>
              <w:t>4.2</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Trvalo udržateľný mestský rozvoj</w:t>
            </w:r>
            <w:r w:rsidR="00FA4C5A">
              <w:rPr>
                <w:noProof/>
                <w:webHidden/>
              </w:rPr>
              <w:tab/>
            </w:r>
            <w:r>
              <w:rPr>
                <w:noProof/>
                <w:webHidden/>
              </w:rPr>
              <w:fldChar w:fldCharType="begin"/>
            </w:r>
            <w:r w:rsidR="00FA4C5A">
              <w:rPr>
                <w:noProof/>
                <w:webHidden/>
              </w:rPr>
              <w:instrText xml:space="preserve"> PAGEREF _Toc385310748 \h </w:instrText>
            </w:r>
            <w:r>
              <w:rPr>
                <w:noProof/>
                <w:webHidden/>
              </w:rPr>
            </w:r>
            <w:r>
              <w:rPr>
                <w:noProof/>
                <w:webHidden/>
              </w:rPr>
              <w:fldChar w:fldCharType="separate"/>
            </w:r>
            <w:r w:rsidR="00FA4C5A">
              <w:rPr>
                <w:noProof/>
                <w:webHidden/>
              </w:rPr>
              <w:t>116</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49" w:history="1">
            <w:r w:rsidR="00FA4C5A" w:rsidRPr="0047094D">
              <w:rPr>
                <w:rStyle w:val="Hypertextovprepojenie"/>
                <w:noProof/>
              </w:rPr>
              <w:t>4.3</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Integrovaná územná investícia (ITI)</w:t>
            </w:r>
            <w:r w:rsidR="00FA4C5A">
              <w:rPr>
                <w:noProof/>
                <w:webHidden/>
              </w:rPr>
              <w:tab/>
            </w:r>
            <w:r>
              <w:rPr>
                <w:noProof/>
                <w:webHidden/>
              </w:rPr>
              <w:fldChar w:fldCharType="begin"/>
            </w:r>
            <w:r w:rsidR="00FA4C5A">
              <w:rPr>
                <w:noProof/>
                <w:webHidden/>
              </w:rPr>
              <w:instrText xml:space="preserve"> PAGEREF _Toc385310749 \h </w:instrText>
            </w:r>
            <w:r>
              <w:rPr>
                <w:noProof/>
                <w:webHidden/>
              </w:rPr>
            </w:r>
            <w:r>
              <w:rPr>
                <w:noProof/>
                <w:webHidden/>
              </w:rPr>
              <w:fldChar w:fldCharType="separate"/>
            </w:r>
            <w:r w:rsidR="00FA4C5A">
              <w:rPr>
                <w:noProof/>
                <w:webHidden/>
              </w:rPr>
              <w:t>116</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50" w:history="1">
            <w:r w:rsidR="00FA4C5A" w:rsidRPr="0047094D">
              <w:rPr>
                <w:rStyle w:val="Hypertextovprepojenie"/>
                <w:noProof/>
              </w:rPr>
              <w:t>4.4</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Opatrenia pre medziregionálne a nadnárodné akcie v rámci operačného programu, ktorých prijímatelia sa nachádzajú aspoň v jednom inom členskom štáte</w:t>
            </w:r>
            <w:r w:rsidR="00FA4C5A">
              <w:rPr>
                <w:noProof/>
                <w:webHidden/>
              </w:rPr>
              <w:tab/>
            </w:r>
            <w:r>
              <w:rPr>
                <w:noProof/>
                <w:webHidden/>
              </w:rPr>
              <w:fldChar w:fldCharType="begin"/>
            </w:r>
            <w:r w:rsidR="00FA4C5A">
              <w:rPr>
                <w:noProof/>
                <w:webHidden/>
              </w:rPr>
              <w:instrText xml:space="preserve"> PAGEREF _Toc385310750 \h </w:instrText>
            </w:r>
            <w:r>
              <w:rPr>
                <w:noProof/>
                <w:webHidden/>
              </w:rPr>
            </w:r>
            <w:r>
              <w:rPr>
                <w:noProof/>
                <w:webHidden/>
              </w:rPr>
              <w:fldChar w:fldCharType="separate"/>
            </w:r>
            <w:r w:rsidR="00FA4C5A">
              <w:rPr>
                <w:noProof/>
                <w:webHidden/>
              </w:rPr>
              <w:t>116</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51" w:history="1">
            <w:r w:rsidR="00FA4C5A" w:rsidRPr="0047094D">
              <w:rPr>
                <w:rStyle w:val="Hypertextovprepojenie"/>
                <w:noProof/>
              </w:rPr>
              <w:t>4.5</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Prínos plánovaných aktivít v rámci programu pre stratégie pre makroregióny a morské oblasti na základe potrieb oblasti programu identifikovaných členským štátom</w:t>
            </w:r>
            <w:r w:rsidR="00FA4C5A">
              <w:rPr>
                <w:noProof/>
                <w:webHidden/>
              </w:rPr>
              <w:tab/>
            </w:r>
            <w:r>
              <w:rPr>
                <w:noProof/>
                <w:webHidden/>
              </w:rPr>
              <w:fldChar w:fldCharType="begin"/>
            </w:r>
            <w:r w:rsidR="00FA4C5A">
              <w:rPr>
                <w:noProof/>
                <w:webHidden/>
              </w:rPr>
              <w:instrText xml:space="preserve"> PAGEREF _Toc385310751 \h </w:instrText>
            </w:r>
            <w:r>
              <w:rPr>
                <w:noProof/>
                <w:webHidden/>
              </w:rPr>
            </w:r>
            <w:r>
              <w:rPr>
                <w:noProof/>
                <w:webHidden/>
              </w:rPr>
              <w:fldChar w:fldCharType="separate"/>
            </w:r>
            <w:r w:rsidR="00FA4C5A">
              <w:rPr>
                <w:noProof/>
                <w:webHidden/>
              </w:rPr>
              <w:t>116</w:t>
            </w:r>
            <w:r>
              <w:rPr>
                <w:noProof/>
                <w:webHidden/>
              </w:rPr>
              <w:fldChar w:fldCharType="end"/>
            </w:r>
          </w:hyperlink>
        </w:p>
        <w:p w:rsidR="00FA4C5A" w:rsidRDefault="00B75FBB">
          <w:pPr>
            <w:pStyle w:val="Obsah1"/>
            <w:rPr>
              <w:rFonts w:asciiTheme="minorHAnsi" w:eastAsiaTheme="minorEastAsia" w:hAnsiTheme="minorHAnsi" w:cstheme="minorBidi"/>
              <w:b w:val="0"/>
              <w:bCs w:val="0"/>
              <w:caps w:val="0"/>
              <w:szCs w:val="22"/>
            </w:rPr>
          </w:pPr>
          <w:hyperlink w:anchor="_Toc385310752" w:history="1">
            <w:r w:rsidR="00FA4C5A" w:rsidRPr="0047094D">
              <w:rPr>
                <w:rStyle w:val="Hypertextovprepojenie"/>
              </w:rPr>
              <w:t>5</w:t>
            </w:r>
            <w:r w:rsidR="00FA4C5A">
              <w:rPr>
                <w:rFonts w:asciiTheme="minorHAnsi" w:eastAsiaTheme="minorEastAsia" w:hAnsiTheme="minorHAnsi" w:cstheme="minorBidi"/>
                <w:b w:val="0"/>
                <w:bCs w:val="0"/>
                <w:caps w:val="0"/>
                <w:szCs w:val="22"/>
              </w:rPr>
              <w:tab/>
            </w:r>
            <w:r w:rsidR="00FA4C5A" w:rsidRPr="0047094D">
              <w:rPr>
                <w:rStyle w:val="Hypertextovprepojenie"/>
              </w:rPr>
              <w:t>Špecifické potreby geografických oblastí najviac postihnutých chudobou alebo cieľových skupín najviac ohrozených diskrimináciou alebo sociálnym vylúčením</w:t>
            </w:r>
            <w:r w:rsidR="00FA4C5A">
              <w:rPr>
                <w:webHidden/>
              </w:rPr>
              <w:tab/>
            </w:r>
            <w:r>
              <w:rPr>
                <w:webHidden/>
              </w:rPr>
              <w:fldChar w:fldCharType="begin"/>
            </w:r>
            <w:r w:rsidR="00FA4C5A">
              <w:rPr>
                <w:webHidden/>
              </w:rPr>
              <w:instrText xml:space="preserve"> PAGEREF _Toc385310752 \h </w:instrText>
            </w:r>
            <w:r>
              <w:rPr>
                <w:webHidden/>
              </w:rPr>
            </w:r>
            <w:r>
              <w:rPr>
                <w:webHidden/>
              </w:rPr>
              <w:fldChar w:fldCharType="separate"/>
            </w:r>
            <w:r w:rsidR="00FA4C5A">
              <w:rPr>
                <w:webHidden/>
              </w:rPr>
              <w:t>118</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53" w:history="1">
            <w:r w:rsidR="00FA4C5A" w:rsidRPr="0047094D">
              <w:rPr>
                <w:rStyle w:val="Hypertextovprepojenie"/>
                <w:noProof/>
              </w:rPr>
              <w:t>5.1</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Geografické oblasti najviac postihnuté chudobou/cieľové skupiny najviac ohrozené diskrimináciou alebo sociálnym vylúčením</w:t>
            </w:r>
            <w:r w:rsidR="00FA4C5A">
              <w:rPr>
                <w:noProof/>
                <w:webHidden/>
              </w:rPr>
              <w:tab/>
            </w:r>
            <w:r>
              <w:rPr>
                <w:noProof/>
                <w:webHidden/>
              </w:rPr>
              <w:fldChar w:fldCharType="begin"/>
            </w:r>
            <w:r w:rsidR="00FA4C5A">
              <w:rPr>
                <w:noProof/>
                <w:webHidden/>
              </w:rPr>
              <w:instrText xml:space="preserve"> PAGEREF _Toc385310753 \h </w:instrText>
            </w:r>
            <w:r>
              <w:rPr>
                <w:noProof/>
                <w:webHidden/>
              </w:rPr>
            </w:r>
            <w:r>
              <w:rPr>
                <w:noProof/>
                <w:webHidden/>
              </w:rPr>
              <w:fldChar w:fldCharType="separate"/>
            </w:r>
            <w:r w:rsidR="00FA4C5A">
              <w:rPr>
                <w:noProof/>
                <w:webHidden/>
              </w:rPr>
              <w:t>118</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54" w:history="1">
            <w:r w:rsidR="00FA4C5A" w:rsidRPr="0047094D">
              <w:rPr>
                <w:rStyle w:val="Hypertextovprepojenie"/>
                <w:noProof/>
              </w:rPr>
              <w:t>5.2</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Stratégia pre riešenie špecifických potrieb geografických oblastí najviac postihnutých chudobou/cieľových skupín najviac ohrozených diskrimináciou alebo sociálnym vylúčením</w:t>
            </w:r>
            <w:r w:rsidR="00FA4C5A">
              <w:rPr>
                <w:noProof/>
                <w:webHidden/>
              </w:rPr>
              <w:tab/>
            </w:r>
            <w:r>
              <w:rPr>
                <w:noProof/>
                <w:webHidden/>
              </w:rPr>
              <w:fldChar w:fldCharType="begin"/>
            </w:r>
            <w:r w:rsidR="00FA4C5A">
              <w:rPr>
                <w:noProof/>
                <w:webHidden/>
              </w:rPr>
              <w:instrText xml:space="preserve"> PAGEREF _Toc385310754 \h </w:instrText>
            </w:r>
            <w:r>
              <w:rPr>
                <w:noProof/>
                <w:webHidden/>
              </w:rPr>
            </w:r>
            <w:r>
              <w:rPr>
                <w:noProof/>
                <w:webHidden/>
              </w:rPr>
              <w:fldChar w:fldCharType="separate"/>
            </w:r>
            <w:r w:rsidR="00FA4C5A">
              <w:rPr>
                <w:noProof/>
                <w:webHidden/>
              </w:rPr>
              <w:t>118</w:t>
            </w:r>
            <w:r>
              <w:rPr>
                <w:noProof/>
                <w:webHidden/>
              </w:rPr>
              <w:fldChar w:fldCharType="end"/>
            </w:r>
          </w:hyperlink>
        </w:p>
        <w:p w:rsidR="00FA4C5A" w:rsidRDefault="00B75FBB">
          <w:pPr>
            <w:pStyle w:val="Obsah1"/>
            <w:rPr>
              <w:rFonts w:asciiTheme="minorHAnsi" w:eastAsiaTheme="minorEastAsia" w:hAnsiTheme="minorHAnsi" w:cstheme="minorBidi"/>
              <w:b w:val="0"/>
              <w:bCs w:val="0"/>
              <w:caps w:val="0"/>
              <w:szCs w:val="22"/>
            </w:rPr>
          </w:pPr>
          <w:r w:rsidRPr="00B75FBB">
            <w:pict>
              <v:shapetype id="_x0000_t32" coordsize="21600,21600" o:spt="32" o:oned="t" path="m,l21600,21600e" filled="f">
                <v:path arrowok="t" fillok="f" o:connecttype="none"/>
                <o:lock v:ext="edit" shapetype="t"/>
              </v:shapetype>
              <v:shape id="_x0000_s1144" type="#_x0000_t32" style="position:absolute;left:0;text-align:left;margin-left:-.7pt;margin-top:45.2pt;width:455.25pt;height:0;z-index:251671552" o:connectortype="straight" strokeweight=".25pt"/>
            </w:pict>
          </w:r>
          <w:hyperlink w:anchor="_Toc385310755" w:history="1">
            <w:r w:rsidR="00FA4C5A" w:rsidRPr="0047094D">
              <w:rPr>
                <w:rStyle w:val="Hypertextovprepojenie"/>
              </w:rPr>
              <w:t>6</w:t>
            </w:r>
            <w:r w:rsidR="00FA4C5A">
              <w:rPr>
                <w:rFonts w:asciiTheme="minorHAnsi" w:eastAsiaTheme="minorEastAsia" w:hAnsiTheme="minorHAnsi" w:cstheme="minorBidi"/>
                <w:b w:val="0"/>
                <w:bCs w:val="0"/>
                <w:caps w:val="0"/>
                <w:szCs w:val="22"/>
              </w:rPr>
              <w:tab/>
            </w:r>
            <w:r w:rsidR="00FA4C5A" w:rsidRPr="0047094D">
              <w:rPr>
                <w:rStyle w:val="Hypertextovprepojenie"/>
              </w:rPr>
              <w:t>Špecifické potreby geografických oblastí so závažne a trvalo znevýhodnenými prírodnými alebo demografickými podmienkami</w:t>
            </w:r>
            <w:r w:rsidR="00FA4C5A">
              <w:rPr>
                <w:webHidden/>
              </w:rPr>
              <w:tab/>
            </w:r>
            <w:r>
              <w:rPr>
                <w:webHidden/>
              </w:rPr>
              <w:fldChar w:fldCharType="begin"/>
            </w:r>
            <w:r w:rsidR="00FA4C5A">
              <w:rPr>
                <w:webHidden/>
              </w:rPr>
              <w:instrText xml:space="preserve"> PAGEREF _Toc385310755 \h </w:instrText>
            </w:r>
            <w:r>
              <w:rPr>
                <w:webHidden/>
              </w:rPr>
            </w:r>
            <w:r>
              <w:rPr>
                <w:webHidden/>
              </w:rPr>
              <w:fldChar w:fldCharType="separate"/>
            </w:r>
            <w:r w:rsidR="00FA4C5A">
              <w:rPr>
                <w:webHidden/>
              </w:rPr>
              <w:t>118</w:t>
            </w:r>
            <w:r>
              <w:rPr>
                <w:webHidden/>
              </w:rPr>
              <w:fldChar w:fldCharType="end"/>
            </w:r>
          </w:hyperlink>
        </w:p>
        <w:p w:rsidR="00FA4C5A" w:rsidRDefault="00B75FBB">
          <w:pPr>
            <w:pStyle w:val="Obsah1"/>
            <w:rPr>
              <w:rFonts w:asciiTheme="minorHAnsi" w:eastAsiaTheme="minorEastAsia" w:hAnsiTheme="minorHAnsi" w:cstheme="minorBidi"/>
              <w:b w:val="0"/>
              <w:bCs w:val="0"/>
              <w:caps w:val="0"/>
              <w:szCs w:val="22"/>
            </w:rPr>
          </w:pPr>
          <w:hyperlink w:anchor="_Toc385310756" w:history="1">
            <w:r w:rsidR="00FA4C5A" w:rsidRPr="0047094D">
              <w:rPr>
                <w:rStyle w:val="Hypertextovprepojenie"/>
              </w:rPr>
              <w:t>7</w:t>
            </w:r>
            <w:r w:rsidR="00FA4C5A">
              <w:rPr>
                <w:rFonts w:asciiTheme="minorHAnsi" w:eastAsiaTheme="minorEastAsia" w:hAnsiTheme="minorHAnsi" w:cstheme="minorBidi"/>
                <w:b w:val="0"/>
                <w:bCs w:val="0"/>
                <w:caps w:val="0"/>
                <w:szCs w:val="22"/>
              </w:rPr>
              <w:tab/>
            </w:r>
            <w:r w:rsidR="00FA4C5A" w:rsidRPr="0047094D">
              <w:rPr>
                <w:rStyle w:val="Hypertextovprepojenie"/>
              </w:rPr>
              <w:t>Orgány a subjekty zodpovedné za riadenie, kontrolu a audit a úlohy príslušných partnerov</w:t>
            </w:r>
            <w:r w:rsidR="00FA4C5A">
              <w:rPr>
                <w:webHidden/>
              </w:rPr>
              <w:tab/>
            </w:r>
            <w:r>
              <w:rPr>
                <w:webHidden/>
              </w:rPr>
              <w:fldChar w:fldCharType="begin"/>
            </w:r>
            <w:r w:rsidR="00FA4C5A">
              <w:rPr>
                <w:webHidden/>
              </w:rPr>
              <w:instrText xml:space="preserve"> PAGEREF _Toc385310756 \h </w:instrText>
            </w:r>
            <w:r>
              <w:rPr>
                <w:webHidden/>
              </w:rPr>
            </w:r>
            <w:r>
              <w:rPr>
                <w:webHidden/>
              </w:rPr>
              <w:fldChar w:fldCharType="separate"/>
            </w:r>
            <w:r w:rsidR="00FA4C5A">
              <w:rPr>
                <w:webHidden/>
              </w:rPr>
              <w:t>119</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57" w:history="1">
            <w:r w:rsidR="00FA4C5A" w:rsidRPr="0047094D">
              <w:rPr>
                <w:rStyle w:val="Hypertextovprepojenie"/>
                <w:noProof/>
              </w:rPr>
              <w:t>7.1</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Identifikácia príslušných orgánov a subjektov</w:t>
            </w:r>
            <w:r w:rsidR="00FA4C5A">
              <w:rPr>
                <w:noProof/>
                <w:webHidden/>
              </w:rPr>
              <w:tab/>
            </w:r>
            <w:r>
              <w:rPr>
                <w:noProof/>
                <w:webHidden/>
              </w:rPr>
              <w:fldChar w:fldCharType="begin"/>
            </w:r>
            <w:r w:rsidR="00FA4C5A">
              <w:rPr>
                <w:noProof/>
                <w:webHidden/>
              </w:rPr>
              <w:instrText xml:space="preserve"> PAGEREF _Toc385310757 \h </w:instrText>
            </w:r>
            <w:r>
              <w:rPr>
                <w:noProof/>
                <w:webHidden/>
              </w:rPr>
            </w:r>
            <w:r>
              <w:rPr>
                <w:noProof/>
                <w:webHidden/>
              </w:rPr>
              <w:fldChar w:fldCharType="separate"/>
            </w:r>
            <w:r w:rsidR="00FA4C5A">
              <w:rPr>
                <w:noProof/>
                <w:webHidden/>
              </w:rPr>
              <w:t>119</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58" w:history="1">
            <w:r w:rsidR="00FA4C5A" w:rsidRPr="0047094D">
              <w:rPr>
                <w:rStyle w:val="Hypertextovprepojenie"/>
                <w:noProof/>
              </w:rPr>
              <w:t>7.2</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Zapojenie príslušných partnerov do prípravy operačného programu a úlohy partnerov v rámci implementácie, monitorovania a hodnotenia operačného programu</w:t>
            </w:r>
            <w:r w:rsidR="00FA4C5A">
              <w:rPr>
                <w:noProof/>
                <w:webHidden/>
              </w:rPr>
              <w:tab/>
            </w:r>
            <w:r>
              <w:rPr>
                <w:noProof/>
                <w:webHidden/>
              </w:rPr>
              <w:fldChar w:fldCharType="begin"/>
            </w:r>
            <w:r w:rsidR="00FA4C5A">
              <w:rPr>
                <w:noProof/>
                <w:webHidden/>
              </w:rPr>
              <w:instrText xml:space="preserve"> PAGEREF _Toc385310758 \h </w:instrText>
            </w:r>
            <w:r>
              <w:rPr>
                <w:noProof/>
                <w:webHidden/>
              </w:rPr>
            </w:r>
            <w:r>
              <w:rPr>
                <w:noProof/>
                <w:webHidden/>
              </w:rPr>
              <w:fldChar w:fldCharType="separate"/>
            </w:r>
            <w:r w:rsidR="00FA4C5A">
              <w:rPr>
                <w:noProof/>
                <w:webHidden/>
              </w:rPr>
              <w:t>119</w:t>
            </w:r>
            <w:r>
              <w:rPr>
                <w:noProof/>
                <w:webHidden/>
              </w:rPr>
              <w:fldChar w:fldCharType="end"/>
            </w:r>
          </w:hyperlink>
        </w:p>
        <w:p w:rsidR="00FA4C5A" w:rsidRDefault="00B75FBB">
          <w:pPr>
            <w:pStyle w:val="Obsah3"/>
            <w:rPr>
              <w:rFonts w:asciiTheme="minorHAnsi" w:eastAsiaTheme="minorEastAsia" w:hAnsiTheme="minorHAnsi" w:cstheme="minorBidi"/>
              <w:szCs w:val="22"/>
            </w:rPr>
          </w:pPr>
          <w:hyperlink w:anchor="_Toc385310759" w:history="1">
            <w:r w:rsidR="00FA4C5A" w:rsidRPr="0047094D">
              <w:rPr>
                <w:rStyle w:val="Hypertextovprepojenie"/>
              </w:rPr>
              <w:t>7.2.1</w:t>
            </w:r>
            <w:r w:rsidR="00FA4C5A">
              <w:rPr>
                <w:rFonts w:asciiTheme="minorHAnsi" w:eastAsiaTheme="minorEastAsia" w:hAnsiTheme="minorHAnsi" w:cstheme="minorBidi"/>
                <w:szCs w:val="22"/>
              </w:rPr>
              <w:tab/>
            </w:r>
            <w:r w:rsidR="00FA4C5A" w:rsidRPr="0047094D">
              <w:rPr>
                <w:rStyle w:val="Hypertextovprepojenie"/>
              </w:rPr>
              <w:t>Úloha príslušných partnerov pri príprave, implementácii, monitorovaní a hodnotení operačného programu</w:t>
            </w:r>
            <w:r w:rsidR="00FA4C5A">
              <w:rPr>
                <w:webHidden/>
              </w:rPr>
              <w:tab/>
            </w:r>
            <w:r>
              <w:rPr>
                <w:webHidden/>
              </w:rPr>
              <w:fldChar w:fldCharType="begin"/>
            </w:r>
            <w:r w:rsidR="00FA4C5A">
              <w:rPr>
                <w:webHidden/>
              </w:rPr>
              <w:instrText xml:space="preserve"> PAGEREF _Toc385310759 \h </w:instrText>
            </w:r>
            <w:r>
              <w:rPr>
                <w:webHidden/>
              </w:rPr>
            </w:r>
            <w:r>
              <w:rPr>
                <w:webHidden/>
              </w:rPr>
              <w:fldChar w:fldCharType="separate"/>
            </w:r>
            <w:r w:rsidR="00FA4C5A">
              <w:rPr>
                <w:webHidden/>
              </w:rPr>
              <w:t>119</w:t>
            </w:r>
            <w:r>
              <w:rPr>
                <w:webHidden/>
              </w:rPr>
              <w:fldChar w:fldCharType="end"/>
            </w:r>
          </w:hyperlink>
        </w:p>
        <w:p w:rsidR="00FA4C5A" w:rsidRDefault="00B75FBB">
          <w:pPr>
            <w:pStyle w:val="Obsah1"/>
            <w:rPr>
              <w:rFonts w:asciiTheme="minorHAnsi" w:eastAsiaTheme="minorEastAsia" w:hAnsiTheme="minorHAnsi" w:cstheme="minorBidi"/>
              <w:b w:val="0"/>
              <w:bCs w:val="0"/>
              <w:caps w:val="0"/>
              <w:szCs w:val="22"/>
            </w:rPr>
          </w:pPr>
          <w:hyperlink w:anchor="_Toc385310760" w:history="1">
            <w:r w:rsidR="00FA4C5A" w:rsidRPr="0047094D">
              <w:rPr>
                <w:rStyle w:val="Hypertextovprepojenie"/>
              </w:rPr>
              <w:t>8</w:t>
            </w:r>
            <w:r w:rsidR="00FA4C5A">
              <w:rPr>
                <w:rFonts w:asciiTheme="minorHAnsi" w:eastAsiaTheme="minorEastAsia" w:hAnsiTheme="minorHAnsi" w:cstheme="minorBidi"/>
                <w:b w:val="0"/>
                <w:bCs w:val="0"/>
                <w:caps w:val="0"/>
                <w:szCs w:val="22"/>
              </w:rPr>
              <w:tab/>
            </w:r>
            <w:r w:rsidR="00FA4C5A" w:rsidRPr="0047094D">
              <w:rPr>
                <w:rStyle w:val="Hypertextovprepojenie"/>
              </w:rPr>
              <w:t>Koordinácia s inými programami a finančnými nástrojmi</w:t>
            </w:r>
            <w:r w:rsidR="00FA4C5A">
              <w:rPr>
                <w:webHidden/>
              </w:rPr>
              <w:tab/>
            </w:r>
            <w:r>
              <w:rPr>
                <w:webHidden/>
              </w:rPr>
              <w:fldChar w:fldCharType="begin"/>
            </w:r>
            <w:r w:rsidR="00FA4C5A">
              <w:rPr>
                <w:webHidden/>
              </w:rPr>
              <w:instrText xml:space="preserve"> PAGEREF _Toc385310760 \h </w:instrText>
            </w:r>
            <w:r>
              <w:rPr>
                <w:webHidden/>
              </w:rPr>
            </w:r>
            <w:r>
              <w:rPr>
                <w:webHidden/>
              </w:rPr>
              <w:fldChar w:fldCharType="separate"/>
            </w:r>
            <w:r w:rsidR="00FA4C5A">
              <w:rPr>
                <w:webHidden/>
              </w:rPr>
              <w:t>121</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61" w:history="1">
            <w:r w:rsidR="00FA4C5A" w:rsidRPr="0047094D">
              <w:rPr>
                <w:rStyle w:val="Hypertextovprepojenie"/>
                <w:noProof/>
              </w:rPr>
              <w:t>8.1</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Deliace línie s ostatnými EŠIF</w:t>
            </w:r>
            <w:r w:rsidR="00FA4C5A">
              <w:rPr>
                <w:noProof/>
                <w:webHidden/>
              </w:rPr>
              <w:tab/>
            </w:r>
            <w:r>
              <w:rPr>
                <w:noProof/>
                <w:webHidden/>
              </w:rPr>
              <w:fldChar w:fldCharType="begin"/>
            </w:r>
            <w:r w:rsidR="00FA4C5A">
              <w:rPr>
                <w:noProof/>
                <w:webHidden/>
              </w:rPr>
              <w:instrText xml:space="preserve"> PAGEREF _Toc385310761 \h </w:instrText>
            </w:r>
            <w:r>
              <w:rPr>
                <w:noProof/>
                <w:webHidden/>
              </w:rPr>
            </w:r>
            <w:r>
              <w:rPr>
                <w:noProof/>
                <w:webHidden/>
              </w:rPr>
              <w:fldChar w:fldCharType="separate"/>
            </w:r>
            <w:r w:rsidR="00FA4C5A">
              <w:rPr>
                <w:noProof/>
                <w:webHidden/>
              </w:rPr>
              <w:t>121</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62" w:history="1">
            <w:r w:rsidR="00FA4C5A" w:rsidRPr="0047094D">
              <w:rPr>
                <w:rStyle w:val="Hypertextovprepojenie"/>
                <w:noProof/>
              </w:rPr>
              <w:t>8.2</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Zabezpečenie koordinácie s Nástrojom na prepájanie Európy (NPE)</w:t>
            </w:r>
            <w:r w:rsidR="00FA4C5A">
              <w:rPr>
                <w:noProof/>
                <w:webHidden/>
              </w:rPr>
              <w:tab/>
            </w:r>
            <w:r>
              <w:rPr>
                <w:noProof/>
                <w:webHidden/>
              </w:rPr>
              <w:fldChar w:fldCharType="begin"/>
            </w:r>
            <w:r w:rsidR="00FA4C5A">
              <w:rPr>
                <w:noProof/>
                <w:webHidden/>
              </w:rPr>
              <w:instrText xml:space="preserve"> PAGEREF _Toc385310762 \h </w:instrText>
            </w:r>
            <w:r>
              <w:rPr>
                <w:noProof/>
                <w:webHidden/>
              </w:rPr>
            </w:r>
            <w:r>
              <w:rPr>
                <w:noProof/>
                <w:webHidden/>
              </w:rPr>
              <w:fldChar w:fldCharType="separate"/>
            </w:r>
            <w:r w:rsidR="00FA4C5A">
              <w:rPr>
                <w:noProof/>
                <w:webHidden/>
              </w:rPr>
              <w:t>124</w:t>
            </w:r>
            <w:r>
              <w:rPr>
                <w:noProof/>
                <w:webHidden/>
              </w:rPr>
              <w:fldChar w:fldCharType="end"/>
            </w:r>
          </w:hyperlink>
        </w:p>
        <w:p w:rsidR="00FA4C5A" w:rsidRDefault="00B75FBB">
          <w:pPr>
            <w:pStyle w:val="Obsah3"/>
            <w:rPr>
              <w:rFonts w:asciiTheme="minorHAnsi" w:eastAsiaTheme="minorEastAsia" w:hAnsiTheme="minorHAnsi" w:cstheme="minorBidi"/>
              <w:szCs w:val="22"/>
            </w:rPr>
          </w:pPr>
          <w:hyperlink w:anchor="_Toc385310763" w:history="1">
            <w:r w:rsidR="00FA4C5A" w:rsidRPr="0047094D">
              <w:rPr>
                <w:rStyle w:val="Hypertextovprepojenie"/>
              </w:rPr>
              <w:t>8.2.1</w:t>
            </w:r>
            <w:r w:rsidR="00FA4C5A">
              <w:rPr>
                <w:rFonts w:asciiTheme="minorHAnsi" w:eastAsiaTheme="minorEastAsia" w:hAnsiTheme="minorHAnsi" w:cstheme="minorBidi"/>
                <w:szCs w:val="22"/>
              </w:rPr>
              <w:tab/>
            </w:r>
            <w:r w:rsidR="00FA4C5A" w:rsidRPr="0047094D">
              <w:rPr>
                <w:rStyle w:val="Hypertextovprepojenie"/>
              </w:rPr>
              <w:t>Doprava</w:t>
            </w:r>
            <w:r w:rsidR="00FA4C5A">
              <w:rPr>
                <w:webHidden/>
              </w:rPr>
              <w:tab/>
            </w:r>
            <w:r>
              <w:rPr>
                <w:webHidden/>
              </w:rPr>
              <w:fldChar w:fldCharType="begin"/>
            </w:r>
            <w:r w:rsidR="00FA4C5A">
              <w:rPr>
                <w:webHidden/>
              </w:rPr>
              <w:instrText xml:space="preserve"> PAGEREF _Toc385310763 \h </w:instrText>
            </w:r>
            <w:r>
              <w:rPr>
                <w:webHidden/>
              </w:rPr>
            </w:r>
            <w:r>
              <w:rPr>
                <w:webHidden/>
              </w:rPr>
              <w:fldChar w:fldCharType="separate"/>
            </w:r>
            <w:r w:rsidR="00FA4C5A">
              <w:rPr>
                <w:webHidden/>
              </w:rPr>
              <w:t>124</w:t>
            </w:r>
            <w:r>
              <w:rPr>
                <w:webHidden/>
              </w:rPr>
              <w:fldChar w:fldCharType="end"/>
            </w:r>
          </w:hyperlink>
        </w:p>
        <w:p w:rsidR="00FA4C5A" w:rsidRDefault="00B75FBB">
          <w:pPr>
            <w:pStyle w:val="Obsah3"/>
            <w:rPr>
              <w:rFonts w:asciiTheme="minorHAnsi" w:eastAsiaTheme="minorEastAsia" w:hAnsiTheme="minorHAnsi" w:cstheme="minorBidi"/>
              <w:szCs w:val="22"/>
            </w:rPr>
          </w:pPr>
          <w:hyperlink w:anchor="_Toc385310764" w:history="1">
            <w:r w:rsidR="00FA4C5A" w:rsidRPr="0047094D">
              <w:rPr>
                <w:rStyle w:val="Hypertextovprepojenie"/>
              </w:rPr>
              <w:t>8.2.2</w:t>
            </w:r>
            <w:r w:rsidR="00FA4C5A">
              <w:rPr>
                <w:rFonts w:asciiTheme="minorHAnsi" w:eastAsiaTheme="minorEastAsia" w:hAnsiTheme="minorHAnsi" w:cstheme="minorBidi"/>
                <w:szCs w:val="22"/>
              </w:rPr>
              <w:tab/>
            </w:r>
            <w:r w:rsidR="00FA4C5A" w:rsidRPr="0047094D">
              <w:rPr>
                <w:rStyle w:val="Hypertextovprepojenie"/>
              </w:rPr>
              <w:t>Informačná spoločnosť</w:t>
            </w:r>
            <w:r w:rsidR="00FA4C5A">
              <w:rPr>
                <w:webHidden/>
              </w:rPr>
              <w:tab/>
            </w:r>
            <w:r>
              <w:rPr>
                <w:webHidden/>
              </w:rPr>
              <w:fldChar w:fldCharType="begin"/>
            </w:r>
            <w:r w:rsidR="00FA4C5A">
              <w:rPr>
                <w:webHidden/>
              </w:rPr>
              <w:instrText xml:space="preserve"> PAGEREF _Toc385310764 \h </w:instrText>
            </w:r>
            <w:r>
              <w:rPr>
                <w:webHidden/>
              </w:rPr>
            </w:r>
            <w:r>
              <w:rPr>
                <w:webHidden/>
              </w:rPr>
              <w:fldChar w:fldCharType="separate"/>
            </w:r>
            <w:r w:rsidR="00FA4C5A">
              <w:rPr>
                <w:webHidden/>
              </w:rPr>
              <w:t>126</w:t>
            </w:r>
            <w:r>
              <w:rPr>
                <w:webHidden/>
              </w:rPr>
              <w:fldChar w:fldCharType="end"/>
            </w:r>
          </w:hyperlink>
        </w:p>
        <w:p w:rsidR="00FA4C5A" w:rsidRDefault="00B75FBB">
          <w:pPr>
            <w:pStyle w:val="Obsah1"/>
            <w:rPr>
              <w:rFonts w:asciiTheme="minorHAnsi" w:eastAsiaTheme="minorEastAsia" w:hAnsiTheme="minorHAnsi" w:cstheme="minorBidi"/>
              <w:b w:val="0"/>
              <w:bCs w:val="0"/>
              <w:caps w:val="0"/>
              <w:szCs w:val="22"/>
            </w:rPr>
          </w:pPr>
          <w:hyperlink w:anchor="_Toc385310765" w:history="1">
            <w:r w:rsidR="00FA4C5A" w:rsidRPr="0047094D">
              <w:rPr>
                <w:rStyle w:val="Hypertextovprepojenie"/>
              </w:rPr>
              <w:t>9</w:t>
            </w:r>
            <w:r w:rsidR="00FA4C5A">
              <w:rPr>
                <w:rFonts w:asciiTheme="minorHAnsi" w:eastAsiaTheme="minorEastAsia" w:hAnsiTheme="minorHAnsi" w:cstheme="minorBidi"/>
                <w:b w:val="0"/>
                <w:bCs w:val="0"/>
                <w:caps w:val="0"/>
                <w:szCs w:val="22"/>
              </w:rPr>
              <w:tab/>
            </w:r>
            <w:r w:rsidR="00FA4C5A" w:rsidRPr="0047094D">
              <w:rPr>
                <w:rStyle w:val="Hypertextovprepojenie"/>
              </w:rPr>
              <w:t>Ex ante kondicionality</w:t>
            </w:r>
            <w:r w:rsidR="00FA4C5A">
              <w:rPr>
                <w:webHidden/>
              </w:rPr>
              <w:tab/>
            </w:r>
            <w:r>
              <w:rPr>
                <w:webHidden/>
              </w:rPr>
              <w:fldChar w:fldCharType="begin"/>
            </w:r>
            <w:r w:rsidR="00FA4C5A">
              <w:rPr>
                <w:webHidden/>
              </w:rPr>
              <w:instrText xml:space="preserve"> PAGEREF _Toc385310765 \h </w:instrText>
            </w:r>
            <w:r>
              <w:rPr>
                <w:webHidden/>
              </w:rPr>
            </w:r>
            <w:r>
              <w:rPr>
                <w:webHidden/>
              </w:rPr>
              <w:fldChar w:fldCharType="separate"/>
            </w:r>
            <w:r w:rsidR="00FA4C5A">
              <w:rPr>
                <w:webHidden/>
              </w:rPr>
              <w:t>128</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66" w:history="1">
            <w:r w:rsidR="00FA4C5A" w:rsidRPr="0047094D">
              <w:rPr>
                <w:rStyle w:val="Hypertextovprepojenie"/>
                <w:noProof/>
              </w:rPr>
              <w:t>9.1</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Identifikácia príslušných ex ante kondicionalít a vyhodnotenie ich plnenia</w:t>
            </w:r>
            <w:r w:rsidR="00FA4C5A">
              <w:rPr>
                <w:noProof/>
                <w:webHidden/>
              </w:rPr>
              <w:tab/>
            </w:r>
            <w:r>
              <w:rPr>
                <w:noProof/>
                <w:webHidden/>
              </w:rPr>
              <w:fldChar w:fldCharType="begin"/>
            </w:r>
            <w:r w:rsidR="00FA4C5A">
              <w:rPr>
                <w:noProof/>
                <w:webHidden/>
              </w:rPr>
              <w:instrText xml:space="preserve"> PAGEREF _Toc385310766 \h </w:instrText>
            </w:r>
            <w:r>
              <w:rPr>
                <w:noProof/>
                <w:webHidden/>
              </w:rPr>
            </w:r>
            <w:r>
              <w:rPr>
                <w:noProof/>
                <w:webHidden/>
              </w:rPr>
              <w:fldChar w:fldCharType="separate"/>
            </w:r>
            <w:r w:rsidR="00FA4C5A">
              <w:rPr>
                <w:noProof/>
                <w:webHidden/>
              </w:rPr>
              <w:t>128</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67" w:history="1">
            <w:r w:rsidR="00FA4C5A" w:rsidRPr="0047094D">
              <w:rPr>
                <w:rStyle w:val="Hypertextovprepojenie"/>
                <w:noProof/>
              </w:rPr>
              <w:t>9.2</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Aktivity na zabezpečenie splnenia všeobecných a tematických ex ante kondicionalít</w:t>
            </w:r>
            <w:r w:rsidR="00FA4C5A">
              <w:rPr>
                <w:noProof/>
                <w:webHidden/>
              </w:rPr>
              <w:tab/>
            </w:r>
            <w:r>
              <w:rPr>
                <w:noProof/>
                <w:webHidden/>
              </w:rPr>
              <w:fldChar w:fldCharType="begin"/>
            </w:r>
            <w:r w:rsidR="00FA4C5A">
              <w:rPr>
                <w:noProof/>
                <w:webHidden/>
              </w:rPr>
              <w:instrText xml:space="preserve"> PAGEREF _Toc385310767 \h </w:instrText>
            </w:r>
            <w:r>
              <w:rPr>
                <w:noProof/>
                <w:webHidden/>
              </w:rPr>
            </w:r>
            <w:r>
              <w:rPr>
                <w:noProof/>
                <w:webHidden/>
              </w:rPr>
              <w:fldChar w:fldCharType="separate"/>
            </w:r>
            <w:r w:rsidR="00FA4C5A">
              <w:rPr>
                <w:noProof/>
                <w:webHidden/>
              </w:rPr>
              <w:t>137</w:t>
            </w:r>
            <w:r>
              <w:rPr>
                <w:noProof/>
                <w:webHidden/>
              </w:rPr>
              <w:fldChar w:fldCharType="end"/>
            </w:r>
          </w:hyperlink>
        </w:p>
        <w:p w:rsidR="00FA4C5A" w:rsidRDefault="00B75FBB">
          <w:pPr>
            <w:pStyle w:val="Obsah1"/>
            <w:rPr>
              <w:rFonts w:asciiTheme="minorHAnsi" w:eastAsiaTheme="minorEastAsia" w:hAnsiTheme="minorHAnsi" w:cstheme="minorBidi"/>
              <w:b w:val="0"/>
              <w:bCs w:val="0"/>
              <w:caps w:val="0"/>
              <w:szCs w:val="22"/>
            </w:rPr>
          </w:pPr>
          <w:r w:rsidRPr="00B75FBB">
            <w:pict>
              <v:shape id="_x0000_s1143" type="#_x0000_t32" style="position:absolute;left:0;text-align:left;margin-left:-1.9pt;margin-top:18.45pt;width:455.25pt;height:0;z-index:251670528" o:connectortype="straight" strokeweight=".25pt"/>
            </w:pict>
          </w:r>
          <w:hyperlink w:anchor="_Toc385310768" w:history="1">
            <w:r w:rsidR="00FA4C5A" w:rsidRPr="0047094D">
              <w:rPr>
                <w:rStyle w:val="Hypertextovprepojenie"/>
              </w:rPr>
              <w:t>10</w:t>
            </w:r>
            <w:r w:rsidR="00FA4C5A">
              <w:rPr>
                <w:rFonts w:asciiTheme="minorHAnsi" w:eastAsiaTheme="minorEastAsia" w:hAnsiTheme="minorHAnsi" w:cstheme="minorBidi"/>
                <w:b w:val="0"/>
                <w:bCs w:val="0"/>
                <w:caps w:val="0"/>
                <w:szCs w:val="22"/>
              </w:rPr>
              <w:tab/>
            </w:r>
            <w:r w:rsidR="00FA4C5A" w:rsidRPr="0047094D">
              <w:rPr>
                <w:rStyle w:val="Hypertextovprepojenie"/>
              </w:rPr>
              <w:t>Zníženie administratívnej záťaže pre prijímateľov</w:t>
            </w:r>
            <w:r w:rsidR="00FA4C5A">
              <w:rPr>
                <w:webHidden/>
              </w:rPr>
              <w:tab/>
            </w:r>
            <w:r>
              <w:rPr>
                <w:webHidden/>
              </w:rPr>
              <w:fldChar w:fldCharType="begin"/>
            </w:r>
            <w:r w:rsidR="00FA4C5A">
              <w:rPr>
                <w:webHidden/>
              </w:rPr>
              <w:instrText xml:space="preserve"> PAGEREF _Toc385310768 \h </w:instrText>
            </w:r>
            <w:r>
              <w:rPr>
                <w:webHidden/>
              </w:rPr>
            </w:r>
            <w:r>
              <w:rPr>
                <w:webHidden/>
              </w:rPr>
              <w:fldChar w:fldCharType="separate"/>
            </w:r>
            <w:r w:rsidR="00FA4C5A">
              <w:rPr>
                <w:webHidden/>
              </w:rPr>
              <w:t>145</w:t>
            </w:r>
            <w:r>
              <w:rPr>
                <w:webHidden/>
              </w:rPr>
              <w:fldChar w:fldCharType="end"/>
            </w:r>
          </w:hyperlink>
        </w:p>
        <w:p w:rsidR="00FA4C5A" w:rsidRDefault="00B75FBB">
          <w:pPr>
            <w:pStyle w:val="Obsah1"/>
            <w:rPr>
              <w:rFonts w:asciiTheme="minorHAnsi" w:eastAsiaTheme="minorEastAsia" w:hAnsiTheme="minorHAnsi" w:cstheme="minorBidi"/>
              <w:b w:val="0"/>
              <w:bCs w:val="0"/>
              <w:caps w:val="0"/>
              <w:szCs w:val="22"/>
            </w:rPr>
          </w:pPr>
          <w:hyperlink w:anchor="_Toc385310769" w:history="1">
            <w:r w:rsidR="00FA4C5A" w:rsidRPr="0047094D">
              <w:rPr>
                <w:rStyle w:val="Hypertextovprepojenie"/>
              </w:rPr>
              <w:t>11</w:t>
            </w:r>
            <w:r w:rsidR="00FA4C5A">
              <w:rPr>
                <w:rFonts w:asciiTheme="minorHAnsi" w:eastAsiaTheme="minorEastAsia" w:hAnsiTheme="minorHAnsi" w:cstheme="minorBidi"/>
                <w:b w:val="0"/>
                <w:bCs w:val="0"/>
                <w:caps w:val="0"/>
                <w:szCs w:val="22"/>
              </w:rPr>
              <w:tab/>
            </w:r>
            <w:r w:rsidR="00FA4C5A" w:rsidRPr="0047094D">
              <w:rPr>
                <w:rStyle w:val="Hypertextovprepojenie"/>
              </w:rPr>
              <w:t>Horizontálne princípy</w:t>
            </w:r>
            <w:r w:rsidR="00FA4C5A">
              <w:rPr>
                <w:webHidden/>
              </w:rPr>
              <w:tab/>
            </w:r>
            <w:r>
              <w:rPr>
                <w:webHidden/>
              </w:rPr>
              <w:fldChar w:fldCharType="begin"/>
            </w:r>
            <w:r w:rsidR="00FA4C5A">
              <w:rPr>
                <w:webHidden/>
              </w:rPr>
              <w:instrText xml:space="preserve"> PAGEREF _Toc385310769 \h </w:instrText>
            </w:r>
            <w:r>
              <w:rPr>
                <w:webHidden/>
              </w:rPr>
            </w:r>
            <w:r>
              <w:rPr>
                <w:webHidden/>
              </w:rPr>
              <w:fldChar w:fldCharType="separate"/>
            </w:r>
            <w:r w:rsidR="00FA4C5A">
              <w:rPr>
                <w:webHidden/>
              </w:rPr>
              <w:t>146</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70" w:history="1">
            <w:r w:rsidR="00FA4C5A" w:rsidRPr="0047094D">
              <w:rPr>
                <w:rStyle w:val="Hypertextovprepojenie"/>
                <w:noProof/>
              </w:rPr>
              <w:t>11.1</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Udržateľný rozvoj</w:t>
            </w:r>
            <w:r w:rsidR="00FA4C5A">
              <w:rPr>
                <w:noProof/>
                <w:webHidden/>
              </w:rPr>
              <w:tab/>
            </w:r>
            <w:r>
              <w:rPr>
                <w:noProof/>
                <w:webHidden/>
              </w:rPr>
              <w:fldChar w:fldCharType="begin"/>
            </w:r>
            <w:r w:rsidR="00FA4C5A">
              <w:rPr>
                <w:noProof/>
                <w:webHidden/>
              </w:rPr>
              <w:instrText xml:space="preserve"> PAGEREF _Toc385310770 \h </w:instrText>
            </w:r>
            <w:r>
              <w:rPr>
                <w:noProof/>
                <w:webHidden/>
              </w:rPr>
            </w:r>
            <w:r>
              <w:rPr>
                <w:noProof/>
                <w:webHidden/>
              </w:rPr>
              <w:fldChar w:fldCharType="separate"/>
            </w:r>
            <w:r w:rsidR="00FA4C5A">
              <w:rPr>
                <w:noProof/>
                <w:webHidden/>
              </w:rPr>
              <w:t>146</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71" w:history="1">
            <w:r w:rsidR="00FA4C5A" w:rsidRPr="0047094D">
              <w:rPr>
                <w:rStyle w:val="Hypertextovprepojenie"/>
                <w:noProof/>
              </w:rPr>
              <w:t>11.2</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Rovnosť príležitostí a nediskriminácia</w:t>
            </w:r>
            <w:r w:rsidR="00FA4C5A">
              <w:rPr>
                <w:noProof/>
                <w:webHidden/>
              </w:rPr>
              <w:tab/>
            </w:r>
            <w:r>
              <w:rPr>
                <w:noProof/>
                <w:webHidden/>
              </w:rPr>
              <w:fldChar w:fldCharType="begin"/>
            </w:r>
            <w:r w:rsidR="00FA4C5A">
              <w:rPr>
                <w:noProof/>
                <w:webHidden/>
              </w:rPr>
              <w:instrText xml:space="preserve"> PAGEREF _Toc385310771 \h </w:instrText>
            </w:r>
            <w:r>
              <w:rPr>
                <w:noProof/>
                <w:webHidden/>
              </w:rPr>
            </w:r>
            <w:r>
              <w:rPr>
                <w:noProof/>
                <w:webHidden/>
              </w:rPr>
              <w:fldChar w:fldCharType="separate"/>
            </w:r>
            <w:r w:rsidR="00FA4C5A">
              <w:rPr>
                <w:noProof/>
                <w:webHidden/>
              </w:rPr>
              <w:t>148</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72" w:history="1">
            <w:r w:rsidR="00FA4C5A" w:rsidRPr="0047094D">
              <w:rPr>
                <w:rStyle w:val="Hypertextovprepojenie"/>
                <w:noProof/>
              </w:rPr>
              <w:t>11.3</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Rovnosť medzi mužmi a ženami</w:t>
            </w:r>
            <w:r w:rsidR="00FA4C5A">
              <w:rPr>
                <w:noProof/>
                <w:webHidden/>
              </w:rPr>
              <w:tab/>
            </w:r>
            <w:r>
              <w:rPr>
                <w:noProof/>
                <w:webHidden/>
              </w:rPr>
              <w:fldChar w:fldCharType="begin"/>
            </w:r>
            <w:r w:rsidR="00FA4C5A">
              <w:rPr>
                <w:noProof/>
                <w:webHidden/>
              </w:rPr>
              <w:instrText xml:space="preserve"> PAGEREF _Toc385310772 \h </w:instrText>
            </w:r>
            <w:r>
              <w:rPr>
                <w:noProof/>
                <w:webHidden/>
              </w:rPr>
            </w:r>
            <w:r>
              <w:rPr>
                <w:noProof/>
                <w:webHidden/>
              </w:rPr>
              <w:fldChar w:fldCharType="separate"/>
            </w:r>
            <w:r w:rsidR="00FA4C5A">
              <w:rPr>
                <w:noProof/>
                <w:webHidden/>
              </w:rPr>
              <w:t>149</w:t>
            </w:r>
            <w:r>
              <w:rPr>
                <w:noProof/>
                <w:webHidden/>
              </w:rPr>
              <w:fldChar w:fldCharType="end"/>
            </w:r>
          </w:hyperlink>
        </w:p>
        <w:p w:rsidR="00FA4C5A" w:rsidRDefault="00B75FBB">
          <w:pPr>
            <w:pStyle w:val="Obsah1"/>
            <w:rPr>
              <w:rFonts w:asciiTheme="minorHAnsi" w:eastAsiaTheme="minorEastAsia" w:hAnsiTheme="minorHAnsi" w:cstheme="minorBidi"/>
              <w:b w:val="0"/>
              <w:bCs w:val="0"/>
              <w:caps w:val="0"/>
              <w:szCs w:val="22"/>
            </w:rPr>
          </w:pPr>
          <w:hyperlink w:anchor="_Toc385310773" w:history="1">
            <w:r w:rsidR="00FA4C5A" w:rsidRPr="0047094D">
              <w:rPr>
                <w:rStyle w:val="Hypertextovprepojenie"/>
              </w:rPr>
              <w:t>12</w:t>
            </w:r>
            <w:r w:rsidR="00FA4C5A">
              <w:rPr>
                <w:rFonts w:asciiTheme="minorHAnsi" w:eastAsiaTheme="minorEastAsia" w:hAnsiTheme="minorHAnsi" w:cstheme="minorBidi"/>
                <w:b w:val="0"/>
                <w:bCs w:val="0"/>
                <w:caps w:val="0"/>
                <w:szCs w:val="22"/>
              </w:rPr>
              <w:tab/>
            </w:r>
            <w:r w:rsidR="00FA4C5A" w:rsidRPr="0047094D">
              <w:rPr>
                <w:rStyle w:val="Hypertextovprepojenie"/>
              </w:rPr>
              <w:t>Samostatné časti</w:t>
            </w:r>
            <w:r w:rsidR="00FA4C5A">
              <w:rPr>
                <w:webHidden/>
              </w:rPr>
              <w:tab/>
            </w:r>
            <w:r>
              <w:rPr>
                <w:webHidden/>
              </w:rPr>
              <w:fldChar w:fldCharType="begin"/>
            </w:r>
            <w:r w:rsidR="00FA4C5A">
              <w:rPr>
                <w:webHidden/>
              </w:rPr>
              <w:instrText xml:space="preserve"> PAGEREF _Toc385310773 \h </w:instrText>
            </w:r>
            <w:r>
              <w:rPr>
                <w:webHidden/>
              </w:rPr>
            </w:r>
            <w:r>
              <w:rPr>
                <w:webHidden/>
              </w:rPr>
              <w:fldChar w:fldCharType="separate"/>
            </w:r>
            <w:r w:rsidR="00FA4C5A">
              <w:rPr>
                <w:webHidden/>
              </w:rPr>
              <w:t>151</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74" w:history="1">
            <w:r w:rsidR="00FA4C5A" w:rsidRPr="0047094D">
              <w:rPr>
                <w:rStyle w:val="Hypertextovprepojenie"/>
                <w:noProof/>
              </w:rPr>
              <w:t>12.1</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Zoznam veľkých projektov</w:t>
            </w:r>
            <w:r w:rsidR="00FA4C5A">
              <w:rPr>
                <w:noProof/>
                <w:webHidden/>
              </w:rPr>
              <w:tab/>
            </w:r>
            <w:r>
              <w:rPr>
                <w:noProof/>
                <w:webHidden/>
              </w:rPr>
              <w:fldChar w:fldCharType="begin"/>
            </w:r>
            <w:r w:rsidR="00FA4C5A">
              <w:rPr>
                <w:noProof/>
                <w:webHidden/>
              </w:rPr>
              <w:instrText xml:space="preserve"> PAGEREF _Toc385310774 \h </w:instrText>
            </w:r>
            <w:r>
              <w:rPr>
                <w:noProof/>
                <w:webHidden/>
              </w:rPr>
            </w:r>
            <w:r>
              <w:rPr>
                <w:noProof/>
                <w:webHidden/>
              </w:rPr>
              <w:fldChar w:fldCharType="separate"/>
            </w:r>
            <w:r w:rsidR="00FA4C5A">
              <w:rPr>
                <w:noProof/>
                <w:webHidden/>
              </w:rPr>
              <w:t>151</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75" w:history="1">
            <w:r w:rsidR="00FA4C5A" w:rsidRPr="0047094D">
              <w:rPr>
                <w:rStyle w:val="Hypertextovprepojenie"/>
                <w:noProof/>
                <w:lang w:eastAsia="cs-CZ"/>
              </w:rPr>
              <w:t>12.2</w:t>
            </w:r>
            <w:r w:rsidR="00FA4C5A">
              <w:rPr>
                <w:rFonts w:asciiTheme="minorHAnsi" w:eastAsiaTheme="minorEastAsia" w:hAnsiTheme="minorHAnsi" w:cstheme="minorBidi"/>
                <w:b w:val="0"/>
                <w:bCs w:val="0"/>
                <w:noProof/>
                <w:sz w:val="22"/>
                <w:szCs w:val="22"/>
              </w:rPr>
              <w:tab/>
            </w:r>
            <w:r w:rsidR="00FA4C5A" w:rsidRPr="0047094D">
              <w:rPr>
                <w:rStyle w:val="Hypertextovprepojenie"/>
                <w:noProof/>
                <w:lang w:eastAsia="cs-CZ"/>
              </w:rPr>
              <w:t>Výkonnostný rámec</w:t>
            </w:r>
            <w:r w:rsidR="00FA4C5A">
              <w:rPr>
                <w:noProof/>
                <w:webHidden/>
              </w:rPr>
              <w:tab/>
            </w:r>
            <w:r>
              <w:rPr>
                <w:noProof/>
                <w:webHidden/>
              </w:rPr>
              <w:fldChar w:fldCharType="begin"/>
            </w:r>
            <w:r w:rsidR="00FA4C5A">
              <w:rPr>
                <w:noProof/>
                <w:webHidden/>
              </w:rPr>
              <w:instrText xml:space="preserve"> PAGEREF _Toc385310775 \h </w:instrText>
            </w:r>
            <w:r>
              <w:rPr>
                <w:noProof/>
                <w:webHidden/>
              </w:rPr>
            </w:r>
            <w:r>
              <w:rPr>
                <w:noProof/>
                <w:webHidden/>
              </w:rPr>
              <w:fldChar w:fldCharType="separate"/>
            </w:r>
            <w:r w:rsidR="00FA4C5A">
              <w:rPr>
                <w:noProof/>
                <w:webHidden/>
              </w:rPr>
              <w:t>153</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77" w:history="1">
            <w:r w:rsidR="00FA4C5A" w:rsidRPr="0047094D">
              <w:rPr>
                <w:rStyle w:val="Hypertextovprepojenie"/>
                <w:noProof/>
              </w:rPr>
              <w:t>12.3</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Zapojenie príslušných partnerov do prípravy operačného programu a úlohy partnerov v rámci implementácie, monitorovania a hodnotenia operačného programu</w:t>
            </w:r>
            <w:r w:rsidR="00FA4C5A">
              <w:rPr>
                <w:noProof/>
                <w:webHidden/>
              </w:rPr>
              <w:tab/>
            </w:r>
            <w:r>
              <w:rPr>
                <w:noProof/>
                <w:webHidden/>
              </w:rPr>
              <w:fldChar w:fldCharType="begin"/>
            </w:r>
            <w:r w:rsidR="00FA4C5A">
              <w:rPr>
                <w:noProof/>
                <w:webHidden/>
              </w:rPr>
              <w:instrText xml:space="preserve"> PAGEREF _Toc385310777 \h </w:instrText>
            </w:r>
            <w:r>
              <w:rPr>
                <w:noProof/>
                <w:webHidden/>
              </w:rPr>
            </w:r>
            <w:r>
              <w:rPr>
                <w:noProof/>
                <w:webHidden/>
              </w:rPr>
              <w:fldChar w:fldCharType="separate"/>
            </w:r>
            <w:r w:rsidR="00FA4C5A">
              <w:rPr>
                <w:noProof/>
                <w:webHidden/>
              </w:rPr>
              <w:t>154</w:t>
            </w:r>
            <w:r>
              <w:rPr>
                <w:noProof/>
                <w:webHidden/>
              </w:rPr>
              <w:fldChar w:fldCharType="end"/>
            </w:r>
          </w:hyperlink>
        </w:p>
        <w:p w:rsidR="00FA4C5A" w:rsidRDefault="00B75FBB">
          <w:pPr>
            <w:pStyle w:val="Obsah1"/>
            <w:rPr>
              <w:rFonts w:asciiTheme="minorHAnsi" w:eastAsiaTheme="minorEastAsia" w:hAnsiTheme="minorHAnsi" w:cstheme="minorBidi"/>
              <w:b w:val="0"/>
              <w:bCs w:val="0"/>
              <w:caps w:val="0"/>
              <w:szCs w:val="22"/>
            </w:rPr>
          </w:pPr>
          <w:hyperlink w:anchor="_Toc385310778" w:history="1">
            <w:r w:rsidR="00FA4C5A" w:rsidRPr="0047094D">
              <w:rPr>
                <w:rStyle w:val="Hypertextovprepojenie"/>
              </w:rPr>
              <w:t>13</w:t>
            </w:r>
            <w:r w:rsidR="00FA4C5A">
              <w:rPr>
                <w:rFonts w:asciiTheme="minorHAnsi" w:eastAsiaTheme="minorEastAsia" w:hAnsiTheme="minorHAnsi" w:cstheme="minorBidi"/>
                <w:b w:val="0"/>
                <w:bCs w:val="0"/>
                <w:caps w:val="0"/>
                <w:szCs w:val="22"/>
              </w:rPr>
              <w:tab/>
            </w:r>
            <w:r w:rsidR="00FA4C5A" w:rsidRPr="0047094D">
              <w:rPr>
                <w:rStyle w:val="Hypertextovprepojenie"/>
              </w:rPr>
              <w:t>Prílohy</w:t>
            </w:r>
            <w:r w:rsidR="00FA4C5A">
              <w:rPr>
                <w:webHidden/>
              </w:rPr>
              <w:tab/>
            </w:r>
            <w:r>
              <w:rPr>
                <w:webHidden/>
              </w:rPr>
              <w:fldChar w:fldCharType="begin"/>
            </w:r>
            <w:r w:rsidR="00FA4C5A">
              <w:rPr>
                <w:webHidden/>
              </w:rPr>
              <w:instrText xml:space="preserve"> PAGEREF _Toc385310778 \h </w:instrText>
            </w:r>
            <w:r>
              <w:rPr>
                <w:webHidden/>
              </w:rPr>
            </w:r>
            <w:r>
              <w:rPr>
                <w:webHidden/>
              </w:rPr>
              <w:fldChar w:fldCharType="separate"/>
            </w:r>
            <w:r w:rsidR="00FA4C5A">
              <w:rPr>
                <w:webHidden/>
              </w:rPr>
              <w:t>155</w:t>
            </w:r>
            <w:r>
              <w:rPr>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79" w:history="1">
            <w:r w:rsidR="00FA4C5A" w:rsidRPr="0047094D">
              <w:rPr>
                <w:rStyle w:val="Hypertextovprepojenie"/>
                <w:noProof/>
              </w:rPr>
              <w:t>13.1</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Záverečná správa z ex ante hodnotenia OPII</w:t>
            </w:r>
            <w:r w:rsidR="00FA4C5A">
              <w:rPr>
                <w:noProof/>
                <w:webHidden/>
              </w:rPr>
              <w:tab/>
            </w:r>
            <w:r>
              <w:rPr>
                <w:noProof/>
                <w:webHidden/>
              </w:rPr>
              <w:fldChar w:fldCharType="begin"/>
            </w:r>
            <w:r w:rsidR="00FA4C5A">
              <w:rPr>
                <w:noProof/>
                <w:webHidden/>
              </w:rPr>
              <w:instrText xml:space="preserve"> PAGEREF _Toc385310779 \h </w:instrText>
            </w:r>
            <w:r>
              <w:rPr>
                <w:noProof/>
                <w:webHidden/>
              </w:rPr>
            </w:r>
            <w:r>
              <w:rPr>
                <w:noProof/>
                <w:webHidden/>
              </w:rPr>
              <w:fldChar w:fldCharType="separate"/>
            </w:r>
            <w:r w:rsidR="00FA4C5A">
              <w:rPr>
                <w:noProof/>
                <w:webHidden/>
              </w:rPr>
              <w:t>155</w:t>
            </w:r>
            <w:r>
              <w:rPr>
                <w:noProof/>
                <w:webHidden/>
              </w:rPr>
              <w:fldChar w:fldCharType="end"/>
            </w:r>
          </w:hyperlink>
        </w:p>
        <w:p w:rsidR="00FA4C5A" w:rsidRDefault="00B75FBB">
          <w:pPr>
            <w:pStyle w:val="Obsah2"/>
            <w:rPr>
              <w:rFonts w:asciiTheme="minorHAnsi" w:eastAsiaTheme="minorEastAsia" w:hAnsiTheme="minorHAnsi" w:cstheme="minorBidi"/>
              <w:b w:val="0"/>
              <w:bCs w:val="0"/>
              <w:noProof/>
              <w:sz w:val="22"/>
              <w:szCs w:val="22"/>
            </w:rPr>
          </w:pPr>
          <w:hyperlink w:anchor="_Toc385310780" w:history="1">
            <w:r w:rsidR="00FA4C5A" w:rsidRPr="0047094D">
              <w:rPr>
                <w:rStyle w:val="Hypertextovprepojenie"/>
                <w:noProof/>
              </w:rPr>
              <w:t>13.2</w:t>
            </w:r>
            <w:r w:rsidR="00FA4C5A">
              <w:rPr>
                <w:rFonts w:asciiTheme="minorHAnsi" w:eastAsiaTheme="minorEastAsia" w:hAnsiTheme="minorHAnsi" w:cstheme="minorBidi"/>
                <w:b w:val="0"/>
                <w:bCs w:val="0"/>
                <w:noProof/>
                <w:sz w:val="22"/>
                <w:szCs w:val="22"/>
              </w:rPr>
              <w:tab/>
            </w:r>
            <w:r w:rsidR="00FA4C5A" w:rsidRPr="0047094D">
              <w:rPr>
                <w:rStyle w:val="Hypertextovprepojenie"/>
                <w:noProof/>
              </w:rPr>
              <w:t>Zoznam skratiek</w:t>
            </w:r>
            <w:r w:rsidR="00FA4C5A">
              <w:rPr>
                <w:noProof/>
                <w:webHidden/>
              </w:rPr>
              <w:tab/>
            </w:r>
            <w:r>
              <w:rPr>
                <w:noProof/>
                <w:webHidden/>
              </w:rPr>
              <w:fldChar w:fldCharType="begin"/>
            </w:r>
            <w:r w:rsidR="00FA4C5A">
              <w:rPr>
                <w:noProof/>
                <w:webHidden/>
              </w:rPr>
              <w:instrText xml:space="preserve"> PAGEREF _Toc385310780 \h </w:instrText>
            </w:r>
            <w:r>
              <w:rPr>
                <w:noProof/>
                <w:webHidden/>
              </w:rPr>
            </w:r>
            <w:r>
              <w:rPr>
                <w:noProof/>
                <w:webHidden/>
              </w:rPr>
              <w:fldChar w:fldCharType="separate"/>
            </w:r>
            <w:r w:rsidR="00FA4C5A">
              <w:rPr>
                <w:noProof/>
                <w:webHidden/>
              </w:rPr>
              <w:t>155</w:t>
            </w:r>
            <w:r>
              <w:rPr>
                <w:noProof/>
                <w:webHidden/>
              </w:rPr>
              <w:fldChar w:fldCharType="end"/>
            </w:r>
          </w:hyperlink>
        </w:p>
        <w:p w:rsidR="00717C03" w:rsidRDefault="00B75FBB">
          <w:r>
            <w:fldChar w:fldCharType="end"/>
          </w:r>
        </w:p>
      </w:sdtContent>
    </w:sdt>
    <w:p w:rsidR="00717C03" w:rsidRDefault="00717C03" w:rsidP="00A46625">
      <w:pPr>
        <w:pStyle w:val="Nadpis1"/>
        <w:sectPr w:rsidR="00717C03" w:rsidSect="00D1658B">
          <w:pgSz w:w="11906" w:h="16838"/>
          <w:pgMar w:top="1474" w:right="1361" w:bottom="1304" w:left="1474" w:header="709" w:footer="709" w:gutter="0"/>
          <w:cols w:space="708"/>
          <w:docGrid w:linePitch="360"/>
        </w:sectPr>
      </w:pPr>
    </w:p>
    <w:tbl>
      <w:tblPr>
        <w:tblStyle w:val="Mriekatabuky"/>
        <w:tblW w:w="9242" w:type="dxa"/>
        <w:jc w:val="center"/>
        <w:tblLook w:val="04A0"/>
      </w:tblPr>
      <w:tblGrid>
        <w:gridCol w:w="4197"/>
        <w:gridCol w:w="5045"/>
      </w:tblGrid>
      <w:tr w:rsidR="00BB3348" w:rsidTr="00E641FB">
        <w:trPr>
          <w:trHeight w:val="397"/>
          <w:jc w:val="center"/>
        </w:trPr>
        <w:tc>
          <w:tcPr>
            <w:tcW w:w="4197" w:type="dxa"/>
            <w:shd w:val="clear" w:color="auto" w:fill="DBE5F1" w:themeFill="accent1" w:themeFillTint="33"/>
            <w:vAlign w:val="center"/>
          </w:tcPr>
          <w:p w:rsidR="00BB3348" w:rsidRDefault="00BB3348" w:rsidP="00BB3348">
            <w:pPr>
              <w:ind w:left="0"/>
            </w:pPr>
            <w:r>
              <w:lastRenderedPageBreak/>
              <w:t>CCI</w:t>
            </w:r>
          </w:p>
        </w:tc>
        <w:tc>
          <w:tcPr>
            <w:tcW w:w="5045" w:type="dxa"/>
            <w:vAlign w:val="center"/>
          </w:tcPr>
          <w:p w:rsidR="00BB3348" w:rsidRDefault="00BB3348" w:rsidP="00BB3348">
            <w:pPr>
              <w:ind w:left="0"/>
            </w:pPr>
          </w:p>
        </w:tc>
      </w:tr>
      <w:tr w:rsidR="00BB3348" w:rsidTr="00E641FB">
        <w:trPr>
          <w:trHeight w:val="397"/>
          <w:jc w:val="center"/>
        </w:trPr>
        <w:tc>
          <w:tcPr>
            <w:tcW w:w="4197" w:type="dxa"/>
            <w:shd w:val="clear" w:color="auto" w:fill="DBE5F1" w:themeFill="accent1" w:themeFillTint="33"/>
            <w:vAlign w:val="center"/>
          </w:tcPr>
          <w:p w:rsidR="00BB3348" w:rsidRDefault="00BB3348" w:rsidP="00BB3348">
            <w:pPr>
              <w:ind w:left="0"/>
            </w:pPr>
            <w:r>
              <w:t>Názov</w:t>
            </w:r>
          </w:p>
        </w:tc>
        <w:tc>
          <w:tcPr>
            <w:tcW w:w="5045" w:type="dxa"/>
            <w:vAlign w:val="center"/>
          </w:tcPr>
          <w:p w:rsidR="00BB3348" w:rsidRDefault="00BB3348" w:rsidP="00BB3348">
            <w:pPr>
              <w:ind w:left="0"/>
            </w:pPr>
            <w:r>
              <w:t xml:space="preserve">Operačný program Integrovaná infraštruktúra </w:t>
            </w:r>
          </w:p>
        </w:tc>
      </w:tr>
      <w:tr w:rsidR="00BB3348" w:rsidTr="00E641FB">
        <w:trPr>
          <w:trHeight w:val="397"/>
          <w:jc w:val="center"/>
        </w:trPr>
        <w:tc>
          <w:tcPr>
            <w:tcW w:w="4197" w:type="dxa"/>
            <w:shd w:val="clear" w:color="auto" w:fill="DBE5F1" w:themeFill="accent1" w:themeFillTint="33"/>
            <w:vAlign w:val="center"/>
          </w:tcPr>
          <w:p w:rsidR="00BB3348" w:rsidRDefault="00BB3348" w:rsidP="00BB3348">
            <w:pPr>
              <w:ind w:left="0"/>
            </w:pPr>
            <w:r>
              <w:t>Verzia</w:t>
            </w:r>
          </w:p>
        </w:tc>
        <w:tc>
          <w:tcPr>
            <w:tcW w:w="5045" w:type="dxa"/>
            <w:vAlign w:val="center"/>
          </w:tcPr>
          <w:p w:rsidR="00BB3348" w:rsidRDefault="00BB3348" w:rsidP="00BB3348">
            <w:pPr>
              <w:ind w:left="0"/>
            </w:pPr>
            <w:r>
              <w:t>1</w:t>
            </w:r>
            <w:r w:rsidR="00E641FB">
              <w:t>.0</w:t>
            </w:r>
          </w:p>
        </w:tc>
      </w:tr>
      <w:tr w:rsidR="00BB3348" w:rsidTr="00E641FB">
        <w:trPr>
          <w:trHeight w:val="397"/>
          <w:jc w:val="center"/>
        </w:trPr>
        <w:tc>
          <w:tcPr>
            <w:tcW w:w="4197" w:type="dxa"/>
            <w:shd w:val="clear" w:color="auto" w:fill="DBE5F1" w:themeFill="accent1" w:themeFillTint="33"/>
            <w:vAlign w:val="center"/>
          </w:tcPr>
          <w:p w:rsidR="00BB3348" w:rsidRDefault="00BB3348" w:rsidP="00BB3348">
            <w:pPr>
              <w:ind w:left="0"/>
            </w:pPr>
            <w:r>
              <w:t>Prvý rok</w:t>
            </w:r>
          </w:p>
        </w:tc>
        <w:tc>
          <w:tcPr>
            <w:tcW w:w="5045" w:type="dxa"/>
            <w:vAlign w:val="center"/>
          </w:tcPr>
          <w:p w:rsidR="00BB3348" w:rsidRDefault="00BB3348" w:rsidP="00BB3348">
            <w:pPr>
              <w:ind w:left="0"/>
            </w:pPr>
            <w:r>
              <w:t>2014</w:t>
            </w:r>
          </w:p>
        </w:tc>
      </w:tr>
      <w:tr w:rsidR="00BB3348" w:rsidTr="00E641FB">
        <w:trPr>
          <w:trHeight w:val="397"/>
          <w:jc w:val="center"/>
        </w:trPr>
        <w:tc>
          <w:tcPr>
            <w:tcW w:w="4197" w:type="dxa"/>
            <w:shd w:val="clear" w:color="auto" w:fill="DBE5F1" w:themeFill="accent1" w:themeFillTint="33"/>
            <w:vAlign w:val="center"/>
          </w:tcPr>
          <w:p w:rsidR="00BB3348" w:rsidRDefault="00BB3348" w:rsidP="00BB3348">
            <w:pPr>
              <w:ind w:left="0"/>
            </w:pPr>
            <w:r>
              <w:t>Posledný rok</w:t>
            </w:r>
          </w:p>
        </w:tc>
        <w:tc>
          <w:tcPr>
            <w:tcW w:w="5045" w:type="dxa"/>
            <w:vAlign w:val="center"/>
          </w:tcPr>
          <w:p w:rsidR="00BB3348" w:rsidRDefault="00BB3348" w:rsidP="00BB3348">
            <w:pPr>
              <w:ind w:left="0"/>
            </w:pPr>
            <w:r>
              <w:t>2023</w:t>
            </w:r>
          </w:p>
        </w:tc>
      </w:tr>
      <w:tr w:rsidR="00BB3348" w:rsidTr="00E641FB">
        <w:trPr>
          <w:trHeight w:val="397"/>
          <w:jc w:val="center"/>
        </w:trPr>
        <w:tc>
          <w:tcPr>
            <w:tcW w:w="4197" w:type="dxa"/>
            <w:shd w:val="clear" w:color="auto" w:fill="DBE5F1" w:themeFill="accent1" w:themeFillTint="33"/>
            <w:vAlign w:val="center"/>
          </w:tcPr>
          <w:p w:rsidR="00BB3348" w:rsidRDefault="00BB3348" w:rsidP="00BB3348">
            <w:pPr>
              <w:ind w:left="0"/>
            </w:pPr>
            <w:r>
              <w:t>Oprávnený od</w:t>
            </w:r>
          </w:p>
        </w:tc>
        <w:tc>
          <w:tcPr>
            <w:tcW w:w="5045" w:type="dxa"/>
            <w:vAlign w:val="center"/>
          </w:tcPr>
          <w:p w:rsidR="00BB3348" w:rsidRDefault="00BB3348" w:rsidP="00BB3348">
            <w:pPr>
              <w:ind w:left="0"/>
            </w:pPr>
            <w:r>
              <w:t>01.01.2014</w:t>
            </w:r>
          </w:p>
        </w:tc>
      </w:tr>
      <w:tr w:rsidR="00BB3348" w:rsidTr="00E641FB">
        <w:trPr>
          <w:trHeight w:val="397"/>
          <w:jc w:val="center"/>
        </w:trPr>
        <w:tc>
          <w:tcPr>
            <w:tcW w:w="4197" w:type="dxa"/>
            <w:shd w:val="clear" w:color="auto" w:fill="DBE5F1" w:themeFill="accent1" w:themeFillTint="33"/>
            <w:vAlign w:val="center"/>
          </w:tcPr>
          <w:p w:rsidR="00BB3348" w:rsidRDefault="00BB3348" w:rsidP="00BB3348">
            <w:pPr>
              <w:ind w:left="0"/>
            </w:pPr>
            <w:r>
              <w:t>Oprávnený do</w:t>
            </w:r>
          </w:p>
        </w:tc>
        <w:tc>
          <w:tcPr>
            <w:tcW w:w="5045" w:type="dxa"/>
            <w:vAlign w:val="center"/>
          </w:tcPr>
          <w:p w:rsidR="00BB3348" w:rsidRDefault="00BB3348" w:rsidP="00BB3348">
            <w:pPr>
              <w:ind w:left="0"/>
            </w:pPr>
            <w:r>
              <w:t>31.12.2023</w:t>
            </w:r>
          </w:p>
        </w:tc>
      </w:tr>
      <w:tr w:rsidR="00BB3348" w:rsidTr="00E641FB">
        <w:trPr>
          <w:trHeight w:val="397"/>
          <w:jc w:val="center"/>
        </w:trPr>
        <w:tc>
          <w:tcPr>
            <w:tcW w:w="4197" w:type="dxa"/>
            <w:shd w:val="clear" w:color="auto" w:fill="DBE5F1" w:themeFill="accent1" w:themeFillTint="33"/>
            <w:vAlign w:val="center"/>
          </w:tcPr>
          <w:p w:rsidR="00BB3348" w:rsidRDefault="00BB3348" w:rsidP="00BB3348">
            <w:pPr>
              <w:ind w:left="0"/>
            </w:pPr>
            <w:r>
              <w:t>Číslo Rozhodnutia EK</w:t>
            </w:r>
          </w:p>
        </w:tc>
        <w:tc>
          <w:tcPr>
            <w:tcW w:w="5045" w:type="dxa"/>
            <w:vAlign w:val="center"/>
          </w:tcPr>
          <w:p w:rsidR="00BB3348" w:rsidRDefault="00BB3348" w:rsidP="00BB3348">
            <w:pPr>
              <w:ind w:left="0"/>
            </w:pPr>
          </w:p>
        </w:tc>
      </w:tr>
      <w:tr w:rsidR="00BB3348" w:rsidTr="00E641FB">
        <w:trPr>
          <w:trHeight w:val="397"/>
          <w:jc w:val="center"/>
        </w:trPr>
        <w:tc>
          <w:tcPr>
            <w:tcW w:w="4197" w:type="dxa"/>
            <w:shd w:val="clear" w:color="auto" w:fill="DBE5F1" w:themeFill="accent1" w:themeFillTint="33"/>
            <w:vAlign w:val="center"/>
          </w:tcPr>
          <w:p w:rsidR="00BB3348" w:rsidRDefault="00BB3348" w:rsidP="00BB3348">
            <w:pPr>
              <w:ind w:left="0"/>
            </w:pPr>
            <w:r>
              <w:t>Dátum Rozhodnutia EK</w:t>
            </w:r>
          </w:p>
        </w:tc>
        <w:tc>
          <w:tcPr>
            <w:tcW w:w="5045" w:type="dxa"/>
            <w:vAlign w:val="center"/>
          </w:tcPr>
          <w:p w:rsidR="00BB3348" w:rsidRDefault="00BB3348" w:rsidP="00BB3348">
            <w:pPr>
              <w:ind w:left="0"/>
            </w:pPr>
          </w:p>
        </w:tc>
      </w:tr>
      <w:tr w:rsidR="00BB3348" w:rsidTr="00E641FB">
        <w:trPr>
          <w:trHeight w:val="397"/>
          <w:jc w:val="center"/>
        </w:trPr>
        <w:tc>
          <w:tcPr>
            <w:tcW w:w="4197" w:type="dxa"/>
            <w:shd w:val="clear" w:color="auto" w:fill="DBE5F1" w:themeFill="accent1" w:themeFillTint="33"/>
            <w:vAlign w:val="center"/>
          </w:tcPr>
          <w:p w:rsidR="00BB3348" w:rsidRDefault="00BB3348" w:rsidP="00BB3348">
            <w:pPr>
              <w:ind w:left="0"/>
            </w:pPr>
            <w:r>
              <w:t>Rozhodnutie ČŠ, ktorým sa mení a dopĺňa OP</w:t>
            </w:r>
          </w:p>
        </w:tc>
        <w:tc>
          <w:tcPr>
            <w:tcW w:w="5045" w:type="dxa"/>
            <w:vAlign w:val="center"/>
          </w:tcPr>
          <w:p w:rsidR="00BB3348" w:rsidRDefault="00BB3348" w:rsidP="00BB3348">
            <w:pPr>
              <w:ind w:left="0"/>
            </w:pPr>
          </w:p>
        </w:tc>
      </w:tr>
      <w:tr w:rsidR="00BB3348" w:rsidTr="00E641FB">
        <w:trPr>
          <w:trHeight w:val="397"/>
          <w:jc w:val="center"/>
        </w:trPr>
        <w:tc>
          <w:tcPr>
            <w:tcW w:w="4197" w:type="dxa"/>
            <w:shd w:val="clear" w:color="auto" w:fill="DBE5F1" w:themeFill="accent1" w:themeFillTint="33"/>
            <w:vAlign w:val="center"/>
          </w:tcPr>
          <w:p w:rsidR="00BB3348" w:rsidRDefault="00BB3348" w:rsidP="00BB3348">
            <w:pPr>
              <w:ind w:left="0"/>
            </w:pPr>
            <w:r>
              <w:t>Dátum rozhodnutia ČŠ, ktorým sa mení a dopĺňa OP</w:t>
            </w:r>
          </w:p>
        </w:tc>
        <w:tc>
          <w:tcPr>
            <w:tcW w:w="5045" w:type="dxa"/>
            <w:vAlign w:val="center"/>
          </w:tcPr>
          <w:p w:rsidR="00BB3348" w:rsidRDefault="00BB3348" w:rsidP="00BB3348">
            <w:pPr>
              <w:ind w:left="0"/>
            </w:pPr>
          </w:p>
        </w:tc>
      </w:tr>
      <w:tr w:rsidR="00BB3348" w:rsidTr="00E641FB">
        <w:trPr>
          <w:trHeight w:val="397"/>
          <w:jc w:val="center"/>
        </w:trPr>
        <w:tc>
          <w:tcPr>
            <w:tcW w:w="4197" w:type="dxa"/>
            <w:shd w:val="clear" w:color="auto" w:fill="DBE5F1" w:themeFill="accent1" w:themeFillTint="33"/>
            <w:vAlign w:val="center"/>
          </w:tcPr>
          <w:p w:rsidR="00BB3348" w:rsidRDefault="00BB3348" w:rsidP="00BB3348">
            <w:pPr>
              <w:ind w:left="0"/>
            </w:pPr>
            <w:r>
              <w:t>Dátum, ktorým vstupuje do platnosti rozhodnutie ČS o zmene a doplnení OP</w:t>
            </w:r>
          </w:p>
        </w:tc>
        <w:tc>
          <w:tcPr>
            <w:tcW w:w="5045" w:type="dxa"/>
            <w:vAlign w:val="center"/>
          </w:tcPr>
          <w:p w:rsidR="00BB3348" w:rsidRDefault="00BB3348" w:rsidP="00BB3348">
            <w:pPr>
              <w:ind w:left="0"/>
            </w:pPr>
          </w:p>
        </w:tc>
      </w:tr>
      <w:tr w:rsidR="00BB3348" w:rsidTr="00E641FB">
        <w:trPr>
          <w:trHeight w:val="397"/>
          <w:jc w:val="center"/>
        </w:trPr>
        <w:tc>
          <w:tcPr>
            <w:tcW w:w="4197" w:type="dxa"/>
            <w:shd w:val="clear" w:color="auto" w:fill="DBE5F1" w:themeFill="accent1" w:themeFillTint="33"/>
            <w:vAlign w:val="center"/>
          </w:tcPr>
          <w:p w:rsidR="00BB3348" w:rsidRDefault="00BB3348" w:rsidP="00BB3348">
            <w:pPr>
              <w:ind w:left="0"/>
            </w:pPr>
            <w:r>
              <w:t>Oprávnené regióny (na úrovni NUTS)</w:t>
            </w:r>
          </w:p>
        </w:tc>
        <w:tc>
          <w:tcPr>
            <w:tcW w:w="5045" w:type="dxa"/>
            <w:vAlign w:val="center"/>
          </w:tcPr>
          <w:p w:rsidR="00BB3348" w:rsidRDefault="00BB3348" w:rsidP="00BB3348">
            <w:pPr>
              <w:ind w:left="0"/>
            </w:pPr>
            <w:r>
              <w:t>KF: NUTS 2 (BA, ZS, SS, VS)</w:t>
            </w:r>
          </w:p>
          <w:p w:rsidR="00BB3348" w:rsidRDefault="0059698C" w:rsidP="00BB3348">
            <w:pPr>
              <w:ind w:left="0"/>
            </w:pPr>
            <w:r>
              <w:t>EFRR: NUTS 3 (</w:t>
            </w:r>
            <w:r w:rsidR="00BB3348">
              <w:t>TT, NR, TT, ZA, BB, KE, PO)</w:t>
            </w:r>
          </w:p>
        </w:tc>
      </w:tr>
    </w:tbl>
    <w:p w:rsidR="00BB3348" w:rsidRDefault="00BB3348" w:rsidP="00A46625">
      <w:pPr>
        <w:pStyle w:val="Nadpis1"/>
        <w:sectPr w:rsidR="00BB3348" w:rsidSect="00E641FB">
          <w:headerReference w:type="default" r:id="rId12"/>
          <w:footerReference w:type="default" r:id="rId13"/>
          <w:pgSz w:w="11906" w:h="16838"/>
          <w:pgMar w:top="1474" w:right="1361" w:bottom="1304" w:left="1474" w:header="709" w:footer="709" w:gutter="0"/>
          <w:cols w:space="708"/>
          <w:docGrid w:linePitch="360"/>
        </w:sectPr>
      </w:pPr>
    </w:p>
    <w:p w:rsidR="0079492E" w:rsidRDefault="0079492E" w:rsidP="00A46625">
      <w:pPr>
        <w:pStyle w:val="Nadpis1"/>
      </w:pPr>
      <w:bookmarkStart w:id="0" w:name="_Toc385310671"/>
      <w:r>
        <w:lastRenderedPageBreak/>
        <w:t>Stratégia operačného programu</w:t>
      </w:r>
      <w:bookmarkEnd w:id="0"/>
    </w:p>
    <w:p w:rsidR="00A46625" w:rsidRDefault="00A46625" w:rsidP="001A49CC">
      <w:pPr>
        <w:pStyle w:val="Nadpis2"/>
        <w:tabs>
          <w:tab w:val="num" w:pos="851"/>
        </w:tabs>
        <w:spacing w:before="240"/>
        <w:jc w:val="both"/>
      </w:pPr>
      <w:bookmarkStart w:id="1" w:name="_Toc383209119"/>
      <w:bookmarkStart w:id="2" w:name="_Toc383236531"/>
      <w:bookmarkStart w:id="3" w:name="_Toc385310672"/>
      <w:r>
        <w:t>Stratégia OP pre príspevok k stratégii EÚ pre inteligentný, ud</w:t>
      </w:r>
      <w:r w:rsidR="00544A1F">
        <w:t>ržateľný a inkluzívny rast a na </w:t>
      </w:r>
      <w:r>
        <w:t>dosiahnutie ekonomickej, sociálnej a územnej súdržnosti</w:t>
      </w:r>
      <w:bookmarkEnd w:id="1"/>
      <w:bookmarkEnd w:id="2"/>
      <w:bookmarkEnd w:id="3"/>
    </w:p>
    <w:p w:rsidR="00B322C7" w:rsidRDefault="00B322C7" w:rsidP="00B322C7">
      <w:pPr>
        <w:spacing w:before="180"/>
        <w:jc w:val="both"/>
        <w:rPr>
          <w:b/>
          <w:bCs/>
          <w:color w:val="000000"/>
          <w:sz w:val="22"/>
          <w:szCs w:val="22"/>
        </w:rPr>
      </w:pPr>
      <w:r w:rsidRPr="00A5254D">
        <w:rPr>
          <w:b/>
          <w:color w:val="000000"/>
          <w:sz w:val="22"/>
          <w:szCs w:val="22"/>
        </w:rPr>
        <w:t xml:space="preserve">Operačný program Integrovaná infraštruktúra </w:t>
      </w:r>
      <w:r>
        <w:rPr>
          <w:b/>
          <w:color w:val="000000"/>
          <w:sz w:val="22"/>
          <w:szCs w:val="22"/>
        </w:rPr>
        <w:t>(ďalej aj „OPII</w:t>
      </w:r>
      <w:r w:rsidRPr="00A5254D">
        <w:rPr>
          <w:b/>
          <w:color w:val="000000"/>
          <w:sz w:val="22"/>
          <w:szCs w:val="22"/>
        </w:rPr>
        <w:t xml:space="preserve">“) predstavuje programový dokument Slovenskej republiky pre čerpanie pomoci z fondov EÚ na roky 2014 – 2020 v sektore dopravy a v oblasti </w:t>
      </w:r>
      <w:r w:rsidRPr="00A5254D">
        <w:rPr>
          <w:b/>
          <w:bCs/>
          <w:color w:val="000000"/>
          <w:sz w:val="22"/>
          <w:szCs w:val="22"/>
        </w:rPr>
        <w:t>zlepšovania</w:t>
      </w:r>
      <w:r>
        <w:rPr>
          <w:b/>
          <w:bCs/>
          <w:color w:val="000000"/>
          <w:sz w:val="22"/>
          <w:szCs w:val="22"/>
        </w:rPr>
        <w:t xml:space="preserve"> prístupu k informačným a komunikačným technológiám a zlepšenia</w:t>
      </w:r>
      <w:r w:rsidRPr="00A5254D">
        <w:rPr>
          <w:b/>
          <w:bCs/>
          <w:color w:val="000000"/>
          <w:sz w:val="22"/>
          <w:szCs w:val="22"/>
        </w:rPr>
        <w:t xml:space="preserve"> ich využívania a kvality.</w:t>
      </w:r>
    </w:p>
    <w:p w:rsidR="00B322C7" w:rsidRPr="00A5254D" w:rsidRDefault="00B322C7" w:rsidP="00B322C7">
      <w:pPr>
        <w:spacing w:before="180"/>
        <w:jc w:val="both"/>
        <w:rPr>
          <w:b/>
          <w:sz w:val="22"/>
          <w:szCs w:val="22"/>
        </w:rPr>
      </w:pPr>
      <w:r w:rsidRPr="00A5254D">
        <w:rPr>
          <w:b/>
          <w:sz w:val="22"/>
          <w:szCs w:val="22"/>
        </w:rPr>
        <w:t xml:space="preserve">Globálnym cieľom </w:t>
      </w:r>
      <w:r>
        <w:rPr>
          <w:b/>
          <w:sz w:val="22"/>
          <w:szCs w:val="22"/>
        </w:rPr>
        <w:t>OPII</w:t>
      </w:r>
      <w:r w:rsidRPr="00A5254D">
        <w:rPr>
          <w:b/>
          <w:sz w:val="22"/>
          <w:szCs w:val="22"/>
        </w:rPr>
        <w:t xml:space="preserve"> je podpora trvalo udržateľnej mobility, hospodárskeho rastu, tvorby pracovných miest a zlepšenie podnikateľského prostredia prostredníctvom rozvoja dopravnej infraštruktúry, rozvoja verejnej osobnej dopravy a rozvoja informačnej spoločnosti.</w:t>
      </w:r>
    </w:p>
    <w:p w:rsidR="00B322C7" w:rsidRPr="00A5254D" w:rsidRDefault="00B322C7" w:rsidP="00B322C7">
      <w:pPr>
        <w:spacing w:before="180"/>
        <w:jc w:val="both"/>
        <w:rPr>
          <w:bCs/>
          <w:color w:val="000000"/>
          <w:sz w:val="22"/>
          <w:szCs w:val="22"/>
        </w:rPr>
      </w:pPr>
      <w:r w:rsidRPr="00A5254D">
        <w:rPr>
          <w:bCs/>
          <w:color w:val="000000"/>
          <w:sz w:val="22"/>
          <w:szCs w:val="22"/>
        </w:rPr>
        <w:t>Implementačná stratégia OP vychádza z analýzy sektoru a prognózy jeho vývoja, z hlavných kľúčových disparít a potenciálnych faktorov rozvoja identifikovaných na makroekonomickej národnej úrovni, ako aj tých, ktoré sú špecifické pre sektor dopravy. Investície do roku 2020 by mali slúžiť na vypĺňanie medzier a chýbajúcich spojení v základnej infraštruktúre na národnej aj cezhraničnej úrovni, s dôrazom na trvalo</w:t>
      </w:r>
      <w:r>
        <w:rPr>
          <w:bCs/>
          <w:color w:val="000000"/>
          <w:sz w:val="22"/>
          <w:szCs w:val="22"/>
        </w:rPr>
        <w:t xml:space="preserve"> </w:t>
      </w:r>
      <w:r w:rsidRPr="00A5254D">
        <w:rPr>
          <w:bCs/>
          <w:color w:val="000000"/>
          <w:sz w:val="22"/>
          <w:szCs w:val="22"/>
        </w:rPr>
        <w:t>udržateľnú, ekologickejšiu a nákladovo-efektív</w:t>
      </w:r>
      <w:r>
        <w:rPr>
          <w:bCs/>
          <w:color w:val="000000"/>
          <w:sz w:val="22"/>
          <w:szCs w:val="22"/>
        </w:rPr>
        <w:t>nejšiu dopravnú infraštruktúru.</w:t>
      </w:r>
    </w:p>
    <w:p w:rsidR="00B322C7" w:rsidRDefault="00B322C7" w:rsidP="00B322C7">
      <w:pPr>
        <w:spacing w:before="180"/>
        <w:jc w:val="both"/>
        <w:rPr>
          <w:bCs/>
          <w:color w:val="000000"/>
          <w:sz w:val="22"/>
          <w:szCs w:val="22"/>
        </w:rPr>
      </w:pPr>
      <w:r w:rsidRPr="00A5254D">
        <w:rPr>
          <w:bCs/>
          <w:color w:val="000000"/>
          <w:sz w:val="22"/>
          <w:szCs w:val="22"/>
        </w:rPr>
        <w:t xml:space="preserve">Intervencie do výstavby novej a modernizácie existujúcej dopravnej infraštruktúry by okrem riešenia naliehavých otázok na dopravnej sieti mali prispieť k hospodárskemu rastu a tvorbe pracovných miest. V oblasti </w:t>
      </w:r>
      <w:r>
        <w:rPr>
          <w:bCs/>
          <w:color w:val="000000"/>
          <w:sz w:val="22"/>
          <w:szCs w:val="22"/>
        </w:rPr>
        <w:t xml:space="preserve">verejnej osobnej dopravy a </w:t>
      </w:r>
      <w:r w:rsidRPr="00A5254D">
        <w:rPr>
          <w:bCs/>
          <w:color w:val="000000"/>
          <w:sz w:val="22"/>
          <w:szCs w:val="22"/>
        </w:rPr>
        <w:t>udržateľn</w:t>
      </w:r>
      <w:r>
        <w:rPr>
          <w:bCs/>
          <w:color w:val="000000"/>
          <w:sz w:val="22"/>
          <w:szCs w:val="22"/>
        </w:rPr>
        <w:t>ej</w:t>
      </w:r>
      <w:r w:rsidRPr="00A5254D">
        <w:rPr>
          <w:bCs/>
          <w:color w:val="000000"/>
          <w:sz w:val="22"/>
          <w:szCs w:val="22"/>
        </w:rPr>
        <w:t xml:space="preserve"> me</w:t>
      </w:r>
      <w:r>
        <w:rPr>
          <w:bCs/>
          <w:color w:val="000000"/>
          <w:sz w:val="22"/>
          <w:szCs w:val="22"/>
        </w:rPr>
        <w:t xml:space="preserve">stskej mobility, budú podporované predovšetkým </w:t>
      </w:r>
      <w:r w:rsidRPr="00A5254D">
        <w:rPr>
          <w:bCs/>
          <w:color w:val="000000"/>
          <w:sz w:val="22"/>
          <w:szCs w:val="22"/>
        </w:rPr>
        <w:t>veľk</w:t>
      </w:r>
      <w:r>
        <w:rPr>
          <w:bCs/>
          <w:color w:val="000000"/>
          <w:sz w:val="22"/>
          <w:szCs w:val="22"/>
        </w:rPr>
        <w:t>é</w:t>
      </w:r>
      <w:r w:rsidRPr="00A5254D">
        <w:rPr>
          <w:bCs/>
          <w:color w:val="000000"/>
          <w:sz w:val="22"/>
          <w:szCs w:val="22"/>
        </w:rPr>
        <w:t xml:space="preserve"> sídelno-urbanistick</w:t>
      </w:r>
      <w:r>
        <w:rPr>
          <w:bCs/>
          <w:color w:val="000000"/>
          <w:sz w:val="22"/>
          <w:szCs w:val="22"/>
        </w:rPr>
        <w:t>é</w:t>
      </w:r>
      <w:r w:rsidRPr="00A5254D">
        <w:rPr>
          <w:bCs/>
          <w:color w:val="000000"/>
          <w:sz w:val="22"/>
          <w:szCs w:val="22"/>
        </w:rPr>
        <w:t xml:space="preserve"> aglomeráci</w:t>
      </w:r>
      <w:r>
        <w:rPr>
          <w:bCs/>
          <w:color w:val="000000"/>
          <w:sz w:val="22"/>
          <w:szCs w:val="22"/>
        </w:rPr>
        <w:t>e</w:t>
      </w:r>
      <w:r w:rsidRPr="00A5254D">
        <w:rPr>
          <w:bCs/>
          <w:color w:val="000000"/>
          <w:sz w:val="22"/>
          <w:szCs w:val="22"/>
        </w:rPr>
        <w:t>, a to prostredníctvom podpory integrácie dopravných systémov a obnovy mobilných prostriedkov zabezpečujúcich železničnú osobnú a mestskú hromadnú (dráhovú) prepravu cestujúcich.</w:t>
      </w:r>
    </w:p>
    <w:p w:rsidR="00B322C7" w:rsidRPr="00A5254D" w:rsidRDefault="00B322C7" w:rsidP="00B322C7">
      <w:pPr>
        <w:spacing w:before="180"/>
        <w:jc w:val="both"/>
        <w:rPr>
          <w:bCs/>
          <w:color w:val="000000"/>
          <w:sz w:val="22"/>
          <w:szCs w:val="22"/>
        </w:rPr>
      </w:pPr>
      <w:r>
        <w:rPr>
          <w:bCs/>
          <w:color w:val="000000"/>
          <w:sz w:val="22"/>
          <w:szCs w:val="22"/>
        </w:rPr>
        <w:t>Intervencie v oblasti rozvoja informačnej spoločnosti by mali prispieť k vytvoreniu agilnej spoločnosti schopnej flexibilne reagovať na meniace sa podmienky a otvárajúce sa príležitosti a prispieť k naplneniu kľúčových prio</w:t>
      </w:r>
      <w:r w:rsidR="00A30CC5">
        <w:rPr>
          <w:bCs/>
          <w:color w:val="000000"/>
          <w:sz w:val="22"/>
          <w:szCs w:val="22"/>
        </w:rPr>
        <w:t>rít Slovenska</w:t>
      </w:r>
      <w:r>
        <w:rPr>
          <w:bCs/>
          <w:color w:val="000000"/>
          <w:sz w:val="22"/>
          <w:szCs w:val="22"/>
        </w:rPr>
        <w:t xml:space="preserve"> akými sú hospodársky rast, zvýšenie konkurencieschopnosti, posilnenie ekonomiky a zefektívnenie verejnej správy.</w:t>
      </w:r>
    </w:p>
    <w:p w:rsidR="00B322C7" w:rsidRPr="00A5254D" w:rsidRDefault="00B322C7" w:rsidP="00B322C7">
      <w:pPr>
        <w:spacing w:before="180"/>
        <w:jc w:val="both"/>
        <w:rPr>
          <w:bCs/>
          <w:color w:val="000000"/>
          <w:sz w:val="22"/>
          <w:szCs w:val="22"/>
        </w:rPr>
      </w:pPr>
      <w:r w:rsidRPr="00A5254D">
        <w:rPr>
          <w:bCs/>
          <w:color w:val="000000"/>
          <w:sz w:val="22"/>
          <w:szCs w:val="22"/>
        </w:rPr>
        <w:t>Obsah OP je v súlade s odporúčaniami EK, obsahom Národného programu reforiem Slovenskej republiky (na rok 2013), ako aj age</w:t>
      </w:r>
      <w:r>
        <w:rPr>
          <w:bCs/>
          <w:color w:val="000000"/>
          <w:sz w:val="22"/>
          <w:szCs w:val="22"/>
        </w:rPr>
        <w:t xml:space="preserve">ndou </w:t>
      </w:r>
      <w:r w:rsidR="00A30CC5">
        <w:rPr>
          <w:bCs/>
          <w:color w:val="000000"/>
          <w:sz w:val="22"/>
          <w:szCs w:val="22"/>
        </w:rPr>
        <w:t>s</w:t>
      </w:r>
      <w:r>
        <w:rPr>
          <w:bCs/>
          <w:color w:val="000000"/>
          <w:sz w:val="22"/>
          <w:szCs w:val="22"/>
        </w:rPr>
        <w:t>tratégie Európa 2020</w:t>
      </w:r>
      <w:r w:rsidR="004C77FC">
        <w:rPr>
          <w:rStyle w:val="Odkaznapoznmkupodiarou"/>
          <w:bCs/>
          <w:color w:val="000000"/>
          <w:sz w:val="22"/>
          <w:szCs w:val="22"/>
        </w:rPr>
        <w:footnoteReference w:id="1"/>
      </w:r>
      <w:r>
        <w:rPr>
          <w:bCs/>
          <w:color w:val="000000"/>
          <w:sz w:val="22"/>
          <w:szCs w:val="22"/>
        </w:rPr>
        <w:t>. P</w:t>
      </w:r>
      <w:r w:rsidRPr="00A5254D">
        <w:rPr>
          <w:bCs/>
          <w:color w:val="000000"/>
          <w:sz w:val="22"/>
          <w:szCs w:val="22"/>
        </w:rPr>
        <w:t xml:space="preserve">re programové obdobie 2014 – 2020 </w:t>
      </w:r>
      <w:r>
        <w:rPr>
          <w:bCs/>
          <w:color w:val="000000"/>
          <w:sz w:val="22"/>
          <w:szCs w:val="22"/>
        </w:rPr>
        <w:t>bolo vypracovaných</w:t>
      </w:r>
      <w:r w:rsidRPr="00A5254D">
        <w:rPr>
          <w:bCs/>
          <w:color w:val="000000"/>
          <w:sz w:val="22"/>
          <w:szCs w:val="22"/>
        </w:rPr>
        <w:t xml:space="preserve"> 11 tematických cieľov</w:t>
      </w:r>
      <w:r w:rsidR="004C77FC">
        <w:rPr>
          <w:rStyle w:val="Odkaznapoznmkupodiarou"/>
          <w:bCs/>
          <w:color w:val="000000"/>
          <w:sz w:val="22"/>
          <w:szCs w:val="22"/>
        </w:rPr>
        <w:footnoteReference w:id="2"/>
      </w:r>
      <w:r>
        <w:rPr>
          <w:bCs/>
          <w:color w:val="000000"/>
          <w:sz w:val="22"/>
          <w:szCs w:val="22"/>
        </w:rPr>
        <w:t>, ktoré sú spoločné pre </w:t>
      </w:r>
      <w:r w:rsidRPr="00A5254D">
        <w:rPr>
          <w:bCs/>
          <w:color w:val="000000"/>
          <w:sz w:val="22"/>
          <w:szCs w:val="22"/>
        </w:rPr>
        <w:t>politiku súdržnosti, vidiecky rozvoj a pre námornú a rybársku politiku. Zabezpečujú, aby zásahy v rámci týchto politík smerovali k dosiahnu</w:t>
      </w:r>
      <w:r>
        <w:rPr>
          <w:bCs/>
          <w:color w:val="000000"/>
          <w:sz w:val="22"/>
          <w:szCs w:val="22"/>
        </w:rPr>
        <w:t>tiu spoločných cieľov. Tieto tematické ciele</w:t>
      </w:r>
      <w:r w:rsidRPr="00A5254D">
        <w:rPr>
          <w:bCs/>
          <w:color w:val="000000"/>
          <w:sz w:val="22"/>
          <w:szCs w:val="22"/>
        </w:rPr>
        <w:t xml:space="preserve"> prevádza</w:t>
      </w:r>
      <w:r>
        <w:rPr>
          <w:bCs/>
          <w:color w:val="000000"/>
          <w:sz w:val="22"/>
          <w:szCs w:val="22"/>
        </w:rPr>
        <w:t>jú</w:t>
      </w:r>
      <w:r w:rsidRPr="00A5254D">
        <w:rPr>
          <w:bCs/>
          <w:color w:val="000000"/>
          <w:sz w:val="22"/>
          <w:szCs w:val="22"/>
        </w:rPr>
        <w:t xml:space="preserve"> stratégiu Európa 2020 na operačné ciele, ktoré budú podporované práve cez fondy spoločného strategického rámca.</w:t>
      </w:r>
    </w:p>
    <w:p w:rsidR="00B322C7" w:rsidRPr="00A5254D" w:rsidRDefault="00B322C7" w:rsidP="00B322C7">
      <w:pPr>
        <w:spacing w:before="180" w:after="120"/>
        <w:jc w:val="both"/>
        <w:rPr>
          <w:bCs/>
          <w:color w:val="000000"/>
          <w:sz w:val="22"/>
          <w:szCs w:val="22"/>
        </w:rPr>
      </w:pPr>
      <w:r>
        <w:rPr>
          <w:bCs/>
          <w:color w:val="000000"/>
          <w:sz w:val="22"/>
          <w:szCs w:val="22"/>
          <w:u w:val="single"/>
        </w:rPr>
        <w:t>OPII</w:t>
      </w:r>
      <w:r w:rsidRPr="00A5254D">
        <w:rPr>
          <w:bCs/>
          <w:color w:val="000000"/>
          <w:sz w:val="22"/>
          <w:szCs w:val="22"/>
          <w:u w:val="single"/>
        </w:rPr>
        <w:t xml:space="preserve"> sa zameriava na plnenie nasledujúcich dvoch tematických cieľov</w:t>
      </w:r>
      <w:r w:rsidRPr="00A5254D">
        <w:rPr>
          <w:bCs/>
          <w:color w:val="000000"/>
          <w:sz w:val="22"/>
          <w:szCs w:val="22"/>
        </w:rPr>
        <w:t>:</w:t>
      </w:r>
    </w:p>
    <w:p w:rsidR="00B322C7" w:rsidRPr="00A5254D" w:rsidRDefault="00B322C7" w:rsidP="004C77FC">
      <w:pPr>
        <w:pStyle w:val="Odsekzoznamu"/>
        <w:numPr>
          <w:ilvl w:val="0"/>
          <w:numId w:val="40"/>
        </w:numPr>
        <w:spacing w:before="120"/>
        <w:ind w:left="426" w:hanging="284"/>
        <w:jc w:val="both"/>
        <w:rPr>
          <w:bCs/>
          <w:color w:val="000000"/>
          <w:sz w:val="22"/>
          <w:szCs w:val="22"/>
        </w:rPr>
      </w:pPr>
      <w:r w:rsidRPr="00A5254D">
        <w:rPr>
          <w:bCs/>
          <w:color w:val="000000"/>
          <w:sz w:val="22"/>
          <w:szCs w:val="22"/>
        </w:rPr>
        <w:t>Tematický cieľ 7 – Podpora udržateľnej dopravy a odstraňovanie prekážok v kľúčových sieťových infraštruktúrach,</w:t>
      </w:r>
    </w:p>
    <w:p w:rsidR="00B322C7" w:rsidRPr="00A5254D" w:rsidRDefault="00B322C7" w:rsidP="004C77FC">
      <w:pPr>
        <w:pStyle w:val="Odsekzoznamu"/>
        <w:numPr>
          <w:ilvl w:val="0"/>
          <w:numId w:val="40"/>
        </w:numPr>
        <w:spacing w:before="120"/>
        <w:ind w:left="426" w:hanging="284"/>
        <w:jc w:val="both"/>
        <w:rPr>
          <w:bCs/>
          <w:color w:val="000000"/>
          <w:sz w:val="22"/>
          <w:szCs w:val="22"/>
        </w:rPr>
      </w:pPr>
      <w:r w:rsidRPr="00A5254D">
        <w:rPr>
          <w:bCs/>
          <w:color w:val="000000"/>
          <w:sz w:val="22"/>
          <w:szCs w:val="22"/>
        </w:rPr>
        <w:t>Tematický cieľ 2 – Zlepšenie prístupu k informáciám a</w:t>
      </w:r>
      <w:r>
        <w:rPr>
          <w:bCs/>
          <w:color w:val="000000"/>
          <w:sz w:val="22"/>
          <w:szCs w:val="22"/>
        </w:rPr>
        <w:t xml:space="preserve"> IKT </w:t>
      </w:r>
      <w:r w:rsidRPr="00A5254D">
        <w:rPr>
          <w:bCs/>
          <w:color w:val="000000"/>
          <w:sz w:val="22"/>
          <w:szCs w:val="22"/>
        </w:rPr>
        <w:t>a zlepšenie ich využívania a kvality.</w:t>
      </w:r>
    </w:p>
    <w:p w:rsidR="00B322C7" w:rsidRDefault="00B322C7" w:rsidP="00B322C7">
      <w:pPr>
        <w:spacing w:before="240"/>
        <w:jc w:val="both"/>
        <w:rPr>
          <w:bCs/>
          <w:sz w:val="22"/>
          <w:szCs w:val="22"/>
        </w:rPr>
      </w:pPr>
      <w:r w:rsidRPr="00A5254D">
        <w:rPr>
          <w:bCs/>
          <w:color w:val="000000"/>
          <w:sz w:val="22"/>
          <w:szCs w:val="22"/>
        </w:rPr>
        <w:t xml:space="preserve">Tento dokument ďalej obsahuje súbor špecifických cieľov a prioritných osí zahrňujúcich viacročné opatrenia na ich dosiahnutie. Tie budú realizované využitím finančnej pomoci z Kohézneho fondu a Európskeho fondu regionálneho rozvoja. Zároveň vytvárajú prepojenie na iné finančné nástroje, predovšetkým </w:t>
      </w:r>
      <w:r>
        <w:rPr>
          <w:bCs/>
          <w:color w:val="000000"/>
          <w:sz w:val="22"/>
          <w:szCs w:val="22"/>
        </w:rPr>
        <w:t>N</w:t>
      </w:r>
      <w:r w:rsidRPr="00A5254D">
        <w:rPr>
          <w:bCs/>
          <w:color w:val="000000"/>
          <w:sz w:val="22"/>
          <w:szCs w:val="22"/>
        </w:rPr>
        <w:t>ástroj</w:t>
      </w:r>
      <w:r>
        <w:rPr>
          <w:bCs/>
          <w:color w:val="000000"/>
          <w:sz w:val="22"/>
          <w:szCs w:val="22"/>
        </w:rPr>
        <w:t xml:space="preserve"> na prepájanie Európy (NPE)</w:t>
      </w:r>
      <w:r w:rsidR="004C77FC">
        <w:rPr>
          <w:rStyle w:val="Odkaznapoznmkupodiarou"/>
          <w:bCs/>
          <w:color w:val="000000"/>
          <w:sz w:val="22"/>
          <w:szCs w:val="22"/>
        </w:rPr>
        <w:footnoteReference w:id="3"/>
      </w:r>
      <w:r w:rsidRPr="00A5254D">
        <w:rPr>
          <w:bCs/>
          <w:color w:val="000000"/>
          <w:sz w:val="22"/>
          <w:szCs w:val="22"/>
        </w:rPr>
        <w:t>.</w:t>
      </w:r>
      <w:r w:rsidR="004C77FC">
        <w:rPr>
          <w:bCs/>
          <w:color w:val="000000"/>
          <w:sz w:val="22"/>
          <w:szCs w:val="22"/>
        </w:rPr>
        <w:t xml:space="preserve"> </w:t>
      </w:r>
      <w:r w:rsidRPr="00831135">
        <w:rPr>
          <w:bCs/>
          <w:sz w:val="22"/>
          <w:szCs w:val="22"/>
        </w:rPr>
        <w:t xml:space="preserve">OPII taktiež vytvára predpoklady pre využitie finančných nástrojov. </w:t>
      </w:r>
      <w:r>
        <w:rPr>
          <w:bCs/>
          <w:sz w:val="22"/>
          <w:szCs w:val="22"/>
        </w:rPr>
        <w:t>S týmto cieľom</w:t>
      </w:r>
      <w:r w:rsidRPr="00831135">
        <w:rPr>
          <w:bCs/>
          <w:sz w:val="22"/>
          <w:szCs w:val="22"/>
        </w:rPr>
        <w:t xml:space="preserve"> boli vyčlenené zdroje vo výške 3 % alokácie OPII</w:t>
      </w:r>
      <w:r>
        <w:rPr>
          <w:bCs/>
          <w:sz w:val="22"/>
          <w:szCs w:val="22"/>
        </w:rPr>
        <w:t xml:space="preserve"> </w:t>
      </w:r>
      <w:r w:rsidR="004C77FC">
        <w:rPr>
          <w:bCs/>
          <w:sz w:val="22"/>
          <w:szCs w:val="22"/>
        </w:rPr>
        <w:t>na </w:t>
      </w:r>
      <w:r w:rsidRPr="00831135">
        <w:rPr>
          <w:bCs/>
          <w:sz w:val="22"/>
          <w:szCs w:val="22"/>
        </w:rPr>
        <w:t>implementáciu projektov financovaných prostredníctvom Slovenského investičného holdingu.</w:t>
      </w:r>
    </w:p>
    <w:p w:rsidR="00BF26E5" w:rsidRDefault="00BF26E5">
      <w:pPr>
        <w:rPr>
          <w:snapToGrid w:val="0"/>
          <w:sz w:val="22"/>
          <w:szCs w:val="23"/>
          <w:lang w:eastAsia="cs-CZ"/>
        </w:rPr>
      </w:pPr>
      <w:r>
        <w:br w:type="page"/>
      </w:r>
    </w:p>
    <w:p w:rsidR="00B322C7" w:rsidRDefault="00B322C7" w:rsidP="00BF26E5">
      <w:pPr>
        <w:pStyle w:val="Tab"/>
        <w:spacing w:before="0"/>
      </w:pPr>
      <w:r>
        <w:lastRenderedPageBreak/>
        <w:t>Prehľad p</w:t>
      </w:r>
      <w:r w:rsidRPr="00831135">
        <w:t>rioritných osí</w:t>
      </w:r>
      <w:r>
        <w:t xml:space="preserve"> OPII vrátane stanovenia zodpovednosti za implementáciu</w:t>
      </w:r>
    </w:p>
    <w:tbl>
      <w:tblPr>
        <w:tblStyle w:val="Mriekatabuky"/>
        <w:tblW w:w="9072" w:type="dxa"/>
        <w:jc w:val="center"/>
        <w:tblLook w:val="04A0"/>
      </w:tblPr>
      <w:tblGrid>
        <w:gridCol w:w="6097"/>
        <w:gridCol w:w="850"/>
        <w:gridCol w:w="2125"/>
      </w:tblGrid>
      <w:tr w:rsidR="00B322C7" w:rsidRPr="00245BD3" w:rsidTr="004C77FC">
        <w:trPr>
          <w:trHeight w:val="284"/>
          <w:jc w:val="center"/>
        </w:trPr>
        <w:tc>
          <w:tcPr>
            <w:tcW w:w="6097" w:type="dxa"/>
            <w:shd w:val="clear" w:color="auto" w:fill="B8CCE4" w:themeFill="accent1" w:themeFillTint="66"/>
            <w:vAlign w:val="center"/>
          </w:tcPr>
          <w:p w:rsidR="00B322C7" w:rsidRPr="00245BD3" w:rsidRDefault="00B322C7" w:rsidP="00373F09">
            <w:pPr>
              <w:ind w:left="0"/>
              <w:rPr>
                <w:b/>
                <w:sz w:val="20"/>
                <w:szCs w:val="20"/>
              </w:rPr>
            </w:pPr>
            <w:r w:rsidRPr="00245BD3">
              <w:rPr>
                <w:b/>
                <w:sz w:val="20"/>
                <w:szCs w:val="20"/>
              </w:rPr>
              <w:t xml:space="preserve">Názov prioritnej osi </w:t>
            </w:r>
          </w:p>
        </w:tc>
        <w:tc>
          <w:tcPr>
            <w:tcW w:w="850" w:type="dxa"/>
            <w:shd w:val="clear" w:color="auto" w:fill="B8CCE4" w:themeFill="accent1" w:themeFillTint="66"/>
            <w:vAlign w:val="center"/>
          </w:tcPr>
          <w:p w:rsidR="00B322C7" w:rsidRPr="00245BD3" w:rsidRDefault="00B322C7" w:rsidP="00373F09">
            <w:pPr>
              <w:ind w:left="0"/>
              <w:jc w:val="center"/>
              <w:rPr>
                <w:b/>
                <w:sz w:val="20"/>
                <w:szCs w:val="20"/>
              </w:rPr>
            </w:pPr>
            <w:r w:rsidRPr="00245BD3">
              <w:rPr>
                <w:b/>
                <w:sz w:val="20"/>
                <w:szCs w:val="20"/>
              </w:rPr>
              <w:t>Fond</w:t>
            </w:r>
          </w:p>
        </w:tc>
        <w:tc>
          <w:tcPr>
            <w:tcW w:w="2125" w:type="dxa"/>
            <w:shd w:val="clear" w:color="auto" w:fill="B8CCE4" w:themeFill="accent1" w:themeFillTint="66"/>
            <w:vAlign w:val="center"/>
          </w:tcPr>
          <w:p w:rsidR="00B322C7" w:rsidRPr="00245BD3" w:rsidRDefault="00B322C7" w:rsidP="00373F09">
            <w:pPr>
              <w:ind w:left="0"/>
              <w:jc w:val="center"/>
              <w:rPr>
                <w:b/>
                <w:sz w:val="20"/>
                <w:szCs w:val="20"/>
              </w:rPr>
            </w:pPr>
            <w:r w:rsidRPr="00245BD3">
              <w:rPr>
                <w:b/>
                <w:sz w:val="20"/>
                <w:szCs w:val="20"/>
              </w:rPr>
              <w:t>Zodpovedný subjekt</w:t>
            </w:r>
          </w:p>
        </w:tc>
      </w:tr>
      <w:tr w:rsidR="00B322C7" w:rsidTr="004C77FC">
        <w:trPr>
          <w:trHeight w:val="284"/>
          <w:jc w:val="center"/>
        </w:trPr>
        <w:tc>
          <w:tcPr>
            <w:tcW w:w="6097" w:type="dxa"/>
            <w:vAlign w:val="center"/>
          </w:tcPr>
          <w:p w:rsidR="00B322C7" w:rsidRPr="00245BD3" w:rsidRDefault="00B322C7" w:rsidP="00373F09">
            <w:pPr>
              <w:ind w:left="0"/>
              <w:rPr>
                <w:sz w:val="20"/>
                <w:szCs w:val="20"/>
              </w:rPr>
            </w:pPr>
            <w:r w:rsidRPr="00245BD3">
              <w:rPr>
                <w:bCs/>
                <w:color w:val="000000"/>
                <w:sz w:val="20"/>
                <w:szCs w:val="20"/>
              </w:rPr>
              <w:t xml:space="preserve">Prioritná os 1 - </w:t>
            </w:r>
            <w:r w:rsidRPr="00245BD3">
              <w:rPr>
                <w:bCs/>
                <w:sz w:val="20"/>
                <w:szCs w:val="20"/>
              </w:rPr>
              <w:t>Železničná infraštruktúra (TEN-T CORE)</w:t>
            </w:r>
            <w:r w:rsidR="00E343E0">
              <w:rPr>
                <w:bCs/>
                <w:sz w:val="20"/>
                <w:szCs w:val="20"/>
              </w:rPr>
              <w:t xml:space="preserve"> a obnova mobilných prostriedkov</w:t>
            </w:r>
          </w:p>
        </w:tc>
        <w:tc>
          <w:tcPr>
            <w:tcW w:w="850" w:type="dxa"/>
            <w:vAlign w:val="center"/>
          </w:tcPr>
          <w:p w:rsidR="00B322C7" w:rsidRPr="00245BD3" w:rsidRDefault="00B322C7" w:rsidP="00373F09">
            <w:pPr>
              <w:ind w:left="0"/>
              <w:jc w:val="center"/>
              <w:rPr>
                <w:sz w:val="20"/>
                <w:szCs w:val="20"/>
              </w:rPr>
            </w:pPr>
            <w:r>
              <w:rPr>
                <w:sz w:val="20"/>
                <w:szCs w:val="20"/>
              </w:rPr>
              <w:t>KF</w:t>
            </w:r>
          </w:p>
        </w:tc>
        <w:tc>
          <w:tcPr>
            <w:tcW w:w="2125" w:type="dxa"/>
            <w:vAlign w:val="center"/>
          </w:tcPr>
          <w:p w:rsidR="00B322C7" w:rsidRPr="00245BD3" w:rsidRDefault="00B322C7" w:rsidP="00373F09">
            <w:pPr>
              <w:ind w:left="0"/>
              <w:rPr>
                <w:sz w:val="20"/>
                <w:szCs w:val="20"/>
              </w:rPr>
            </w:pPr>
            <w:r>
              <w:rPr>
                <w:sz w:val="20"/>
                <w:szCs w:val="20"/>
              </w:rPr>
              <w:t>MDVRR SR</w:t>
            </w:r>
          </w:p>
        </w:tc>
      </w:tr>
      <w:tr w:rsidR="00B322C7" w:rsidTr="004C77FC">
        <w:trPr>
          <w:trHeight w:val="284"/>
          <w:jc w:val="center"/>
        </w:trPr>
        <w:tc>
          <w:tcPr>
            <w:tcW w:w="6097" w:type="dxa"/>
            <w:vAlign w:val="center"/>
          </w:tcPr>
          <w:p w:rsidR="00B322C7" w:rsidRPr="00245BD3" w:rsidRDefault="00B322C7" w:rsidP="00373F09">
            <w:pPr>
              <w:ind w:left="0"/>
              <w:rPr>
                <w:sz w:val="20"/>
                <w:szCs w:val="20"/>
              </w:rPr>
            </w:pPr>
            <w:r w:rsidRPr="00245BD3">
              <w:rPr>
                <w:bCs/>
                <w:sz w:val="20"/>
                <w:szCs w:val="20"/>
              </w:rPr>
              <w:t>Prioritná os 2 - Cestná infraštruktúra (TEN-T CORE</w:t>
            </w:r>
            <w:r w:rsidR="00A30CC5">
              <w:rPr>
                <w:bCs/>
                <w:sz w:val="20"/>
                <w:szCs w:val="20"/>
              </w:rPr>
              <w:t>)</w:t>
            </w:r>
          </w:p>
        </w:tc>
        <w:tc>
          <w:tcPr>
            <w:tcW w:w="850" w:type="dxa"/>
            <w:vAlign w:val="center"/>
          </w:tcPr>
          <w:p w:rsidR="00B322C7" w:rsidRPr="00245BD3" w:rsidRDefault="00B322C7" w:rsidP="00373F09">
            <w:pPr>
              <w:ind w:left="0"/>
              <w:jc w:val="center"/>
              <w:rPr>
                <w:sz w:val="20"/>
                <w:szCs w:val="20"/>
              </w:rPr>
            </w:pPr>
            <w:r>
              <w:rPr>
                <w:sz w:val="20"/>
                <w:szCs w:val="20"/>
              </w:rPr>
              <w:t>KF</w:t>
            </w:r>
          </w:p>
        </w:tc>
        <w:tc>
          <w:tcPr>
            <w:tcW w:w="2125" w:type="dxa"/>
            <w:vAlign w:val="center"/>
          </w:tcPr>
          <w:p w:rsidR="00B322C7" w:rsidRPr="00245BD3" w:rsidRDefault="00B322C7" w:rsidP="00373F09">
            <w:pPr>
              <w:ind w:left="0"/>
              <w:rPr>
                <w:sz w:val="20"/>
                <w:szCs w:val="20"/>
              </w:rPr>
            </w:pPr>
            <w:r>
              <w:rPr>
                <w:sz w:val="20"/>
                <w:szCs w:val="20"/>
              </w:rPr>
              <w:t>MDVRR SR</w:t>
            </w:r>
          </w:p>
        </w:tc>
      </w:tr>
      <w:tr w:rsidR="00B322C7" w:rsidTr="004C77FC">
        <w:trPr>
          <w:trHeight w:val="284"/>
          <w:jc w:val="center"/>
        </w:trPr>
        <w:tc>
          <w:tcPr>
            <w:tcW w:w="6097" w:type="dxa"/>
            <w:vAlign w:val="center"/>
          </w:tcPr>
          <w:p w:rsidR="00B322C7" w:rsidRPr="00245BD3" w:rsidRDefault="00B322C7" w:rsidP="00373F09">
            <w:pPr>
              <w:ind w:left="0"/>
              <w:rPr>
                <w:sz w:val="20"/>
                <w:szCs w:val="20"/>
              </w:rPr>
            </w:pPr>
            <w:r w:rsidRPr="00245BD3">
              <w:rPr>
                <w:bCs/>
                <w:color w:val="000000"/>
                <w:sz w:val="20"/>
                <w:szCs w:val="20"/>
              </w:rPr>
              <w:t>Prioritná os 3 - Verejná osobná doprava</w:t>
            </w:r>
          </w:p>
        </w:tc>
        <w:tc>
          <w:tcPr>
            <w:tcW w:w="850" w:type="dxa"/>
            <w:vAlign w:val="center"/>
          </w:tcPr>
          <w:p w:rsidR="00B322C7" w:rsidRPr="00245BD3" w:rsidRDefault="00B322C7" w:rsidP="00373F09">
            <w:pPr>
              <w:ind w:left="0"/>
              <w:jc w:val="center"/>
              <w:rPr>
                <w:sz w:val="20"/>
                <w:szCs w:val="20"/>
              </w:rPr>
            </w:pPr>
            <w:r>
              <w:rPr>
                <w:sz w:val="20"/>
                <w:szCs w:val="20"/>
              </w:rPr>
              <w:t>KF</w:t>
            </w:r>
          </w:p>
        </w:tc>
        <w:tc>
          <w:tcPr>
            <w:tcW w:w="2125" w:type="dxa"/>
            <w:vAlign w:val="center"/>
          </w:tcPr>
          <w:p w:rsidR="00B322C7" w:rsidRPr="00245BD3" w:rsidRDefault="00B322C7" w:rsidP="00373F09">
            <w:pPr>
              <w:ind w:left="0"/>
              <w:rPr>
                <w:sz w:val="20"/>
                <w:szCs w:val="20"/>
              </w:rPr>
            </w:pPr>
            <w:r>
              <w:rPr>
                <w:sz w:val="20"/>
                <w:szCs w:val="20"/>
              </w:rPr>
              <w:t>MDVRR SR</w:t>
            </w:r>
          </w:p>
        </w:tc>
      </w:tr>
      <w:tr w:rsidR="00B322C7" w:rsidTr="004C77FC">
        <w:trPr>
          <w:trHeight w:val="284"/>
          <w:jc w:val="center"/>
        </w:trPr>
        <w:tc>
          <w:tcPr>
            <w:tcW w:w="6097" w:type="dxa"/>
            <w:vAlign w:val="center"/>
          </w:tcPr>
          <w:p w:rsidR="00B322C7" w:rsidRPr="00245BD3" w:rsidRDefault="00B322C7" w:rsidP="00373F09">
            <w:pPr>
              <w:ind w:left="0"/>
              <w:rPr>
                <w:sz w:val="20"/>
                <w:szCs w:val="20"/>
              </w:rPr>
            </w:pPr>
            <w:r w:rsidRPr="00245BD3">
              <w:rPr>
                <w:sz w:val="20"/>
                <w:szCs w:val="20"/>
              </w:rPr>
              <w:t>Prioritná os 4 - Infraštruktúra vodnej dopravy (TEN-T CORE)</w:t>
            </w:r>
          </w:p>
        </w:tc>
        <w:tc>
          <w:tcPr>
            <w:tcW w:w="850" w:type="dxa"/>
            <w:vAlign w:val="center"/>
          </w:tcPr>
          <w:p w:rsidR="00B322C7" w:rsidRPr="00245BD3" w:rsidRDefault="00B322C7" w:rsidP="00373F09">
            <w:pPr>
              <w:ind w:left="0"/>
              <w:jc w:val="center"/>
              <w:rPr>
                <w:sz w:val="20"/>
                <w:szCs w:val="20"/>
              </w:rPr>
            </w:pPr>
            <w:r>
              <w:rPr>
                <w:sz w:val="20"/>
                <w:szCs w:val="20"/>
              </w:rPr>
              <w:t>KF</w:t>
            </w:r>
          </w:p>
        </w:tc>
        <w:tc>
          <w:tcPr>
            <w:tcW w:w="2125" w:type="dxa"/>
            <w:vAlign w:val="center"/>
          </w:tcPr>
          <w:p w:rsidR="00B322C7" w:rsidRPr="00245BD3" w:rsidRDefault="00B322C7" w:rsidP="00373F09">
            <w:pPr>
              <w:ind w:left="0"/>
              <w:rPr>
                <w:sz w:val="20"/>
                <w:szCs w:val="20"/>
              </w:rPr>
            </w:pPr>
            <w:r>
              <w:rPr>
                <w:sz w:val="20"/>
                <w:szCs w:val="20"/>
              </w:rPr>
              <w:t>MDVRR SR</w:t>
            </w:r>
          </w:p>
        </w:tc>
      </w:tr>
      <w:tr w:rsidR="00B322C7" w:rsidTr="004C77FC">
        <w:trPr>
          <w:trHeight w:val="284"/>
          <w:jc w:val="center"/>
        </w:trPr>
        <w:tc>
          <w:tcPr>
            <w:tcW w:w="6097" w:type="dxa"/>
            <w:vAlign w:val="center"/>
          </w:tcPr>
          <w:p w:rsidR="00B322C7" w:rsidRPr="00245BD3" w:rsidRDefault="00B322C7" w:rsidP="00373F09">
            <w:pPr>
              <w:ind w:left="0"/>
              <w:rPr>
                <w:sz w:val="20"/>
                <w:szCs w:val="20"/>
              </w:rPr>
            </w:pPr>
            <w:r w:rsidRPr="00245BD3">
              <w:rPr>
                <w:bCs/>
                <w:color w:val="000000"/>
                <w:sz w:val="20"/>
                <w:szCs w:val="20"/>
              </w:rPr>
              <w:t>Prioritná os 5 - Železničná infraštruktúra (mimo TEN-T CORE)</w:t>
            </w:r>
          </w:p>
        </w:tc>
        <w:tc>
          <w:tcPr>
            <w:tcW w:w="850" w:type="dxa"/>
            <w:vAlign w:val="center"/>
          </w:tcPr>
          <w:p w:rsidR="00B322C7" w:rsidRPr="00245BD3" w:rsidRDefault="00B322C7" w:rsidP="00373F09">
            <w:pPr>
              <w:ind w:left="0"/>
              <w:jc w:val="center"/>
              <w:rPr>
                <w:sz w:val="20"/>
                <w:szCs w:val="20"/>
              </w:rPr>
            </w:pPr>
            <w:r>
              <w:rPr>
                <w:sz w:val="20"/>
                <w:szCs w:val="20"/>
              </w:rPr>
              <w:t>EFRR</w:t>
            </w:r>
          </w:p>
        </w:tc>
        <w:tc>
          <w:tcPr>
            <w:tcW w:w="2125" w:type="dxa"/>
            <w:vAlign w:val="center"/>
          </w:tcPr>
          <w:p w:rsidR="00B322C7" w:rsidRPr="00245BD3" w:rsidRDefault="00B322C7" w:rsidP="00373F09">
            <w:pPr>
              <w:ind w:left="0"/>
              <w:rPr>
                <w:sz w:val="20"/>
                <w:szCs w:val="20"/>
              </w:rPr>
            </w:pPr>
            <w:r>
              <w:rPr>
                <w:sz w:val="20"/>
                <w:szCs w:val="20"/>
              </w:rPr>
              <w:t>MDVRR SR</w:t>
            </w:r>
          </w:p>
        </w:tc>
      </w:tr>
      <w:tr w:rsidR="00B322C7" w:rsidTr="004C77FC">
        <w:trPr>
          <w:trHeight w:val="284"/>
          <w:jc w:val="center"/>
        </w:trPr>
        <w:tc>
          <w:tcPr>
            <w:tcW w:w="6097" w:type="dxa"/>
            <w:vAlign w:val="center"/>
          </w:tcPr>
          <w:p w:rsidR="00B322C7" w:rsidRPr="00245BD3" w:rsidRDefault="00B322C7" w:rsidP="00373F09">
            <w:pPr>
              <w:ind w:left="0"/>
              <w:rPr>
                <w:sz w:val="20"/>
                <w:szCs w:val="20"/>
              </w:rPr>
            </w:pPr>
            <w:r w:rsidRPr="00245BD3">
              <w:rPr>
                <w:bCs/>
                <w:color w:val="000000"/>
                <w:sz w:val="20"/>
                <w:szCs w:val="20"/>
              </w:rPr>
              <w:t>Prioritná os 6 - Cestná infraštruktúra (mimo TEN-T CORE)</w:t>
            </w:r>
          </w:p>
        </w:tc>
        <w:tc>
          <w:tcPr>
            <w:tcW w:w="850" w:type="dxa"/>
            <w:vAlign w:val="center"/>
          </w:tcPr>
          <w:p w:rsidR="00B322C7" w:rsidRPr="00245BD3" w:rsidRDefault="00B322C7" w:rsidP="00373F09">
            <w:pPr>
              <w:ind w:left="0"/>
              <w:jc w:val="center"/>
              <w:rPr>
                <w:sz w:val="20"/>
                <w:szCs w:val="20"/>
              </w:rPr>
            </w:pPr>
            <w:r>
              <w:rPr>
                <w:sz w:val="20"/>
                <w:szCs w:val="20"/>
              </w:rPr>
              <w:t>EFRR</w:t>
            </w:r>
          </w:p>
        </w:tc>
        <w:tc>
          <w:tcPr>
            <w:tcW w:w="2125" w:type="dxa"/>
            <w:vAlign w:val="center"/>
          </w:tcPr>
          <w:p w:rsidR="00B322C7" w:rsidRPr="00245BD3" w:rsidRDefault="00B322C7" w:rsidP="00373F09">
            <w:pPr>
              <w:ind w:left="0"/>
              <w:rPr>
                <w:sz w:val="20"/>
                <w:szCs w:val="20"/>
              </w:rPr>
            </w:pPr>
            <w:r>
              <w:rPr>
                <w:sz w:val="20"/>
                <w:szCs w:val="20"/>
              </w:rPr>
              <w:t>MDVRR SR</w:t>
            </w:r>
          </w:p>
        </w:tc>
      </w:tr>
      <w:tr w:rsidR="00B322C7" w:rsidTr="004C77FC">
        <w:trPr>
          <w:trHeight w:val="284"/>
          <w:jc w:val="center"/>
        </w:trPr>
        <w:tc>
          <w:tcPr>
            <w:tcW w:w="6097" w:type="dxa"/>
            <w:vAlign w:val="center"/>
          </w:tcPr>
          <w:p w:rsidR="00B322C7" w:rsidRPr="00245BD3" w:rsidRDefault="00B322C7" w:rsidP="00373F09">
            <w:pPr>
              <w:ind w:left="0"/>
              <w:rPr>
                <w:sz w:val="20"/>
                <w:szCs w:val="20"/>
              </w:rPr>
            </w:pPr>
            <w:r w:rsidRPr="00245BD3">
              <w:rPr>
                <w:sz w:val="20"/>
                <w:szCs w:val="20"/>
              </w:rPr>
              <w:t>Prioritná os 7 - Informačná spoločnosť</w:t>
            </w:r>
          </w:p>
        </w:tc>
        <w:tc>
          <w:tcPr>
            <w:tcW w:w="850" w:type="dxa"/>
            <w:vAlign w:val="center"/>
          </w:tcPr>
          <w:p w:rsidR="00B322C7" w:rsidRPr="00245BD3" w:rsidRDefault="00B322C7" w:rsidP="00373F09">
            <w:pPr>
              <w:ind w:left="0"/>
              <w:jc w:val="center"/>
              <w:rPr>
                <w:sz w:val="20"/>
                <w:szCs w:val="20"/>
              </w:rPr>
            </w:pPr>
            <w:r>
              <w:rPr>
                <w:sz w:val="20"/>
                <w:szCs w:val="20"/>
              </w:rPr>
              <w:t>EFRR</w:t>
            </w:r>
          </w:p>
        </w:tc>
        <w:tc>
          <w:tcPr>
            <w:tcW w:w="2125" w:type="dxa"/>
            <w:vAlign w:val="center"/>
          </w:tcPr>
          <w:p w:rsidR="00B322C7" w:rsidRPr="00245BD3" w:rsidRDefault="00B322C7" w:rsidP="00373F09">
            <w:pPr>
              <w:ind w:left="0"/>
              <w:rPr>
                <w:sz w:val="20"/>
                <w:szCs w:val="20"/>
              </w:rPr>
            </w:pPr>
            <w:r>
              <w:rPr>
                <w:sz w:val="20"/>
                <w:szCs w:val="20"/>
              </w:rPr>
              <w:t>MF SR</w:t>
            </w:r>
          </w:p>
        </w:tc>
      </w:tr>
      <w:tr w:rsidR="00B322C7" w:rsidTr="004C77FC">
        <w:trPr>
          <w:trHeight w:val="284"/>
          <w:jc w:val="center"/>
        </w:trPr>
        <w:tc>
          <w:tcPr>
            <w:tcW w:w="6097" w:type="dxa"/>
            <w:vAlign w:val="center"/>
          </w:tcPr>
          <w:p w:rsidR="00B322C7" w:rsidRPr="00245BD3" w:rsidRDefault="00B322C7" w:rsidP="00373F09">
            <w:pPr>
              <w:ind w:left="0"/>
              <w:rPr>
                <w:sz w:val="20"/>
                <w:szCs w:val="20"/>
              </w:rPr>
            </w:pPr>
            <w:r w:rsidRPr="00245BD3">
              <w:rPr>
                <w:sz w:val="20"/>
                <w:szCs w:val="20"/>
              </w:rPr>
              <w:t>Prioritná os 8 - Technická pomoc</w:t>
            </w:r>
          </w:p>
        </w:tc>
        <w:tc>
          <w:tcPr>
            <w:tcW w:w="850" w:type="dxa"/>
            <w:vAlign w:val="center"/>
          </w:tcPr>
          <w:p w:rsidR="00B322C7" w:rsidRPr="00245BD3" w:rsidRDefault="00B322C7" w:rsidP="00373F09">
            <w:pPr>
              <w:ind w:left="0"/>
              <w:jc w:val="center"/>
              <w:rPr>
                <w:sz w:val="20"/>
                <w:szCs w:val="20"/>
              </w:rPr>
            </w:pPr>
            <w:r>
              <w:rPr>
                <w:sz w:val="20"/>
                <w:szCs w:val="20"/>
              </w:rPr>
              <w:t>EFRR</w:t>
            </w:r>
          </w:p>
        </w:tc>
        <w:tc>
          <w:tcPr>
            <w:tcW w:w="2125" w:type="dxa"/>
            <w:vAlign w:val="center"/>
          </w:tcPr>
          <w:p w:rsidR="00B322C7" w:rsidRPr="00245BD3" w:rsidRDefault="00B322C7" w:rsidP="00373F09">
            <w:pPr>
              <w:ind w:left="0"/>
              <w:rPr>
                <w:sz w:val="20"/>
                <w:szCs w:val="20"/>
              </w:rPr>
            </w:pPr>
            <w:r>
              <w:rPr>
                <w:sz w:val="20"/>
                <w:szCs w:val="20"/>
              </w:rPr>
              <w:t>MDVRR SR, MF SR</w:t>
            </w:r>
          </w:p>
        </w:tc>
      </w:tr>
    </w:tbl>
    <w:p w:rsidR="00B322C7" w:rsidRPr="00B322C7" w:rsidRDefault="00B322C7" w:rsidP="00B322C7">
      <w:pPr>
        <w:spacing w:before="240"/>
        <w:jc w:val="both"/>
        <w:rPr>
          <w:sz w:val="22"/>
          <w:szCs w:val="22"/>
        </w:rPr>
      </w:pPr>
      <w:r w:rsidRPr="00B322C7">
        <w:rPr>
          <w:sz w:val="22"/>
          <w:szCs w:val="22"/>
        </w:rPr>
        <w:t xml:space="preserve">Všeobecným pravidlom uplatňovaným pri implementácii dopravných stavieb OPII a zároveň </w:t>
      </w:r>
      <w:r w:rsidRPr="00B322C7">
        <w:rPr>
          <w:b/>
          <w:sz w:val="22"/>
          <w:szCs w:val="22"/>
        </w:rPr>
        <w:t>nevyhnutnou podmienkou pre priznanie nenávratného finančného príspevku bude, aby prijímatelia pred predložením projektu na schválenie preukázali existenciu relevantnej štúdie realizovateľnosti a jej akceptovateľnosť pre EK</w:t>
      </w:r>
      <w:r w:rsidRPr="00B322C7">
        <w:rPr>
          <w:sz w:val="22"/>
          <w:szCs w:val="22"/>
        </w:rPr>
        <w:t>. Štúdie by mali potvrdzovať správnosť navrhovaného riešenia, a to z dopravného, technického, ekonomického a environmentálneho hľadiska. Všeobecným pravidlom uplatňovaným pri implementácii projektov rozvoja informačnej spoločnosti a zároveň nevyhnutnou podmienkou pre priznanie nenávratného finančného príspevku bude existencia schválenej štúdie realizovateľnosti.</w:t>
      </w:r>
    </w:p>
    <w:p w:rsidR="00A46625" w:rsidRDefault="00A46625" w:rsidP="00544A1F">
      <w:pPr>
        <w:pStyle w:val="Nadpis3"/>
        <w:jc w:val="both"/>
      </w:pPr>
      <w:bookmarkStart w:id="4" w:name="_Toc383209120"/>
      <w:bookmarkStart w:id="5" w:name="_Toc383236532"/>
      <w:bookmarkStart w:id="6" w:name="_Toc385310673"/>
      <w:r>
        <w:t>Popis stratégie OP z hľadiska prínosu k stratégii Európa 2020 a k dosiahnutiu ekonomickej, sociálnej a územnej súdržnosti</w:t>
      </w:r>
      <w:bookmarkEnd w:id="4"/>
      <w:bookmarkEnd w:id="5"/>
      <w:bookmarkEnd w:id="6"/>
    </w:p>
    <w:p w:rsidR="00DB79F5" w:rsidRDefault="00B322C7" w:rsidP="00DB79F5">
      <w:pPr>
        <w:spacing w:before="180"/>
        <w:jc w:val="both"/>
        <w:rPr>
          <w:sz w:val="22"/>
          <w:szCs w:val="22"/>
        </w:rPr>
      </w:pPr>
      <w:r w:rsidRPr="002E053D">
        <w:rPr>
          <w:sz w:val="22"/>
          <w:szCs w:val="22"/>
        </w:rPr>
        <w:t>Stratégia OP</w:t>
      </w:r>
      <w:r>
        <w:rPr>
          <w:sz w:val="22"/>
          <w:szCs w:val="22"/>
        </w:rPr>
        <w:t>II</w:t>
      </w:r>
      <w:r w:rsidRPr="002E053D">
        <w:rPr>
          <w:sz w:val="22"/>
          <w:szCs w:val="22"/>
        </w:rPr>
        <w:t xml:space="preserve"> vychádza z</w:t>
      </w:r>
      <w:r>
        <w:rPr>
          <w:sz w:val="22"/>
          <w:szCs w:val="22"/>
        </w:rPr>
        <w:t> </w:t>
      </w:r>
      <w:r w:rsidRPr="002E053D">
        <w:rPr>
          <w:sz w:val="22"/>
          <w:szCs w:val="22"/>
        </w:rPr>
        <w:t>výsledkov analýzy a</w:t>
      </w:r>
      <w:r>
        <w:rPr>
          <w:sz w:val="22"/>
          <w:szCs w:val="22"/>
        </w:rPr>
        <w:t> </w:t>
      </w:r>
      <w:r w:rsidRPr="002E053D">
        <w:rPr>
          <w:sz w:val="22"/>
          <w:szCs w:val="22"/>
        </w:rPr>
        <w:t>prognózy vývoja sektoru, identifikovaných kľúčových disparít a</w:t>
      </w:r>
      <w:r>
        <w:rPr>
          <w:sz w:val="22"/>
          <w:szCs w:val="22"/>
        </w:rPr>
        <w:t> </w:t>
      </w:r>
      <w:r w:rsidRPr="002E053D">
        <w:rPr>
          <w:sz w:val="22"/>
          <w:szCs w:val="22"/>
        </w:rPr>
        <w:t xml:space="preserve">potenciálnych faktorov rozvoja. </w:t>
      </w:r>
      <w:r w:rsidR="007B17ED">
        <w:rPr>
          <w:sz w:val="22"/>
          <w:szCs w:val="22"/>
        </w:rPr>
        <w:t>Zameranie prioritných osí zodpovedá</w:t>
      </w:r>
      <w:r w:rsidRPr="002E053D">
        <w:rPr>
          <w:sz w:val="22"/>
          <w:szCs w:val="22"/>
        </w:rPr>
        <w:t xml:space="preserve"> potrebám identifikovaným </w:t>
      </w:r>
      <w:r>
        <w:rPr>
          <w:sz w:val="22"/>
          <w:szCs w:val="22"/>
        </w:rPr>
        <w:t>v </w:t>
      </w:r>
      <w:r w:rsidRPr="007B17ED">
        <w:rPr>
          <w:sz w:val="22"/>
          <w:szCs w:val="22"/>
        </w:rPr>
        <w:t>Pozičnom dokumente</w:t>
      </w:r>
      <w:r w:rsidR="007B17ED">
        <w:rPr>
          <w:sz w:val="22"/>
          <w:szCs w:val="22"/>
        </w:rPr>
        <w:t xml:space="preserve"> Európskej komisie k Partnerskej dohode a</w:t>
      </w:r>
      <w:r w:rsidR="0059698C">
        <w:rPr>
          <w:sz w:val="22"/>
          <w:szCs w:val="22"/>
        </w:rPr>
        <w:t> operačných programov</w:t>
      </w:r>
      <w:r w:rsidR="007B17ED">
        <w:rPr>
          <w:sz w:val="22"/>
          <w:szCs w:val="22"/>
        </w:rPr>
        <w:t xml:space="preserve"> SR na roky 2014 - 2020</w:t>
      </w:r>
      <w:r>
        <w:rPr>
          <w:sz w:val="22"/>
          <w:szCs w:val="22"/>
        </w:rPr>
        <w:t xml:space="preserve"> </w:t>
      </w:r>
      <w:r w:rsidR="00A3669F">
        <w:rPr>
          <w:sz w:val="22"/>
          <w:szCs w:val="22"/>
        </w:rPr>
        <w:t xml:space="preserve">(ďalej len „pozičný dokument“) </w:t>
      </w:r>
      <w:r>
        <w:rPr>
          <w:sz w:val="22"/>
          <w:szCs w:val="22"/>
        </w:rPr>
        <w:t xml:space="preserve">a strategických dokumentoch </w:t>
      </w:r>
      <w:r w:rsidR="00A11F69">
        <w:rPr>
          <w:sz w:val="22"/>
          <w:szCs w:val="22"/>
        </w:rPr>
        <w:t>(ex </w:t>
      </w:r>
      <w:r w:rsidR="007B17ED">
        <w:rPr>
          <w:sz w:val="22"/>
          <w:szCs w:val="22"/>
        </w:rPr>
        <w:t>ante kondicionality)</w:t>
      </w:r>
      <w:r>
        <w:rPr>
          <w:sz w:val="22"/>
          <w:szCs w:val="22"/>
        </w:rPr>
        <w:t xml:space="preserve"> a </w:t>
      </w:r>
      <w:r w:rsidRPr="002E053D">
        <w:rPr>
          <w:sz w:val="22"/>
          <w:szCs w:val="22"/>
        </w:rPr>
        <w:t>sú orientované na podporu faktorov rozvoja v</w:t>
      </w:r>
      <w:r>
        <w:rPr>
          <w:sz w:val="22"/>
          <w:szCs w:val="22"/>
        </w:rPr>
        <w:t> </w:t>
      </w:r>
      <w:r w:rsidRPr="002E053D">
        <w:rPr>
          <w:sz w:val="22"/>
          <w:szCs w:val="22"/>
        </w:rPr>
        <w:t>oblasti dopravy a</w:t>
      </w:r>
      <w:r>
        <w:rPr>
          <w:sz w:val="22"/>
          <w:szCs w:val="22"/>
        </w:rPr>
        <w:t> </w:t>
      </w:r>
      <w:r w:rsidRPr="002E053D">
        <w:rPr>
          <w:sz w:val="22"/>
          <w:szCs w:val="22"/>
        </w:rPr>
        <w:t>informa</w:t>
      </w:r>
      <w:r>
        <w:rPr>
          <w:sz w:val="22"/>
          <w:szCs w:val="22"/>
        </w:rPr>
        <w:t>čnej</w:t>
      </w:r>
      <w:r w:rsidRPr="002E053D">
        <w:rPr>
          <w:sz w:val="22"/>
          <w:szCs w:val="22"/>
        </w:rPr>
        <w:t xml:space="preserve"> spoločnosti</w:t>
      </w:r>
      <w:r>
        <w:rPr>
          <w:sz w:val="22"/>
          <w:szCs w:val="22"/>
        </w:rPr>
        <w:t>.</w:t>
      </w:r>
    </w:p>
    <w:p w:rsidR="00DB79F5" w:rsidRDefault="00DB79F5" w:rsidP="00A17295">
      <w:pPr>
        <w:pStyle w:val="tl3"/>
      </w:pPr>
      <w:r>
        <w:t>Doprava</w:t>
      </w:r>
    </w:p>
    <w:p w:rsidR="00DB79F5" w:rsidRDefault="00DB79F5" w:rsidP="00DB79F5">
      <w:pPr>
        <w:autoSpaceDE w:val="0"/>
        <w:autoSpaceDN w:val="0"/>
        <w:adjustRightInd w:val="0"/>
        <w:jc w:val="both"/>
        <w:rPr>
          <w:sz w:val="22"/>
          <w:szCs w:val="22"/>
        </w:rPr>
      </w:pPr>
      <w:r w:rsidRPr="008D3AA3">
        <w:rPr>
          <w:sz w:val="22"/>
          <w:szCs w:val="22"/>
        </w:rPr>
        <w:t>Dopravná infraštruktúra predstavuje dôležitý faktor vo zvyšovaní konkurencieschopnosti, vytvára spojenie medzi regiónmi a</w:t>
      </w:r>
      <w:r>
        <w:rPr>
          <w:sz w:val="22"/>
          <w:szCs w:val="22"/>
        </w:rPr>
        <w:t> </w:t>
      </w:r>
      <w:r w:rsidRPr="008D3AA3">
        <w:rPr>
          <w:sz w:val="22"/>
          <w:szCs w:val="22"/>
        </w:rPr>
        <w:t>centrálnymi trhmi EÚ, podmieňuje rozvoj cestovného ruchu, prílev zahraničných investícií, je neoddeliteľnou súčasťou každodenného života obyvateľov. Bez výko</w:t>
      </w:r>
      <w:r w:rsidR="00A30CC5">
        <w:rPr>
          <w:sz w:val="22"/>
          <w:szCs w:val="22"/>
        </w:rPr>
        <w:t>nného dopravného systému umožňujúceho</w:t>
      </w:r>
      <w:r w:rsidRPr="008D3AA3">
        <w:rPr>
          <w:sz w:val="22"/>
          <w:szCs w:val="22"/>
        </w:rPr>
        <w:t xml:space="preserve"> </w:t>
      </w:r>
      <w:r w:rsidR="00A30CC5">
        <w:rPr>
          <w:sz w:val="22"/>
          <w:szCs w:val="22"/>
        </w:rPr>
        <w:t>naplno využiť</w:t>
      </w:r>
      <w:r w:rsidRPr="008D3AA3">
        <w:rPr>
          <w:sz w:val="22"/>
          <w:szCs w:val="22"/>
        </w:rPr>
        <w:t xml:space="preserve"> </w:t>
      </w:r>
      <w:r w:rsidR="00A30CC5">
        <w:rPr>
          <w:sz w:val="22"/>
          <w:szCs w:val="22"/>
        </w:rPr>
        <w:t>potenciál vnútorného</w:t>
      </w:r>
      <w:r w:rsidRPr="008D3AA3">
        <w:rPr>
          <w:sz w:val="22"/>
          <w:szCs w:val="22"/>
        </w:rPr>
        <w:t xml:space="preserve"> trh</w:t>
      </w:r>
      <w:r w:rsidR="00A30CC5">
        <w:rPr>
          <w:sz w:val="22"/>
          <w:szCs w:val="22"/>
        </w:rPr>
        <w:t>u EÚ</w:t>
      </w:r>
      <w:r w:rsidRPr="008D3AA3">
        <w:rPr>
          <w:sz w:val="22"/>
          <w:szCs w:val="22"/>
        </w:rPr>
        <w:t xml:space="preserve"> a</w:t>
      </w:r>
      <w:r w:rsidR="00A30CC5">
        <w:rPr>
          <w:sz w:val="22"/>
          <w:szCs w:val="22"/>
        </w:rPr>
        <w:t> zabezpečujúceho rozvoj globálneho</w:t>
      </w:r>
      <w:r w:rsidRPr="008D3AA3">
        <w:rPr>
          <w:sz w:val="22"/>
          <w:szCs w:val="22"/>
        </w:rPr>
        <w:t xml:space="preserve"> obchod</w:t>
      </w:r>
      <w:r w:rsidR="00A30CC5">
        <w:rPr>
          <w:sz w:val="22"/>
          <w:szCs w:val="22"/>
        </w:rPr>
        <w:t>u</w:t>
      </w:r>
      <w:r w:rsidRPr="008D3AA3">
        <w:rPr>
          <w:sz w:val="22"/>
          <w:szCs w:val="22"/>
        </w:rPr>
        <w:t xml:space="preserve"> je ťažké koncipovať</w:t>
      </w:r>
      <w:r w:rsidR="00A30CC5">
        <w:rPr>
          <w:sz w:val="22"/>
          <w:szCs w:val="22"/>
        </w:rPr>
        <w:t xml:space="preserve"> taký</w:t>
      </w:r>
      <w:r w:rsidRPr="008D3AA3">
        <w:rPr>
          <w:sz w:val="22"/>
          <w:szCs w:val="22"/>
        </w:rPr>
        <w:t xml:space="preserve"> silný ekonomický rast, ktorý </w:t>
      </w:r>
      <w:r w:rsidR="00A30CC5">
        <w:rPr>
          <w:sz w:val="22"/>
          <w:szCs w:val="22"/>
        </w:rPr>
        <w:t>by vytvoril predpoklady pre tvorbu nových pracovných miest</w:t>
      </w:r>
      <w:r w:rsidRPr="008D3AA3">
        <w:rPr>
          <w:sz w:val="22"/>
          <w:szCs w:val="22"/>
        </w:rPr>
        <w:t xml:space="preserve"> a</w:t>
      </w:r>
      <w:r w:rsidR="00A30CC5">
        <w:rPr>
          <w:sz w:val="22"/>
          <w:szCs w:val="22"/>
        </w:rPr>
        <w:t xml:space="preserve"> umožnil</w:t>
      </w:r>
      <w:r>
        <w:rPr>
          <w:sz w:val="22"/>
          <w:szCs w:val="22"/>
        </w:rPr>
        <w:t> </w:t>
      </w:r>
      <w:r w:rsidRPr="008D3AA3">
        <w:rPr>
          <w:sz w:val="22"/>
          <w:szCs w:val="22"/>
        </w:rPr>
        <w:t>zv</w:t>
      </w:r>
      <w:r w:rsidR="00A30CC5">
        <w:rPr>
          <w:sz w:val="22"/>
          <w:szCs w:val="22"/>
        </w:rPr>
        <w:t>yšovať životnú úroveň obyvateľstva</w:t>
      </w:r>
      <w:r w:rsidRPr="008D3AA3">
        <w:rPr>
          <w:sz w:val="22"/>
          <w:szCs w:val="22"/>
        </w:rPr>
        <w:t>.</w:t>
      </w:r>
    </w:p>
    <w:p w:rsidR="00DB79F5" w:rsidRPr="008D3AA3" w:rsidRDefault="00DB79F5" w:rsidP="00DB79F5">
      <w:pPr>
        <w:autoSpaceDE w:val="0"/>
        <w:autoSpaceDN w:val="0"/>
        <w:adjustRightInd w:val="0"/>
        <w:spacing w:before="180"/>
        <w:jc w:val="both"/>
        <w:rPr>
          <w:sz w:val="22"/>
          <w:szCs w:val="22"/>
        </w:rPr>
      </w:pPr>
      <w:r w:rsidRPr="008D3AA3">
        <w:rPr>
          <w:sz w:val="22"/>
          <w:szCs w:val="22"/>
        </w:rPr>
        <w:t>Cieľom rozvoja dopravnej infraštruktúry SR je reagovať na existujúce problémy na infraštruktúre a</w:t>
      </w:r>
      <w:r>
        <w:rPr>
          <w:sz w:val="22"/>
          <w:szCs w:val="22"/>
        </w:rPr>
        <w:t> </w:t>
      </w:r>
      <w:r w:rsidRPr="008D3AA3">
        <w:rPr>
          <w:sz w:val="22"/>
          <w:szCs w:val="22"/>
        </w:rPr>
        <w:t>zároveň predchádzať prognózovaným negatívnym stavom na dopravnej sieti. Zameranie rozvoja dopravnej infraštruktúry v</w:t>
      </w:r>
      <w:r>
        <w:rPr>
          <w:sz w:val="22"/>
          <w:szCs w:val="22"/>
        </w:rPr>
        <w:t> </w:t>
      </w:r>
      <w:r w:rsidRPr="008D3AA3">
        <w:rPr>
          <w:sz w:val="22"/>
          <w:szCs w:val="22"/>
        </w:rPr>
        <w:t>SR v</w:t>
      </w:r>
      <w:r>
        <w:rPr>
          <w:sz w:val="22"/>
          <w:szCs w:val="22"/>
        </w:rPr>
        <w:t> </w:t>
      </w:r>
      <w:r w:rsidRPr="008D3AA3">
        <w:rPr>
          <w:sz w:val="22"/>
          <w:szCs w:val="22"/>
        </w:rPr>
        <w:t>programovom období 2014 – 2020 vychádza predovšetkým z</w:t>
      </w:r>
      <w:r>
        <w:rPr>
          <w:sz w:val="22"/>
          <w:szCs w:val="22"/>
        </w:rPr>
        <w:t> </w:t>
      </w:r>
      <w:r w:rsidRPr="008D3AA3">
        <w:rPr>
          <w:sz w:val="22"/>
          <w:szCs w:val="22"/>
        </w:rPr>
        <w:t xml:space="preserve">požiadaviek na </w:t>
      </w:r>
      <w:r>
        <w:rPr>
          <w:sz w:val="22"/>
          <w:szCs w:val="22"/>
        </w:rPr>
        <w:t xml:space="preserve">dobudovanie chýbajúcich kľúčových miest na dopravnej infraštruktúre a </w:t>
      </w:r>
      <w:r w:rsidRPr="008D3AA3">
        <w:rPr>
          <w:sz w:val="22"/>
          <w:szCs w:val="22"/>
        </w:rPr>
        <w:t xml:space="preserve">zlepšenie kvality </w:t>
      </w:r>
      <w:r>
        <w:rPr>
          <w:sz w:val="22"/>
          <w:szCs w:val="22"/>
        </w:rPr>
        <w:t xml:space="preserve">existujúcej </w:t>
      </w:r>
      <w:r w:rsidRPr="008D3AA3">
        <w:rPr>
          <w:sz w:val="22"/>
          <w:szCs w:val="22"/>
        </w:rPr>
        <w:t xml:space="preserve">infraštruktúry, najmä cestnej </w:t>
      </w:r>
      <w:r>
        <w:rPr>
          <w:sz w:val="22"/>
          <w:szCs w:val="22"/>
        </w:rPr>
        <w:t xml:space="preserve">a </w:t>
      </w:r>
      <w:r w:rsidRPr="008D3AA3">
        <w:rPr>
          <w:sz w:val="22"/>
          <w:szCs w:val="22"/>
        </w:rPr>
        <w:t>železničnej dopravy, s</w:t>
      </w:r>
      <w:r>
        <w:rPr>
          <w:sz w:val="22"/>
          <w:szCs w:val="22"/>
        </w:rPr>
        <w:t>o zameraním </w:t>
      </w:r>
      <w:r w:rsidRPr="008D3AA3">
        <w:rPr>
          <w:sz w:val="22"/>
          <w:szCs w:val="22"/>
        </w:rPr>
        <w:t>na zvyšovanie bezpečnosti, spoľahlivosti, prístupnosti a</w:t>
      </w:r>
      <w:r>
        <w:rPr>
          <w:sz w:val="22"/>
          <w:szCs w:val="22"/>
        </w:rPr>
        <w:t> </w:t>
      </w:r>
      <w:r w:rsidRPr="008D3AA3">
        <w:rPr>
          <w:sz w:val="22"/>
          <w:szCs w:val="22"/>
        </w:rPr>
        <w:t>efektívnosti dopravy.</w:t>
      </w:r>
    </w:p>
    <w:p w:rsidR="00DB79F5" w:rsidRDefault="00DB79F5" w:rsidP="00DB79F5">
      <w:pPr>
        <w:autoSpaceDE w:val="0"/>
        <w:autoSpaceDN w:val="0"/>
        <w:adjustRightInd w:val="0"/>
        <w:spacing w:before="180"/>
        <w:jc w:val="both"/>
        <w:rPr>
          <w:sz w:val="22"/>
          <w:szCs w:val="22"/>
        </w:rPr>
      </w:pPr>
      <w:r w:rsidRPr="008D3AA3">
        <w:rPr>
          <w:sz w:val="22"/>
          <w:szCs w:val="22"/>
        </w:rPr>
        <w:t>V</w:t>
      </w:r>
      <w:r>
        <w:rPr>
          <w:sz w:val="22"/>
          <w:szCs w:val="22"/>
        </w:rPr>
        <w:t> </w:t>
      </w:r>
      <w:r w:rsidRPr="008D3AA3">
        <w:rPr>
          <w:sz w:val="22"/>
          <w:szCs w:val="22"/>
        </w:rPr>
        <w:t>rámci sietí pre medzištátne dopravné väzby je v</w:t>
      </w:r>
      <w:r>
        <w:rPr>
          <w:sz w:val="22"/>
          <w:szCs w:val="22"/>
        </w:rPr>
        <w:t> </w:t>
      </w:r>
      <w:r w:rsidRPr="008D3AA3">
        <w:rPr>
          <w:sz w:val="22"/>
          <w:szCs w:val="22"/>
        </w:rPr>
        <w:t>záujme dosiahnutia priestorovej kompatibility a</w:t>
      </w:r>
      <w:r>
        <w:rPr>
          <w:sz w:val="22"/>
          <w:szCs w:val="22"/>
        </w:rPr>
        <w:t> </w:t>
      </w:r>
      <w:r w:rsidRPr="008D3AA3">
        <w:rPr>
          <w:sz w:val="22"/>
          <w:szCs w:val="22"/>
        </w:rPr>
        <w:t>vzájomnej rovnocennosti dopravnej sústavy SR s</w:t>
      </w:r>
      <w:r>
        <w:rPr>
          <w:sz w:val="22"/>
          <w:szCs w:val="22"/>
        </w:rPr>
        <w:t> </w:t>
      </w:r>
      <w:r w:rsidRPr="008D3AA3">
        <w:rPr>
          <w:sz w:val="22"/>
          <w:szCs w:val="22"/>
        </w:rPr>
        <w:t>dopravnou sústavou EÚ nevyhnutná preferencia dobudovania hlavných európskych koridorov a</w:t>
      </w:r>
      <w:r>
        <w:rPr>
          <w:sz w:val="22"/>
          <w:szCs w:val="22"/>
        </w:rPr>
        <w:t> </w:t>
      </w:r>
      <w:r w:rsidRPr="008D3AA3">
        <w:rPr>
          <w:sz w:val="22"/>
          <w:szCs w:val="22"/>
        </w:rPr>
        <w:t xml:space="preserve">prepojovacích bodov jednotlivých druhov dopravy identifikovaných na území SR. </w:t>
      </w:r>
      <w:r>
        <w:rPr>
          <w:sz w:val="22"/>
          <w:szCs w:val="22"/>
        </w:rPr>
        <w:t>OPII-D</w:t>
      </w:r>
      <w:r w:rsidRPr="008D3AA3">
        <w:rPr>
          <w:sz w:val="22"/>
          <w:szCs w:val="22"/>
        </w:rPr>
        <w:t xml:space="preserve"> sa preto prioritne orientuje na výstavbu a</w:t>
      </w:r>
      <w:r>
        <w:rPr>
          <w:sz w:val="22"/>
          <w:szCs w:val="22"/>
        </w:rPr>
        <w:t> </w:t>
      </w:r>
      <w:r w:rsidRPr="008D3AA3">
        <w:rPr>
          <w:sz w:val="22"/>
          <w:szCs w:val="22"/>
        </w:rPr>
        <w:t>modernizáciu dopravnej infraštruktúry v</w:t>
      </w:r>
      <w:r>
        <w:rPr>
          <w:sz w:val="22"/>
          <w:szCs w:val="22"/>
        </w:rPr>
        <w:t> </w:t>
      </w:r>
      <w:r w:rsidRPr="008D3AA3">
        <w:rPr>
          <w:sz w:val="22"/>
          <w:szCs w:val="22"/>
        </w:rPr>
        <w:t>schválených trasách multimodálnych koridorov</w:t>
      </w:r>
      <w:r>
        <w:rPr>
          <w:sz w:val="22"/>
          <w:szCs w:val="22"/>
        </w:rPr>
        <w:t xml:space="preserve"> základnej siete TEN-T</w:t>
      </w:r>
      <w:r w:rsidRPr="008D3AA3">
        <w:rPr>
          <w:sz w:val="22"/>
          <w:szCs w:val="22"/>
        </w:rPr>
        <w:t xml:space="preserve"> a</w:t>
      </w:r>
      <w:r>
        <w:rPr>
          <w:sz w:val="22"/>
          <w:szCs w:val="22"/>
        </w:rPr>
        <w:t> </w:t>
      </w:r>
      <w:r w:rsidRPr="008D3AA3">
        <w:rPr>
          <w:sz w:val="22"/>
          <w:szCs w:val="22"/>
        </w:rPr>
        <w:t>podporu dobudovania nadradenej dopravnej infraštruktúry medzinárodného významu</w:t>
      </w:r>
      <w:r>
        <w:rPr>
          <w:sz w:val="22"/>
          <w:szCs w:val="22"/>
        </w:rPr>
        <w:t xml:space="preserve"> s cieľom </w:t>
      </w:r>
      <w:r w:rsidRPr="008D3AA3">
        <w:rPr>
          <w:sz w:val="22"/>
          <w:szCs w:val="22"/>
        </w:rPr>
        <w:t xml:space="preserve">napojenia infraštruktúry SR na európsku dopravnú sieť, ako aj </w:t>
      </w:r>
      <w:r>
        <w:rPr>
          <w:sz w:val="22"/>
          <w:szCs w:val="22"/>
        </w:rPr>
        <w:t>s cieľom</w:t>
      </w:r>
      <w:r w:rsidRPr="008D3AA3">
        <w:rPr>
          <w:sz w:val="22"/>
          <w:szCs w:val="22"/>
        </w:rPr>
        <w:t xml:space="preserve"> </w:t>
      </w:r>
      <w:r>
        <w:rPr>
          <w:sz w:val="22"/>
          <w:szCs w:val="22"/>
        </w:rPr>
        <w:t>zlepšovania</w:t>
      </w:r>
      <w:r w:rsidRPr="008D3AA3">
        <w:rPr>
          <w:sz w:val="22"/>
          <w:szCs w:val="22"/>
        </w:rPr>
        <w:t xml:space="preserve"> dostupnosti regiónov SR.</w:t>
      </w:r>
    </w:p>
    <w:p w:rsidR="00DB79F5" w:rsidRPr="008D3AA3" w:rsidRDefault="00DB79F5" w:rsidP="00DB79F5">
      <w:pPr>
        <w:autoSpaceDE w:val="0"/>
        <w:autoSpaceDN w:val="0"/>
        <w:adjustRightInd w:val="0"/>
        <w:spacing w:before="180"/>
        <w:jc w:val="both"/>
        <w:rPr>
          <w:sz w:val="22"/>
          <w:szCs w:val="22"/>
        </w:rPr>
      </w:pPr>
      <w:r w:rsidRPr="00771652">
        <w:rPr>
          <w:sz w:val="22"/>
          <w:szCs w:val="22"/>
        </w:rPr>
        <w:lastRenderedPageBreak/>
        <w:t>Cieľom OPII-D je súčasne aj zabezpečenie podpory trvalo udržateľnej mestskej a regionálnej mobility posilňovaním väzieb v rámci jednotlivých aglomerácií vzájomne spolupracujúcimi módmi ekologickej verejnej osobnej dopravy. Prioritou je zabezpečenie vyhovujúcich tr</w:t>
      </w:r>
      <w:r>
        <w:rPr>
          <w:sz w:val="22"/>
          <w:szCs w:val="22"/>
        </w:rPr>
        <w:t>atí mestskej dráhovej dopravy a </w:t>
      </w:r>
      <w:r w:rsidRPr="00771652">
        <w:rPr>
          <w:sz w:val="22"/>
          <w:szCs w:val="22"/>
        </w:rPr>
        <w:t>prestupných terminálov v regionálnej železničnej doprave so zabezpečením zodpovedajúceho vozidlového parku týchto dopravných módov.</w:t>
      </w:r>
    </w:p>
    <w:p w:rsidR="00DB79F5" w:rsidRPr="008D3AA3" w:rsidRDefault="00DB79F5" w:rsidP="00DB79F5">
      <w:pPr>
        <w:spacing w:before="180" w:after="120"/>
        <w:jc w:val="both"/>
        <w:rPr>
          <w:sz w:val="22"/>
          <w:szCs w:val="22"/>
        </w:rPr>
      </w:pPr>
      <w:r w:rsidRPr="008D3AA3">
        <w:rPr>
          <w:sz w:val="22"/>
          <w:szCs w:val="22"/>
        </w:rPr>
        <w:t xml:space="preserve">Návrh </w:t>
      </w:r>
      <w:r>
        <w:rPr>
          <w:sz w:val="22"/>
          <w:szCs w:val="22"/>
        </w:rPr>
        <w:t>OPII</w:t>
      </w:r>
      <w:r w:rsidRPr="008D3AA3">
        <w:rPr>
          <w:sz w:val="22"/>
          <w:szCs w:val="22"/>
        </w:rPr>
        <w:t xml:space="preserve"> plne zohľadňuje základné ciele stanovené v</w:t>
      </w:r>
      <w:r>
        <w:rPr>
          <w:sz w:val="22"/>
          <w:szCs w:val="22"/>
        </w:rPr>
        <w:t> </w:t>
      </w:r>
      <w:r w:rsidRPr="008D3AA3">
        <w:rPr>
          <w:sz w:val="22"/>
          <w:szCs w:val="22"/>
        </w:rPr>
        <w:t>Národnom programe reforiem Slovenskej republiky</w:t>
      </w:r>
      <w:r>
        <w:rPr>
          <w:sz w:val="22"/>
          <w:szCs w:val="22"/>
        </w:rPr>
        <w:t xml:space="preserve"> (NPR)</w:t>
      </w:r>
      <w:r>
        <w:rPr>
          <w:rStyle w:val="Odkaznapoznmkupodiarou"/>
          <w:sz w:val="22"/>
          <w:szCs w:val="22"/>
        </w:rPr>
        <w:footnoteReference w:id="4"/>
      </w:r>
      <w:r w:rsidRPr="008D3AA3">
        <w:rPr>
          <w:sz w:val="22"/>
          <w:szCs w:val="22"/>
        </w:rPr>
        <w:t>. NPR b</w:t>
      </w:r>
      <w:r>
        <w:rPr>
          <w:sz w:val="22"/>
          <w:szCs w:val="22"/>
        </w:rPr>
        <w:t xml:space="preserve">ol vypracovaný v súlade s požiadavkou </w:t>
      </w:r>
      <w:r w:rsidRPr="008D3AA3">
        <w:rPr>
          <w:sz w:val="22"/>
          <w:szCs w:val="22"/>
        </w:rPr>
        <w:t>Európskej rady, aby členské štáty identifikov</w:t>
      </w:r>
      <w:r>
        <w:rPr>
          <w:sz w:val="22"/>
          <w:szCs w:val="22"/>
        </w:rPr>
        <w:t xml:space="preserve">ali svoje najdôležitejšie </w:t>
      </w:r>
      <w:r w:rsidR="00E343E0">
        <w:rPr>
          <w:sz w:val="22"/>
          <w:szCs w:val="22"/>
        </w:rPr>
        <w:t>makro</w:t>
      </w:r>
      <w:r w:rsidR="00E343E0" w:rsidRPr="008D3AA3">
        <w:rPr>
          <w:sz w:val="22"/>
          <w:szCs w:val="22"/>
        </w:rPr>
        <w:t>-štrukturálne</w:t>
      </w:r>
      <w:r w:rsidRPr="008D3AA3">
        <w:rPr>
          <w:sz w:val="22"/>
          <w:szCs w:val="22"/>
        </w:rPr>
        <w:t xml:space="preserve"> prekážky rastu a</w:t>
      </w:r>
      <w:r>
        <w:rPr>
          <w:sz w:val="22"/>
          <w:szCs w:val="22"/>
        </w:rPr>
        <w:t> </w:t>
      </w:r>
      <w:r w:rsidRPr="008D3AA3">
        <w:rPr>
          <w:sz w:val="22"/>
          <w:szCs w:val="22"/>
        </w:rPr>
        <w:t>navrhli politiky na ich odstraňovanie s</w:t>
      </w:r>
      <w:r>
        <w:rPr>
          <w:sz w:val="22"/>
          <w:szCs w:val="22"/>
        </w:rPr>
        <w:t> </w:t>
      </w:r>
      <w:r w:rsidRPr="008D3AA3">
        <w:rPr>
          <w:sz w:val="22"/>
          <w:szCs w:val="22"/>
        </w:rPr>
        <w:t>cieľom zabezpečiť vhodné podmienky pre udržateľný a</w:t>
      </w:r>
      <w:r>
        <w:rPr>
          <w:sz w:val="22"/>
          <w:szCs w:val="22"/>
        </w:rPr>
        <w:t> </w:t>
      </w:r>
      <w:r w:rsidRPr="008D3AA3">
        <w:rPr>
          <w:sz w:val="22"/>
          <w:szCs w:val="22"/>
        </w:rPr>
        <w:t>vyvážený rozvoj a</w:t>
      </w:r>
      <w:r>
        <w:rPr>
          <w:sz w:val="22"/>
          <w:szCs w:val="22"/>
        </w:rPr>
        <w:t> </w:t>
      </w:r>
      <w:r w:rsidRPr="008D3AA3">
        <w:rPr>
          <w:sz w:val="22"/>
          <w:szCs w:val="22"/>
        </w:rPr>
        <w:t>rast zamestnanosti. V</w:t>
      </w:r>
      <w:r>
        <w:rPr>
          <w:sz w:val="22"/>
          <w:szCs w:val="22"/>
        </w:rPr>
        <w:t xml:space="preserve"> NPR </w:t>
      </w:r>
      <w:r w:rsidRPr="008D3AA3">
        <w:rPr>
          <w:sz w:val="22"/>
          <w:szCs w:val="22"/>
        </w:rPr>
        <w:t xml:space="preserve">sú </w:t>
      </w:r>
      <w:r>
        <w:rPr>
          <w:sz w:val="22"/>
          <w:szCs w:val="22"/>
        </w:rPr>
        <w:t xml:space="preserve">pre politiku súdržnosti </w:t>
      </w:r>
      <w:r w:rsidRPr="008D3AA3">
        <w:rPr>
          <w:sz w:val="22"/>
          <w:szCs w:val="22"/>
        </w:rPr>
        <w:t>stanovené tri základné ciele s</w:t>
      </w:r>
      <w:r>
        <w:rPr>
          <w:sz w:val="22"/>
          <w:szCs w:val="22"/>
        </w:rPr>
        <w:t xml:space="preserve"> mimoriadnym </w:t>
      </w:r>
      <w:r w:rsidRPr="008D3AA3">
        <w:rPr>
          <w:sz w:val="22"/>
          <w:szCs w:val="22"/>
        </w:rPr>
        <w:t xml:space="preserve">významom pre rozvoj slovenskej ekonomiky, </w:t>
      </w:r>
      <w:r>
        <w:rPr>
          <w:sz w:val="22"/>
          <w:szCs w:val="22"/>
        </w:rPr>
        <w:t>konkrétne</w:t>
      </w:r>
      <w:r w:rsidRPr="008D3AA3">
        <w:rPr>
          <w:sz w:val="22"/>
          <w:szCs w:val="22"/>
        </w:rPr>
        <w:t>:</w:t>
      </w:r>
    </w:p>
    <w:p w:rsidR="00DB79F5" w:rsidRPr="008D3AA3" w:rsidRDefault="00DB79F5" w:rsidP="00FE6025">
      <w:pPr>
        <w:pStyle w:val="Odsekzoznamu"/>
        <w:numPr>
          <w:ilvl w:val="1"/>
          <w:numId w:val="41"/>
        </w:numPr>
        <w:ind w:left="568" w:hanging="284"/>
        <w:jc w:val="both"/>
        <w:rPr>
          <w:sz w:val="22"/>
          <w:szCs w:val="22"/>
        </w:rPr>
      </w:pPr>
      <w:r>
        <w:rPr>
          <w:b/>
          <w:sz w:val="22"/>
          <w:szCs w:val="22"/>
        </w:rPr>
        <w:t>Z</w:t>
      </w:r>
      <w:r w:rsidRPr="008930EF">
        <w:rPr>
          <w:b/>
          <w:sz w:val="22"/>
          <w:szCs w:val="22"/>
        </w:rPr>
        <w:t>ákladná infraštruktúra</w:t>
      </w:r>
      <w:r w:rsidRPr="008D3AA3">
        <w:rPr>
          <w:sz w:val="22"/>
          <w:szCs w:val="22"/>
        </w:rPr>
        <w:t>,</w:t>
      </w:r>
    </w:p>
    <w:p w:rsidR="00DB79F5" w:rsidRPr="008D3AA3" w:rsidRDefault="00DB79F5" w:rsidP="00FE6025">
      <w:pPr>
        <w:pStyle w:val="Odsekzoznamu"/>
        <w:numPr>
          <w:ilvl w:val="1"/>
          <w:numId w:val="41"/>
        </w:numPr>
        <w:ind w:left="568" w:hanging="284"/>
        <w:jc w:val="both"/>
        <w:rPr>
          <w:sz w:val="22"/>
          <w:szCs w:val="22"/>
        </w:rPr>
      </w:pPr>
      <w:r>
        <w:rPr>
          <w:sz w:val="22"/>
          <w:szCs w:val="22"/>
        </w:rPr>
        <w:t>Ľ</w:t>
      </w:r>
      <w:r w:rsidRPr="008D3AA3">
        <w:rPr>
          <w:sz w:val="22"/>
          <w:szCs w:val="22"/>
        </w:rPr>
        <w:t>udské zdroje, zamestnanosť a</w:t>
      </w:r>
      <w:r>
        <w:rPr>
          <w:sz w:val="22"/>
          <w:szCs w:val="22"/>
        </w:rPr>
        <w:t> </w:t>
      </w:r>
      <w:r w:rsidRPr="008D3AA3">
        <w:rPr>
          <w:sz w:val="22"/>
          <w:szCs w:val="22"/>
        </w:rPr>
        <w:t>sociálna inklúzia,</w:t>
      </w:r>
    </w:p>
    <w:p w:rsidR="00DB79F5" w:rsidRPr="008D3AA3" w:rsidRDefault="00DB79F5" w:rsidP="00FE6025">
      <w:pPr>
        <w:pStyle w:val="Odsekzoznamu"/>
        <w:numPr>
          <w:ilvl w:val="1"/>
          <w:numId w:val="41"/>
        </w:numPr>
        <w:ind w:left="568" w:hanging="284"/>
        <w:jc w:val="both"/>
        <w:rPr>
          <w:sz w:val="22"/>
          <w:szCs w:val="22"/>
        </w:rPr>
      </w:pPr>
      <w:r>
        <w:rPr>
          <w:sz w:val="22"/>
          <w:szCs w:val="22"/>
        </w:rPr>
        <w:t>V</w:t>
      </w:r>
      <w:r w:rsidRPr="008D3AA3">
        <w:rPr>
          <w:sz w:val="22"/>
          <w:szCs w:val="22"/>
        </w:rPr>
        <w:t>eda, výskum a</w:t>
      </w:r>
      <w:r>
        <w:rPr>
          <w:sz w:val="22"/>
          <w:szCs w:val="22"/>
        </w:rPr>
        <w:t> </w:t>
      </w:r>
      <w:r w:rsidRPr="008D3AA3">
        <w:rPr>
          <w:sz w:val="22"/>
          <w:szCs w:val="22"/>
        </w:rPr>
        <w:t>inovácie s</w:t>
      </w:r>
      <w:r>
        <w:rPr>
          <w:sz w:val="22"/>
          <w:szCs w:val="22"/>
        </w:rPr>
        <w:t> dôrazom na podporu hospodárskeho rastu pri zabezpečení efektívneho využitia zdrojov</w:t>
      </w:r>
      <w:r w:rsidRPr="008D3AA3">
        <w:rPr>
          <w:sz w:val="22"/>
          <w:szCs w:val="22"/>
        </w:rPr>
        <w:t>.</w:t>
      </w:r>
    </w:p>
    <w:p w:rsidR="00DB79F5" w:rsidRPr="008D3AA3" w:rsidRDefault="00BF59C6" w:rsidP="00DB79F5">
      <w:pPr>
        <w:spacing w:before="180" w:after="120"/>
        <w:jc w:val="both"/>
        <w:rPr>
          <w:b/>
          <w:sz w:val="22"/>
          <w:szCs w:val="22"/>
        </w:rPr>
      </w:pPr>
      <w:r w:rsidRPr="008D3AA3">
        <w:rPr>
          <w:sz w:val="22"/>
          <w:szCs w:val="22"/>
        </w:rPr>
        <w:t xml:space="preserve">Celkové zameranie </w:t>
      </w:r>
      <w:r>
        <w:rPr>
          <w:sz w:val="22"/>
          <w:szCs w:val="22"/>
        </w:rPr>
        <w:t>OPII</w:t>
      </w:r>
      <w:r w:rsidRPr="008D3AA3">
        <w:rPr>
          <w:sz w:val="22"/>
          <w:szCs w:val="22"/>
        </w:rPr>
        <w:t>, jeho špecifické ciele a</w:t>
      </w:r>
      <w:r>
        <w:rPr>
          <w:sz w:val="22"/>
          <w:szCs w:val="22"/>
        </w:rPr>
        <w:t> </w:t>
      </w:r>
      <w:r w:rsidRPr="008D3AA3">
        <w:rPr>
          <w:sz w:val="22"/>
          <w:szCs w:val="22"/>
        </w:rPr>
        <w:t xml:space="preserve">typy aktivít boli stanovené tak, aby podporovali napĺňanie priorít stratégie Európa 2020. </w:t>
      </w:r>
      <w:r w:rsidR="009322BF">
        <w:rPr>
          <w:sz w:val="22"/>
          <w:szCs w:val="22"/>
        </w:rPr>
        <w:t>Vyššie u</w:t>
      </w:r>
      <w:r w:rsidR="00DB79F5" w:rsidRPr="008D3AA3">
        <w:rPr>
          <w:sz w:val="22"/>
          <w:szCs w:val="22"/>
        </w:rPr>
        <w:t>vedený globálny cieľ má priamu súvislosť s</w:t>
      </w:r>
      <w:r w:rsidR="00DB79F5">
        <w:rPr>
          <w:sz w:val="22"/>
          <w:szCs w:val="22"/>
        </w:rPr>
        <w:t> </w:t>
      </w:r>
      <w:r w:rsidR="00DB79F5" w:rsidRPr="008D3AA3">
        <w:rPr>
          <w:sz w:val="22"/>
          <w:szCs w:val="22"/>
        </w:rPr>
        <w:t>jednou z</w:t>
      </w:r>
      <w:r w:rsidR="00DB79F5">
        <w:rPr>
          <w:sz w:val="22"/>
          <w:szCs w:val="22"/>
        </w:rPr>
        <w:t> </w:t>
      </w:r>
      <w:r w:rsidR="00DB79F5" w:rsidRPr="008D3AA3">
        <w:rPr>
          <w:sz w:val="22"/>
          <w:szCs w:val="22"/>
        </w:rPr>
        <w:t xml:space="preserve">troch základných priorít stratégie Európa 2020, ktorou je </w:t>
      </w:r>
      <w:r w:rsidR="00DB79F5" w:rsidRPr="008D3AA3">
        <w:rPr>
          <w:b/>
          <w:i/>
          <w:sz w:val="22"/>
          <w:szCs w:val="22"/>
        </w:rPr>
        <w:t>„Udržateľný rast: podpora ekologickejšieho a</w:t>
      </w:r>
      <w:r w:rsidR="00DB79F5">
        <w:rPr>
          <w:b/>
          <w:i/>
          <w:sz w:val="22"/>
          <w:szCs w:val="22"/>
        </w:rPr>
        <w:t> </w:t>
      </w:r>
      <w:r w:rsidR="00DB79F5" w:rsidRPr="008D3AA3">
        <w:rPr>
          <w:b/>
          <w:i/>
          <w:sz w:val="22"/>
          <w:szCs w:val="22"/>
        </w:rPr>
        <w:t>konkurencieschopnejšieho hospodárstva, ktoré efektívnejšie využíva zdroje“.</w:t>
      </w:r>
      <w:r w:rsidR="00DB79F5">
        <w:rPr>
          <w:b/>
          <w:i/>
          <w:sz w:val="22"/>
          <w:szCs w:val="22"/>
        </w:rPr>
        <w:t xml:space="preserve"> </w:t>
      </w:r>
      <w:r w:rsidR="00DB79F5" w:rsidRPr="008D3AA3">
        <w:rPr>
          <w:sz w:val="22"/>
          <w:szCs w:val="22"/>
        </w:rPr>
        <w:t>Cieľom tejto iniciatívy EK je, aby Európa efektívne využívala zdroje na podporu oddelenia hospodárskeho rastu od využívania zdrojov, podporu prechodu smerom k</w:t>
      </w:r>
      <w:r w:rsidR="00DB79F5">
        <w:rPr>
          <w:sz w:val="22"/>
          <w:szCs w:val="22"/>
        </w:rPr>
        <w:t> </w:t>
      </w:r>
      <w:r w:rsidR="00DB79F5" w:rsidRPr="008D3AA3">
        <w:rPr>
          <w:sz w:val="22"/>
          <w:szCs w:val="22"/>
        </w:rPr>
        <w:t>nízkouhlíkovému hospodárstvu, zvýšenie využívania energie z</w:t>
      </w:r>
      <w:r w:rsidR="00DB79F5">
        <w:rPr>
          <w:sz w:val="22"/>
          <w:szCs w:val="22"/>
        </w:rPr>
        <w:t> </w:t>
      </w:r>
      <w:r w:rsidR="00DB79F5" w:rsidRPr="008D3AA3">
        <w:rPr>
          <w:sz w:val="22"/>
          <w:szCs w:val="22"/>
        </w:rPr>
        <w:t>obnoviteľných zdrojov, modernizáciu celého odvetvia dopravy a</w:t>
      </w:r>
      <w:r w:rsidR="00DB79F5">
        <w:rPr>
          <w:sz w:val="22"/>
          <w:szCs w:val="22"/>
        </w:rPr>
        <w:t> </w:t>
      </w:r>
      <w:r w:rsidR="00DB79F5" w:rsidRPr="008D3AA3">
        <w:rPr>
          <w:sz w:val="22"/>
          <w:szCs w:val="22"/>
        </w:rPr>
        <w:t>podporu energetickej účinnosti.</w:t>
      </w:r>
    </w:p>
    <w:p w:rsidR="00DB79F5" w:rsidRPr="008D3AA3" w:rsidRDefault="00DB79F5" w:rsidP="00DB79F5">
      <w:pPr>
        <w:spacing w:before="180"/>
        <w:jc w:val="both"/>
        <w:rPr>
          <w:sz w:val="22"/>
          <w:szCs w:val="22"/>
        </w:rPr>
      </w:pPr>
      <w:r>
        <w:rPr>
          <w:sz w:val="22"/>
          <w:szCs w:val="22"/>
        </w:rPr>
        <w:t>Č</w:t>
      </w:r>
      <w:r w:rsidRPr="008D3AA3">
        <w:rPr>
          <w:sz w:val="22"/>
          <w:szCs w:val="22"/>
        </w:rPr>
        <w:t xml:space="preserve">lenské štáty </w:t>
      </w:r>
      <w:r>
        <w:rPr>
          <w:sz w:val="22"/>
          <w:szCs w:val="22"/>
        </w:rPr>
        <w:t>sú priamo</w:t>
      </w:r>
      <w:r w:rsidRPr="008D3AA3">
        <w:rPr>
          <w:sz w:val="22"/>
          <w:szCs w:val="22"/>
        </w:rPr>
        <w:t xml:space="preserve"> vyzývané, aby </w:t>
      </w:r>
      <w:r>
        <w:rPr>
          <w:sz w:val="22"/>
          <w:szCs w:val="22"/>
        </w:rPr>
        <w:t>n</w:t>
      </w:r>
      <w:r w:rsidRPr="008D3AA3">
        <w:rPr>
          <w:sz w:val="22"/>
          <w:szCs w:val="22"/>
        </w:rPr>
        <w:t>a vnútroštátnej úrovni zabezpečili mobilizáciu finančných nástrojov tvoriacich súčasť jednotnej stratégie financovania na koordinované vykonávanie projektov</w:t>
      </w:r>
      <w:r>
        <w:rPr>
          <w:sz w:val="22"/>
          <w:szCs w:val="22"/>
        </w:rPr>
        <w:t>. Investície by mali smerovať</w:t>
      </w:r>
      <w:r w:rsidRPr="008D3AA3">
        <w:rPr>
          <w:sz w:val="22"/>
          <w:szCs w:val="22"/>
        </w:rPr>
        <w:t xml:space="preserve"> </w:t>
      </w:r>
      <w:r>
        <w:rPr>
          <w:sz w:val="22"/>
          <w:szCs w:val="22"/>
        </w:rPr>
        <w:t xml:space="preserve">na budovanie </w:t>
      </w:r>
      <w:r w:rsidRPr="008D3AA3">
        <w:rPr>
          <w:sz w:val="22"/>
          <w:szCs w:val="22"/>
        </w:rPr>
        <w:t>infraštruktúry v</w:t>
      </w:r>
      <w:r>
        <w:rPr>
          <w:sz w:val="22"/>
          <w:szCs w:val="22"/>
        </w:rPr>
        <w:t> rámci základnej siete EÚ</w:t>
      </w:r>
      <w:r w:rsidRPr="008D3AA3">
        <w:rPr>
          <w:sz w:val="22"/>
          <w:szCs w:val="22"/>
        </w:rPr>
        <w:t>, ktor</w:t>
      </w:r>
      <w:r>
        <w:rPr>
          <w:sz w:val="22"/>
          <w:szCs w:val="22"/>
        </w:rPr>
        <w:t>á významne prispieva</w:t>
      </w:r>
      <w:r w:rsidRPr="008D3AA3">
        <w:rPr>
          <w:sz w:val="22"/>
          <w:szCs w:val="22"/>
        </w:rPr>
        <w:t xml:space="preserve"> k</w:t>
      </w:r>
      <w:r>
        <w:rPr>
          <w:sz w:val="22"/>
          <w:szCs w:val="22"/>
        </w:rPr>
        <w:t> </w:t>
      </w:r>
      <w:r w:rsidRPr="008D3AA3">
        <w:rPr>
          <w:sz w:val="22"/>
          <w:szCs w:val="22"/>
        </w:rPr>
        <w:t>efektivite celého systému dopravy</w:t>
      </w:r>
      <w:r>
        <w:rPr>
          <w:sz w:val="22"/>
          <w:szCs w:val="22"/>
        </w:rPr>
        <w:t xml:space="preserve">. Zároveň je potrebné sa </w:t>
      </w:r>
      <w:r w:rsidRPr="008D3AA3">
        <w:rPr>
          <w:sz w:val="22"/>
          <w:szCs w:val="22"/>
        </w:rPr>
        <w:t>zamer</w:t>
      </w:r>
      <w:r>
        <w:rPr>
          <w:sz w:val="22"/>
          <w:szCs w:val="22"/>
        </w:rPr>
        <w:t>ať</w:t>
      </w:r>
      <w:r w:rsidRPr="008D3AA3">
        <w:rPr>
          <w:sz w:val="22"/>
          <w:szCs w:val="22"/>
        </w:rPr>
        <w:t xml:space="preserve"> na </w:t>
      </w:r>
      <w:r>
        <w:rPr>
          <w:sz w:val="22"/>
          <w:szCs w:val="22"/>
        </w:rPr>
        <w:t xml:space="preserve">riešenia v </w:t>
      </w:r>
      <w:r w:rsidRPr="008D3AA3">
        <w:rPr>
          <w:sz w:val="22"/>
          <w:szCs w:val="22"/>
        </w:rPr>
        <w:t>mestsk</w:t>
      </w:r>
      <w:r>
        <w:rPr>
          <w:sz w:val="22"/>
          <w:szCs w:val="22"/>
        </w:rPr>
        <w:t>ej</w:t>
      </w:r>
      <w:r w:rsidRPr="008D3AA3">
        <w:rPr>
          <w:sz w:val="22"/>
          <w:szCs w:val="22"/>
        </w:rPr>
        <w:t xml:space="preserve"> doprav</w:t>
      </w:r>
      <w:r>
        <w:rPr>
          <w:sz w:val="22"/>
          <w:szCs w:val="22"/>
        </w:rPr>
        <w:t>e</w:t>
      </w:r>
      <w:r w:rsidRPr="008D3AA3">
        <w:rPr>
          <w:sz w:val="22"/>
          <w:szCs w:val="22"/>
        </w:rPr>
        <w:t>, ktor</w:t>
      </w:r>
      <w:r>
        <w:rPr>
          <w:sz w:val="22"/>
          <w:szCs w:val="22"/>
        </w:rPr>
        <w:t>á</w:t>
      </w:r>
      <w:r w:rsidRPr="008D3AA3">
        <w:rPr>
          <w:sz w:val="22"/>
          <w:szCs w:val="22"/>
        </w:rPr>
        <w:t xml:space="preserve"> výrazne prispieva k</w:t>
      </w:r>
      <w:r>
        <w:rPr>
          <w:sz w:val="22"/>
          <w:szCs w:val="22"/>
        </w:rPr>
        <w:t> </w:t>
      </w:r>
      <w:r w:rsidRPr="008D3AA3">
        <w:rPr>
          <w:sz w:val="22"/>
          <w:szCs w:val="22"/>
        </w:rPr>
        <w:t>dopravnému preťaženiu a</w:t>
      </w:r>
      <w:r>
        <w:rPr>
          <w:sz w:val="22"/>
          <w:szCs w:val="22"/>
        </w:rPr>
        <w:t> </w:t>
      </w:r>
      <w:r w:rsidRPr="008D3AA3">
        <w:rPr>
          <w:sz w:val="22"/>
          <w:szCs w:val="22"/>
        </w:rPr>
        <w:t>produkcii emisií.</w:t>
      </w:r>
    </w:p>
    <w:p w:rsidR="00DB79F5" w:rsidRPr="008D3AA3" w:rsidRDefault="00DB79F5" w:rsidP="00DB79F5">
      <w:pPr>
        <w:spacing w:before="180" w:after="120"/>
        <w:jc w:val="both"/>
        <w:rPr>
          <w:sz w:val="22"/>
          <w:szCs w:val="22"/>
        </w:rPr>
      </w:pPr>
      <w:r w:rsidRPr="008D3AA3">
        <w:rPr>
          <w:sz w:val="22"/>
          <w:szCs w:val="22"/>
        </w:rPr>
        <w:t xml:space="preserve">Globálny cieľ </w:t>
      </w:r>
      <w:r>
        <w:rPr>
          <w:sz w:val="22"/>
          <w:szCs w:val="22"/>
        </w:rPr>
        <w:t>OPII</w:t>
      </w:r>
      <w:r w:rsidRPr="008D3AA3">
        <w:rPr>
          <w:sz w:val="22"/>
          <w:szCs w:val="22"/>
        </w:rPr>
        <w:t xml:space="preserve"> je vyjadrený v</w:t>
      </w:r>
      <w:r>
        <w:rPr>
          <w:sz w:val="22"/>
          <w:szCs w:val="22"/>
        </w:rPr>
        <w:t> </w:t>
      </w:r>
      <w:r w:rsidRPr="008D3AA3">
        <w:rPr>
          <w:sz w:val="22"/>
          <w:szCs w:val="22"/>
        </w:rPr>
        <w:t>podobe jednotlivých špecifických ci</w:t>
      </w:r>
      <w:r>
        <w:rPr>
          <w:sz w:val="22"/>
          <w:szCs w:val="22"/>
        </w:rPr>
        <w:t>eľov, na dosiahnutie ktorých sú </w:t>
      </w:r>
      <w:r w:rsidRPr="008D3AA3">
        <w:rPr>
          <w:sz w:val="22"/>
          <w:szCs w:val="22"/>
        </w:rPr>
        <w:t>zamerané jednotlivé typy aktivít. Ich prostredníctvom bude možné podporiť udržateľný rast, a</w:t>
      </w:r>
      <w:r>
        <w:rPr>
          <w:sz w:val="22"/>
          <w:szCs w:val="22"/>
        </w:rPr>
        <w:t> </w:t>
      </w:r>
      <w:r w:rsidRPr="008D3AA3">
        <w:rPr>
          <w:sz w:val="22"/>
          <w:szCs w:val="22"/>
        </w:rPr>
        <w:t xml:space="preserve">to </w:t>
      </w:r>
      <w:r>
        <w:rPr>
          <w:sz w:val="22"/>
          <w:szCs w:val="22"/>
        </w:rPr>
        <w:t>nasledovne</w:t>
      </w:r>
      <w:r w:rsidRPr="008D3AA3">
        <w:rPr>
          <w:sz w:val="22"/>
          <w:szCs w:val="22"/>
        </w:rPr>
        <w:t>:</w:t>
      </w:r>
    </w:p>
    <w:p w:rsidR="00DB79F5" w:rsidRPr="008D3AA3" w:rsidRDefault="00DB79F5" w:rsidP="00FE6025">
      <w:pPr>
        <w:pStyle w:val="Odsekzoznamu"/>
        <w:numPr>
          <w:ilvl w:val="0"/>
          <w:numId w:val="42"/>
        </w:numPr>
        <w:ind w:left="568" w:hanging="284"/>
        <w:jc w:val="both"/>
        <w:rPr>
          <w:sz w:val="22"/>
          <w:szCs w:val="22"/>
        </w:rPr>
      </w:pPr>
      <w:r w:rsidRPr="008D3AA3">
        <w:rPr>
          <w:sz w:val="22"/>
          <w:szCs w:val="22"/>
        </w:rPr>
        <w:t>realizáciou cestných projektov európskeho významu, tzn. výstavbou chýbajúcich úsekov diaľnic a</w:t>
      </w:r>
      <w:r>
        <w:rPr>
          <w:sz w:val="22"/>
          <w:szCs w:val="22"/>
        </w:rPr>
        <w:t> </w:t>
      </w:r>
      <w:r w:rsidRPr="008D3AA3">
        <w:rPr>
          <w:sz w:val="22"/>
          <w:szCs w:val="22"/>
        </w:rPr>
        <w:t>rýchlostných ciest sa zvýši kvalita napojenia SR na cestnú sieť susedných štátov a</w:t>
      </w:r>
      <w:r>
        <w:rPr>
          <w:sz w:val="22"/>
          <w:szCs w:val="22"/>
        </w:rPr>
        <w:t> </w:t>
      </w:r>
      <w:r w:rsidRPr="008D3AA3">
        <w:rPr>
          <w:sz w:val="22"/>
          <w:szCs w:val="22"/>
        </w:rPr>
        <w:t xml:space="preserve">podporí </w:t>
      </w:r>
      <w:r>
        <w:rPr>
          <w:sz w:val="22"/>
          <w:szCs w:val="22"/>
        </w:rPr>
        <w:t xml:space="preserve">vnútroštátna </w:t>
      </w:r>
      <w:r w:rsidRPr="008D3AA3">
        <w:rPr>
          <w:sz w:val="22"/>
          <w:szCs w:val="22"/>
        </w:rPr>
        <w:t>dostupnosť regiónov. Tým sa</w:t>
      </w:r>
      <w:r>
        <w:rPr>
          <w:sz w:val="22"/>
          <w:szCs w:val="22"/>
        </w:rPr>
        <w:t xml:space="preserve"> </w:t>
      </w:r>
      <w:r w:rsidRPr="008D3AA3">
        <w:rPr>
          <w:sz w:val="22"/>
          <w:szCs w:val="22"/>
        </w:rPr>
        <w:t>vytvoria predpoklady a</w:t>
      </w:r>
      <w:r>
        <w:rPr>
          <w:sz w:val="22"/>
          <w:szCs w:val="22"/>
        </w:rPr>
        <w:t> </w:t>
      </w:r>
      <w:r w:rsidRPr="008D3AA3">
        <w:rPr>
          <w:sz w:val="22"/>
          <w:szCs w:val="22"/>
        </w:rPr>
        <w:t>záujem v</w:t>
      </w:r>
      <w:r>
        <w:rPr>
          <w:sz w:val="22"/>
          <w:szCs w:val="22"/>
        </w:rPr>
        <w:t> </w:t>
      </w:r>
      <w:r w:rsidRPr="008D3AA3">
        <w:rPr>
          <w:sz w:val="22"/>
          <w:szCs w:val="22"/>
        </w:rPr>
        <w:t>oblasti cestovného ruchu a</w:t>
      </w:r>
      <w:r>
        <w:rPr>
          <w:sz w:val="22"/>
          <w:szCs w:val="22"/>
        </w:rPr>
        <w:t> </w:t>
      </w:r>
      <w:r w:rsidRPr="008D3AA3">
        <w:rPr>
          <w:sz w:val="22"/>
          <w:szCs w:val="22"/>
        </w:rPr>
        <w:t>globálne posilní konkurencieschopnosť SR,</w:t>
      </w:r>
    </w:p>
    <w:p w:rsidR="00DB79F5" w:rsidRPr="008D3AA3" w:rsidRDefault="00DB79F5" w:rsidP="00FE6025">
      <w:pPr>
        <w:pStyle w:val="Odsekzoznamu"/>
        <w:numPr>
          <w:ilvl w:val="0"/>
          <w:numId w:val="42"/>
        </w:numPr>
        <w:spacing w:before="120"/>
        <w:ind w:left="568" w:hanging="284"/>
        <w:contextualSpacing w:val="0"/>
        <w:jc w:val="both"/>
        <w:rPr>
          <w:sz w:val="22"/>
          <w:szCs w:val="22"/>
        </w:rPr>
      </w:pPr>
      <w:r w:rsidRPr="008D3AA3">
        <w:rPr>
          <w:sz w:val="22"/>
          <w:szCs w:val="22"/>
        </w:rPr>
        <w:t>prínos budovania nových úsekov diaľnic a</w:t>
      </w:r>
      <w:r>
        <w:rPr>
          <w:sz w:val="22"/>
          <w:szCs w:val="22"/>
        </w:rPr>
        <w:t> </w:t>
      </w:r>
      <w:r w:rsidRPr="008D3AA3">
        <w:rPr>
          <w:sz w:val="22"/>
          <w:szCs w:val="22"/>
        </w:rPr>
        <w:t>rýchlostných ciest a</w:t>
      </w:r>
      <w:r>
        <w:rPr>
          <w:sz w:val="22"/>
          <w:szCs w:val="22"/>
        </w:rPr>
        <w:t> </w:t>
      </w:r>
      <w:r w:rsidRPr="008D3AA3">
        <w:rPr>
          <w:sz w:val="22"/>
          <w:szCs w:val="22"/>
        </w:rPr>
        <w:t>s</w:t>
      </w:r>
      <w:r>
        <w:rPr>
          <w:sz w:val="22"/>
          <w:szCs w:val="22"/>
        </w:rPr>
        <w:t> </w:t>
      </w:r>
      <w:r w:rsidRPr="008D3AA3">
        <w:rPr>
          <w:sz w:val="22"/>
          <w:szCs w:val="22"/>
        </w:rPr>
        <w:t>tým súvisiaci presun dopravného prúdu z</w:t>
      </w:r>
      <w:r>
        <w:rPr>
          <w:sz w:val="22"/>
          <w:szCs w:val="22"/>
        </w:rPr>
        <w:t> </w:t>
      </w:r>
      <w:r w:rsidRPr="008D3AA3">
        <w:rPr>
          <w:sz w:val="22"/>
          <w:szCs w:val="22"/>
        </w:rPr>
        <w:t>ciest nižšej triedy na kvalitnú a</w:t>
      </w:r>
      <w:r>
        <w:rPr>
          <w:sz w:val="22"/>
          <w:szCs w:val="22"/>
        </w:rPr>
        <w:t> </w:t>
      </w:r>
      <w:r w:rsidRPr="008D3AA3">
        <w:rPr>
          <w:sz w:val="22"/>
          <w:szCs w:val="22"/>
        </w:rPr>
        <w:t>modernú infraštruktúru, najmä v</w:t>
      </w:r>
      <w:r>
        <w:rPr>
          <w:sz w:val="22"/>
          <w:szCs w:val="22"/>
        </w:rPr>
        <w:t> </w:t>
      </w:r>
      <w:r w:rsidRPr="008D3AA3">
        <w:rPr>
          <w:sz w:val="22"/>
          <w:szCs w:val="22"/>
        </w:rPr>
        <w:t>úsekoch s</w:t>
      </w:r>
      <w:r>
        <w:rPr>
          <w:sz w:val="22"/>
          <w:szCs w:val="22"/>
        </w:rPr>
        <w:t> </w:t>
      </w:r>
      <w:r w:rsidRPr="008D3AA3">
        <w:rPr>
          <w:sz w:val="22"/>
          <w:szCs w:val="22"/>
        </w:rPr>
        <w:t>najväčšími kongesciami, je nesporný aj z</w:t>
      </w:r>
      <w:r>
        <w:rPr>
          <w:sz w:val="22"/>
          <w:szCs w:val="22"/>
        </w:rPr>
        <w:t> </w:t>
      </w:r>
      <w:r w:rsidRPr="008D3AA3">
        <w:rPr>
          <w:sz w:val="22"/>
          <w:szCs w:val="22"/>
        </w:rPr>
        <w:t xml:space="preserve">pohľadu </w:t>
      </w:r>
      <w:r w:rsidRPr="00400C92">
        <w:rPr>
          <w:sz w:val="22"/>
          <w:szCs w:val="22"/>
        </w:rPr>
        <w:t>zvyšovania bezpečnosti</w:t>
      </w:r>
      <w:r w:rsidRPr="008D3AA3">
        <w:rPr>
          <w:sz w:val="22"/>
          <w:szCs w:val="22"/>
        </w:rPr>
        <w:t xml:space="preserve"> </w:t>
      </w:r>
      <w:r>
        <w:rPr>
          <w:sz w:val="22"/>
          <w:szCs w:val="22"/>
        </w:rPr>
        <w:t xml:space="preserve">a </w:t>
      </w:r>
      <w:r w:rsidRPr="008D3AA3">
        <w:rPr>
          <w:sz w:val="22"/>
          <w:szCs w:val="22"/>
        </w:rPr>
        <w:t>znižovania časových a</w:t>
      </w:r>
      <w:r>
        <w:rPr>
          <w:sz w:val="22"/>
          <w:szCs w:val="22"/>
        </w:rPr>
        <w:t> </w:t>
      </w:r>
      <w:r w:rsidRPr="008D3AA3">
        <w:rPr>
          <w:sz w:val="22"/>
          <w:szCs w:val="22"/>
        </w:rPr>
        <w:t xml:space="preserve">energetických strát, čo sa pozitívne premieta </w:t>
      </w:r>
      <w:r>
        <w:rPr>
          <w:sz w:val="22"/>
          <w:szCs w:val="22"/>
        </w:rPr>
        <w:t>v</w:t>
      </w:r>
      <w:r w:rsidRPr="008D3AA3">
        <w:rPr>
          <w:sz w:val="22"/>
          <w:szCs w:val="22"/>
        </w:rPr>
        <w:t xml:space="preserve"> oblas</w:t>
      </w:r>
      <w:r>
        <w:rPr>
          <w:sz w:val="22"/>
          <w:szCs w:val="22"/>
        </w:rPr>
        <w:t>ti</w:t>
      </w:r>
      <w:r w:rsidRPr="008D3AA3">
        <w:rPr>
          <w:sz w:val="22"/>
          <w:szCs w:val="22"/>
        </w:rPr>
        <w:t xml:space="preserve"> hospodárstva a</w:t>
      </w:r>
      <w:r>
        <w:rPr>
          <w:sz w:val="22"/>
          <w:szCs w:val="22"/>
        </w:rPr>
        <w:t> </w:t>
      </w:r>
      <w:r w:rsidRPr="008D3AA3">
        <w:rPr>
          <w:sz w:val="22"/>
          <w:szCs w:val="22"/>
        </w:rPr>
        <w:t>životného prostredia,</w:t>
      </w:r>
    </w:p>
    <w:p w:rsidR="00DB79F5" w:rsidRPr="008D3AA3" w:rsidRDefault="00DB79F5" w:rsidP="00FE6025">
      <w:pPr>
        <w:pStyle w:val="Odsekzoznamu"/>
        <w:numPr>
          <w:ilvl w:val="0"/>
          <w:numId w:val="42"/>
        </w:numPr>
        <w:spacing w:before="120"/>
        <w:ind w:left="568" w:hanging="284"/>
        <w:contextualSpacing w:val="0"/>
        <w:jc w:val="both"/>
        <w:rPr>
          <w:sz w:val="22"/>
          <w:szCs w:val="22"/>
        </w:rPr>
      </w:pPr>
      <w:r w:rsidRPr="008D3AA3">
        <w:rPr>
          <w:sz w:val="22"/>
          <w:szCs w:val="22"/>
        </w:rPr>
        <w:t>pozitívnym faktorom infraštruktúry železničnej dopravy SR je rel</w:t>
      </w:r>
      <w:r>
        <w:rPr>
          <w:sz w:val="22"/>
          <w:szCs w:val="22"/>
        </w:rPr>
        <w:t>atívne vysoká hustota siete, čo </w:t>
      </w:r>
      <w:r w:rsidRPr="008D3AA3">
        <w:rPr>
          <w:sz w:val="22"/>
          <w:szCs w:val="22"/>
        </w:rPr>
        <w:t>spoločne s</w:t>
      </w:r>
      <w:r>
        <w:rPr>
          <w:sz w:val="22"/>
          <w:szCs w:val="22"/>
        </w:rPr>
        <w:t> </w:t>
      </w:r>
      <w:r w:rsidRPr="008D3AA3">
        <w:rPr>
          <w:sz w:val="22"/>
          <w:szCs w:val="22"/>
        </w:rPr>
        <w:t>vysokou hustotou železničných staníc a</w:t>
      </w:r>
      <w:r>
        <w:rPr>
          <w:sz w:val="22"/>
          <w:szCs w:val="22"/>
        </w:rPr>
        <w:t> </w:t>
      </w:r>
      <w:r w:rsidRPr="008D3AA3">
        <w:rPr>
          <w:sz w:val="22"/>
          <w:szCs w:val="22"/>
        </w:rPr>
        <w:t>zastávok ponúka vhodné podmienk</w:t>
      </w:r>
      <w:r>
        <w:rPr>
          <w:sz w:val="22"/>
          <w:szCs w:val="22"/>
        </w:rPr>
        <w:t>y pre </w:t>
      </w:r>
      <w:r w:rsidRPr="008D3AA3">
        <w:rPr>
          <w:sz w:val="22"/>
          <w:szCs w:val="22"/>
        </w:rPr>
        <w:t xml:space="preserve">realizáciu </w:t>
      </w:r>
      <w:r>
        <w:rPr>
          <w:sz w:val="22"/>
          <w:szCs w:val="22"/>
        </w:rPr>
        <w:t xml:space="preserve">predovšetkým </w:t>
      </w:r>
      <w:r w:rsidRPr="008D3AA3">
        <w:rPr>
          <w:sz w:val="22"/>
          <w:szCs w:val="22"/>
        </w:rPr>
        <w:t>osobnej</w:t>
      </w:r>
      <w:r>
        <w:rPr>
          <w:sz w:val="22"/>
          <w:szCs w:val="22"/>
        </w:rPr>
        <w:t xml:space="preserve"> </w:t>
      </w:r>
      <w:r w:rsidRPr="008D3AA3">
        <w:rPr>
          <w:sz w:val="22"/>
          <w:szCs w:val="22"/>
        </w:rPr>
        <w:t>dopravy. Rozvoj infraš</w:t>
      </w:r>
      <w:r>
        <w:rPr>
          <w:sz w:val="22"/>
          <w:szCs w:val="22"/>
        </w:rPr>
        <w:t>truktúry železničnej dopravy je </w:t>
      </w:r>
      <w:r w:rsidRPr="008D3AA3">
        <w:rPr>
          <w:sz w:val="22"/>
          <w:szCs w:val="22"/>
        </w:rPr>
        <w:t>preto uskutočniteľný hlavne cestou jej modernizácie, a</w:t>
      </w:r>
      <w:r>
        <w:rPr>
          <w:sz w:val="22"/>
          <w:szCs w:val="22"/>
        </w:rPr>
        <w:t> </w:t>
      </w:r>
      <w:r w:rsidRPr="008D3AA3">
        <w:rPr>
          <w:sz w:val="22"/>
          <w:szCs w:val="22"/>
        </w:rPr>
        <w:t>to najmä na hlavných medzinárodných koridoroch a</w:t>
      </w:r>
      <w:r>
        <w:rPr>
          <w:sz w:val="22"/>
          <w:szCs w:val="22"/>
        </w:rPr>
        <w:t> </w:t>
      </w:r>
      <w:r w:rsidRPr="008D3AA3">
        <w:rPr>
          <w:sz w:val="22"/>
          <w:szCs w:val="22"/>
        </w:rPr>
        <w:t>vo veľkých aglomeráciách,</w:t>
      </w:r>
    </w:p>
    <w:p w:rsidR="00DB79F5" w:rsidRPr="0044578F" w:rsidRDefault="00DB79F5" w:rsidP="00FE6025">
      <w:pPr>
        <w:pStyle w:val="Odsekzoznamu"/>
        <w:numPr>
          <w:ilvl w:val="0"/>
          <w:numId w:val="42"/>
        </w:numPr>
        <w:spacing w:before="120"/>
        <w:ind w:left="568" w:hanging="284"/>
        <w:contextualSpacing w:val="0"/>
        <w:jc w:val="both"/>
        <w:rPr>
          <w:sz w:val="22"/>
          <w:szCs w:val="22"/>
        </w:rPr>
      </w:pPr>
      <w:r w:rsidRPr="0044578F">
        <w:rPr>
          <w:sz w:val="22"/>
          <w:szCs w:val="22"/>
        </w:rPr>
        <w:t>prostredníctvom aktivít zameraných na podporu udržateľnej mestskej mobility je možné prispieť k efektívnejšiemu využívaniu energetických zdrojov a k znižovaniu negatívnych vplyvov (emisie, hluk) na životné prostredie,</w:t>
      </w:r>
    </w:p>
    <w:p w:rsidR="00DB79F5" w:rsidRPr="008D3AA3" w:rsidRDefault="00DB79F5" w:rsidP="00FE6025">
      <w:pPr>
        <w:pStyle w:val="Odsekzoznamu"/>
        <w:numPr>
          <w:ilvl w:val="0"/>
          <w:numId w:val="42"/>
        </w:numPr>
        <w:spacing w:before="120"/>
        <w:ind w:left="568" w:hanging="284"/>
        <w:contextualSpacing w:val="0"/>
        <w:jc w:val="both"/>
        <w:rPr>
          <w:sz w:val="22"/>
          <w:szCs w:val="22"/>
        </w:rPr>
      </w:pPr>
      <w:r w:rsidRPr="008D3AA3">
        <w:rPr>
          <w:sz w:val="22"/>
          <w:szCs w:val="22"/>
        </w:rPr>
        <w:lastRenderedPageBreak/>
        <w:t>efektívnejšie využívanie zdrojov, znižovanie prepravnej náročnosti a</w:t>
      </w:r>
      <w:r>
        <w:rPr>
          <w:sz w:val="22"/>
          <w:szCs w:val="22"/>
        </w:rPr>
        <w:t> odstraňovanie prekážok na </w:t>
      </w:r>
      <w:r w:rsidRPr="008D3AA3">
        <w:rPr>
          <w:sz w:val="22"/>
          <w:szCs w:val="22"/>
        </w:rPr>
        <w:t>sieťach negatívne vplývajúcich na odvetvie hospodárstva a</w:t>
      </w:r>
      <w:r>
        <w:rPr>
          <w:sz w:val="22"/>
          <w:szCs w:val="22"/>
        </w:rPr>
        <w:t> životné podmienky obyvateľov je </w:t>
      </w:r>
      <w:r w:rsidRPr="008D3AA3">
        <w:rPr>
          <w:sz w:val="22"/>
          <w:szCs w:val="22"/>
        </w:rPr>
        <w:t>možné podporiť taktiež intervenčnými zásahmi do ciest I. triedy, t. j. výstavbou obchvatov miest a</w:t>
      </w:r>
      <w:r>
        <w:rPr>
          <w:sz w:val="22"/>
          <w:szCs w:val="22"/>
        </w:rPr>
        <w:t> </w:t>
      </w:r>
      <w:r w:rsidRPr="008D3AA3">
        <w:rPr>
          <w:sz w:val="22"/>
          <w:szCs w:val="22"/>
        </w:rPr>
        <w:t>obcí, stavebno-technickými úpravami, zvýšením kapacity úsekov, odstraňovaním kritických nehodových lokalít a</w:t>
      </w:r>
      <w:r>
        <w:rPr>
          <w:sz w:val="22"/>
          <w:szCs w:val="22"/>
        </w:rPr>
        <w:t> </w:t>
      </w:r>
      <w:r w:rsidRPr="008D3AA3">
        <w:rPr>
          <w:sz w:val="22"/>
          <w:szCs w:val="22"/>
        </w:rPr>
        <w:t>kolíznych bodov, uplat</w:t>
      </w:r>
      <w:r>
        <w:rPr>
          <w:sz w:val="22"/>
          <w:szCs w:val="22"/>
        </w:rPr>
        <w:t>ňovaním dopravnej telematiky na </w:t>
      </w:r>
      <w:r w:rsidRPr="008D3AA3">
        <w:rPr>
          <w:sz w:val="22"/>
          <w:szCs w:val="22"/>
        </w:rPr>
        <w:t>manažment prevádzky a</w:t>
      </w:r>
      <w:r>
        <w:rPr>
          <w:sz w:val="22"/>
          <w:szCs w:val="22"/>
        </w:rPr>
        <w:t> </w:t>
      </w:r>
      <w:r w:rsidRPr="008D3AA3">
        <w:rPr>
          <w:sz w:val="22"/>
          <w:szCs w:val="22"/>
        </w:rPr>
        <w:t>pod.,</w:t>
      </w:r>
    </w:p>
    <w:p w:rsidR="00DB79F5" w:rsidRPr="00F4783D" w:rsidRDefault="00DB79F5" w:rsidP="00FE6025">
      <w:pPr>
        <w:pStyle w:val="Odsekzoznamu"/>
        <w:numPr>
          <w:ilvl w:val="0"/>
          <w:numId w:val="42"/>
        </w:numPr>
        <w:spacing w:before="120"/>
        <w:ind w:left="568" w:hanging="284"/>
        <w:contextualSpacing w:val="0"/>
        <w:jc w:val="both"/>
        <w:rPr>
          <w:sz w:val="22"/>
          <w:szCs w:val="22"/>
        </w:rPr>
      </w:pPr>
      <w:r w:rsidRPr="00F4783D">
        <w:rPr>
          <w:sz w:val="22"/>
          <w:szCs w:val="22"/>
        </w:rPr>
        <w:t>aktívnym prístupom orgánov verejnej správy k</w:t>
      </w:r>
      <w:r>
        <w:rPr>
          <w:sz w:val="22"/>
          <w:szCs w:val="22"/>
        </w:rPr>
        <w:t> </w:t>
      </w:r>
      <w:r w:rsidRPr="00F4783D">
        <w:rPr>
          <w:sz w:val="22"/>
          <w:szCs w:val="22"/>
        </w:rPr>
        <w:t>efe</w:t>
      </w:r>
      <w:r>
        <w:rPr>
          <w:sz w:val="22"/>
          <w:szCs w:val="22"/>
        </w:rPr>
        <w:t>ktívnemu odstráneniu negatívnych vplyvov</w:t>
      </w:r>
      <w:r w:rsidRPr="00F4783D">
        <w:rPr>
          <w:sz w:val="22"/>
          <w:szCs w:val="22"/>
        </w:rPr>
        <w:t xml:space="preserve"> rozvoja cestnej dopravy na široký okruh cestujúcej verejnosti pôsobiť na zvyšovanie bezpečnosti cestnej premávky,</w:t>
      </w:r>
    </w:p>
    <w:p w:rsidR="00DB79F5" w:rsidRDefault="00DB79F5" w:rsidP="00FE6025">
      <w:pPr>
        <w:pStyle w:val="Odsekzoznamu"/>
        <w:numPr>
          <w:ilvl w:val="0"/>
          <w:numId w:val="42"/>
        </w:numPr>
        <w:spacing w:before="120"/>
        <w:ind w:left="568" w:hanging="284"/>
        <w:contextualSpacing w:val="0"/>
        <w:jc w:val="both"/>
        <w:rPr>
          <w:sz w:val="22"/>
          <w:szCs w:val="22"/>
        </w:rPr>
      </w:pPr>
      <w:r w:rsidRPr="00771652">
        <w:rPr>
          <w:sz w:val="22"/>
          <w:szCs w:val="22"/>
        </w:rPr>
        <w:t>dlhodobo zanedbávaná modernizácia mobilných prostriedkov železničnej osobnej príme</w:t>
      </w:r>
      <w:r>
        <w:rPr>
          <w:sz w:val="22"/>
          <w:szCs w:val="22"/>
        </w:rPr>
        <w:t>stskej a </w:t>
      </w:r>
      <w:r w:rsidRPr="00771652">
        <w:rPr>
          <w:sz w:val="22"/>
          <w:szCs w:val="22"/>
        </w:rPr>
        <w:t>regionálnej dopravy, ako aj mestskej hromadnej dopravy umožní v synergii s realizáciou organizačných a prevádzkových opatrení a výstavbou a modernizáciou súvisiacej dopravnej infraštruktúry ponúknuť cestujúcej verejnosti dopravný systém spĺňajúci základné kvalitatívne parametre podporujúce efektívne zabezpečenie základnej dopravnej obsluhy v najväčších aglomeráciách. Tento prístup vytvorí podmienky pre efektívne využívanie verejných prostriedkov alokovaných v štátnom rozpočte a rozpočte samosprávn</w:t>
      </w:r>
      <w:r>
        <w:rPr>
          <w:sz w:val="22"/>
          <w:szCs w:val="22"/>
        </w:rPr>
        <w:t>ych krajov a miest na </w:t>
      </w:r>
      <w:r w:rsidRPr="00771652">
        <w:rPr>
          <w:sz w:val="22"/>
          <w:szCs w:val="22"/>
        </w:rPr>
        <w:t>zabezpečenie výkonov verejnej osobnej dopravy,</w:t>
      </w:r>
    </w:p>
    <w:p w:rsidR="00DB79F5" w:rsidRDefault="00DB79F5" w:rsidP="00FE6025">
      <w:pPr>
        <w:pStyle w:val="Odsekzoznamu"/>
        <w:numPr>
          <w:ilvl w:val="0"/>
          <w:numId w:val="42"/>
        </w:numPr>
        <w:spacing w:before="120"/>
        <w:ind w:left="568" w:hanging="284"/>
        <w:contextualSpacing w:val="0"/>
        <w:jc w:val="both"/>
        <w:rPr>
          <w:sz w:val="22"/>
          <w:szCs w:val="22"/>
        </w:rPr>
      </w:pPr>
      <w:r>
        <w:rPr>
          <w:sz w:val="22"/>
          <w:szCs w:val="22"/>
        </w:rPr>
        <w:t>s</w:t>
      </w:r>
      <w:r w:rsidRPr="008A68DB">
        <w:rPr>
          <w:sz w:val="22"/>
          <w:szCs w:val="22"/>
        </w:rPr>
        <w:t>ystematicky zvyšovať prístupnosť dopravných prostriedkov a dopravnej infraštruktúry prostredníctvom zvýšenia počtu bezbariérových vozidiel verejnej dopravy, v nových vozidlách zabezpečiť informačné systémy pre osoby so zrakovým postihnutím (hlasové oznamovanie zastávok) a informačné systémy pre osoby so sluchovým postihnutím (vizuálne zobrazovače). Dôležitým aspektom oblasti prístupnosti je aj systematické zvyšovanie prístupnosti autobusových staníc, železničných staníc, prístavov a</w:t>
      </w:r>
      <w:r>
        <w:rPr>
          <w:sz w:val="22"/>
          <w:szCs w:val="22"/>
        </w:rPr>
        <w:t> pod.,</w:t>
      </w:r>
    </w:p>
    <w:p w:rsidR="00DB79F5" w:rsidRPr="00E57693" w:rsidRDefault="00DB79F5" w:rsidP="00FE6025">
      <w:pPr>
        <w:pStyle w:val="Odsekzoznamu"/>
        <w:numPr>
          <w:ilvl w:val="0"/>
          <w:numId w:val="42"/>
        </w:numPr>
        <w:spacing w:before="120"/>
        <w:ind w:left="568" w:hanging="284"/>
        <w:contextualSpacing w:val="0"/>
        <w:jc w:val="both"/>
        <w:rPr>
          <w:sz w:val="22"/>
          <w:szCs w:val="22"/>
        </w:rPr>
      </w:pPr>
      <w:r w:rsidRPr="00E57693">
        <w:rPr>
          <w:sz w:val="22"/>
          <w:szCs w:val="22"/>
        </w:rPr>
        <w:t>zlepšením plavebných podmienok a</w:t>
      </w:r>
      <w:r>
        <w:rPr>
          <w:sz w:val="22"/>
          <w:szCs w:val="22"/>
        </w:rPr>
        <w:t> </w:t>
      </w:r>
      <w:r w:rsidRPr="00E57693">
        <w:rPr>
          <w:sz w:val="22"/>
          <w:szCs w:val="22"/>
        </w:rPr>
        <w:t>dobudovaním a</w:t>
      </w:r>
      <w:r>
        <w:rPr>
          <w:sz w:val="22"/>
          <w:szCs w:val="22"/>
        </w:rPr>
        <w:t> </w:t>
      </w:r>
      <w:r w:rsidRPr="00E57693">
        <w:rPr>
          <w:sz w:val="22"/>
          <w:szCs w:val="22"/>
        </w:rPr>
        <w:t>zmodernizovaním infraštruktúry verejných prístavov na Dunaji sa podnieti oživenie a</w:t>
      </w:r>
      <w:r>
        <w:rPr>
          <w:sz w:val="22"/>
          <w:szCs w:val="22"/>
        </w:rPr>
        <w:t> </w:t>
      </w:r>
      <w:r w:rsidRPr="00E57693">
        <w:rPr>
          <w:sz w:val="22"/>
          <w:szCs w:val="22"/>
        </w:rPr>
        <w:t xml:space="preserve">ďalší rozvoj vodnej dopravy, </w:t>
      </w:r>
      <w:r w:rsidR="00BE0B89">
        <w:rPr>
          <w:sz w:val="22"/>
          <w:szCs w:val="22"/>
        </w:rPr>
        <w:t xml:space="preserve">sa </w:t>
      </w:r>
      <w:r w:rsidRPr="00E57693">
        <w:rPr>
          <w:sz w:val="22"/>
          <w:szCs w:val="22"/>
        </w:rPr>
        <w:t>vytvoria podmienky pre rast prepravných výkonov, prispeje sa k</w:t>
      </w:r>
      <w:r>
        <w:rPr>
          <w:sz w:val="22"/>
          <w:szCs w:val="22"/>
        </w:rPr>
        <w:t> </w:t>
      </w:r>
      <w:r w:rsidRPr="00E57693">
        <w:rPr>
          <w:sz w:val="22"/>
          <w:szCs w:val="22"/>
        </w:rPr>
        <w:t>rozvoju hospodárstva a</w:t>
      </w:r>
      <w:r>
        <w:rPr>
          <w:sz w:val="22"/>
          <w:szCs w:val="22"/>
        </w:rPr>
        <w:t> </w:t>
      </w:r>
      <w:r w:rsidRPr="00E57693">
        <w:rPr>
          <w:sz w:val="22"/>
          <w:szCs w:val="22"/>
        </w:rPr>
        <w:t>zamestnanosti, pričom plánované aktivity budú mať priaznivý vplyv predovšetkým na celý priľahlý podunajský región. Zároveň podporou vodnej dopravy dôjde k</w:t>
      </w:r>
      <w:r>
        <w:rPr>
          <w:sz w:val="22"/>
          <w:szCs w:val="22"/>
        </w:rPr>
        <w:t> </w:t>
      </w:r>
      <w:r w:rsidRPr="00E57693">
        <w:rPr>
          <w:sz w:val="22"/>
          <w:szCs w:val="22"/>
        </w:rPr>
        <w:t>rozvoju bezpečného a</w:t>
      </w:r>
      <w:r>
        <w:rPr>
          <w:sz w:val="22"/>
          <w:szCs w:val="22"/>
        </w:rPr>
        <w:t> </w:t>
      </w:r>
      <w:r w:rsidRPr="00E57693">
        <w:rPr>
          <w:sz w:val="22"/>
          <w:szCs w:val="22"/>
        </w:rPr>
        <w:t>environmentálne priaznivého dopravného módu.</w:t>
      </w:r>
    </w:p>
    <w:p w:rsidR="00DB79F5" w:rsidRDefault="00DB79F5" w:rsidP="00A11F69">
      <w:pPr>
        <w:pStyle w:val="tl2"/>
        <w:tabs>
          <w:tab w:val="clear" w:pos="709"/>
          <w:tab w:val="clear" w:pos="864"/>
        </w:tabs>
        <w:ind w:left="851" w:hanging="851"/>
        <w:jc w:val="both"/>
      </w:pPr>
      <w:r>
        <w:t>Prepojenie stratégie OPII s plnením stratégie Európa 2020 a medzinárodných strategických dokumentov definujúcich vývoj sektora doprava</w:t>
      </w:r>
    </w:p>
    <w:p w:rsidR="00DB79F5" w:rsidRPr="00CE0038" w:rsidRDefault="00DB79F5" w:rsidP="00DB79F5">
      <w:pPr>
        <w:spacing w:before="180" w:after="120"/>
        <w:jc w:val="both"/>
        <w:rPr>
          <w:sz w:val="22"/>
          <w:szCs w:val="22"/>
          <w:u w:val="single"/>
        </w:rPr>
      </w:pPr>
      <w:r>
        <w:rPr>
          <w:sz w:val="22"/>
          <w:szCs w:val="22"/>
          <w:u w:val="single"/>
        </w:rPr>
        <w:t>Stratégia Európa 2020</w:t>
      </w:r>
    </w:p>
    <w:p w:rsidR="00B67201" w:rsidRDefault="00B67201" w:rsidP="00B67201">
      <w:pPr>
        <w:spacing w:before="120" w:after="120"/>
        <w:jc w:val="both"/>
        <w:rPr>
          <w:sz w:val="22"/>
          <w:szCs w:val="22"/>
        </w:rPr>
      </w:pPr>
      <w:r>
        <w:rPr>
          <w:sz w:val="22"/>
          <w:szCs w:val="22"/>
        </w:rPr>
        <w:t xml:space="preserve">Stratégia Európa 2020 je tematicky postavená na 3 prioritách, 5 cieľoch a 7 hlavných iniciatívach. Stratégia OPII má oporu v jednej z priorít Stratégie Európa 2020 - </w:t>
      </w:r>
      <w:r w:rsidRPr="008D3AA3">
        <w:rPr>
          <w:b/>
          <w:i/>
          <w:sz w:val="22"/>
          <w:szCs w:val="22"/>
        </w:rPr>
        <w:t>Udržateľný rast: podpora ekologickejšieho a</w:t>
      </w:r>
      <w:r>
        <w:rPr>
          <w:b/>
          <w:i/>
          <w:sz w:val="22"/>
          <w:szCs w:val="22"/>
        </w:rPr>
        <w:t> </w:t>
      </w:r>
      <w:r w:rsidRPr="008D3AA3">
        <w:rPr>
          <w:b/>
          <w:i/>
          <w:sz w:val="22"/>
          <w:szCs w:val="22"/>
        </w:rPr>
        <w:t>konkurencieschopnejšieho hospodárstva, ktoré efektívnejšie využíva zdroje</w:t>
      </w:r>
      <w:r>
        <w:rPr>
          <w:sz w:val="22"/>
          <w:szCs w:val="22"/>
        </w:rPr>
        <w:t>. S touto prioritou súvisí iniciatíva „</w:t>
      </w:r>
      <w:r w:rsidRPr="00C0629B">
        <w:rPr>
          <w:i/>
          <w:sz w:val="22"/>
          <w:szCs w:val="22"/>
        </w:rPr>
        <w:t>Európa efektívne využívajúca zdroje</w:t>
      </w:r>
      <w:r>
        <w:rPr>
          <w:sz w:val="22"/>
          <w:szCs w:val="22"/>
        </w:rPr>
        <w:t>“ zameraná o.i. na modernizáciu odvetvia dopravy, na podporu prechodu smerom k nízkouhlíkovému hospodárstvu a podporu energetickej účinnosti. Úsilie je zamerané predovšetkým na:</w:t>
      </w:r>
    </w:p>
    <w:p w:rsidR="00B67201" w:rsidRDefault="00B67201" w:rsidP="00B67201">
      <w:pPr>
        <w:pStyle w:val="Odsekzoznamu"/>
        <w:numPr>
          <w:ilvl w:val="0"/>
          <w:numId w:val="43"/>
        </w:numPr>
        <w:ind w:left="567" w:hanging="283"/>
        <w:contextualSpacing w:val="0"/>
        <w:jc w:val="both"/>
        <w:rPr>
          <w:sz w:val="22"/>
          <w:szCs w:val="22"/>
        </w:rPr>
      </w:pPr>
      <w:r w:rsidRPr="00C0629B">
        <w:rPr>
          <w:sz w:val="22"/>
          <w:szCs w:val="22"/>
        </w:rPr>
        <w:t>zníženie emisií uhlíka v odvetví dopravy s cieľom prispieť k zvýšenej konkurencieschopnosti</w:t>
      </w:r>
      <w:r>
        <w:rPr>
          <w:sz w:val="22"/>
          <w:szCs w:val="22"/>
        </w:rPr>
        <w:t>;</w:t>
      </w:r>
    </w:p>
    <w:p w:rsidR="00B67201" w:rsidRDefault="00B67201" w:rsidP="00B67201">
      <w:pPr>
        <w:pStyle w:val="Odsekzoznamu"/>
        <w:numPr>
          <w:ilvl w:val="0"/>
          <w:numId w:val="43"/>
        </w:numPr>
        <w:ind w:left="567" w:hanging="283"/>
        <w:contextualSpacing w:val="0"/>
        <w:jc w:val="both"/>
        <w:rPr>
          <w:sz w:val="22"/>
          <w:szCs w:val="22"/>
        </w:rPr>
      </w:pPr>
      <w:r w:rsidRPr="00C46F49">
        <w:rPr>
          <w:sz w:val="22"/>
          <w:szCs w:val="22"/>
        </w:rPr>
        <w:t>realizáci</w:t>
      </w:r>
      <w:r>
        <w:rPr>
          <w:sz w:val="22"/>
          <w:szCs w:val="22"/>
        </w:rPr>
        <w:t>u</w:t>
      </w:r>
      <w:r w:rsidRPr="00C0629B">
        <w:rPr>
          <w:sz w:val="22"/>
          <w:szCs w:val="22"/>
        </w:rPr>
        <w:t xml:space="preserve"> strategických projektov s vysokou európskou pridanou hodnotou na riešenie kritických prekážok, najmä pokiaľ ide o cezhraničné úseky a intermodálne uzly (mestá, prístavy, logistické platformy)</w:t>
      </w:r>
      <w:r>
        <w:rPr>
          <w:sz w:val="22"/>
          <w:szCs w:val="22"/>
        </w:rPr>
        <w:t>;</w:t>
      </w:r>
    </w:p>
    <w:p w:rsidR="00B67201" w:rsidRDefault="00B67201" w:rsidP="00B67201">
      <w:pPr>
        <w:pStyle w:val="Odsekzoznamu"/>
        <w:numPr>
          <w:ilvl w:val="0"/>
          <w:numId w:val="43"/>
        </w:numPr>
        <w:ind w:left="567" w:hanging="283"/>
        <w:contextualSpacing w:val="0"/>
        <w:jc w:val="both"/>
        <w:rPr>
          <w:sz w:val="22"/>
          <w:szCs w:val="22"/>
        </w:rPr>
      </w:pPr>
      <w:r w:rsidRPr="00C0629B">
        <w:rPr>
          <w:sz w:val="22"/>
          <w:szCs w:val="22"/>
        </w:rPr>
        <w:t>iniciatívy zamerané na modernizáciu európskych sietí.</w:t>
      </w:r>
    </w:p>
    <w:p w:rsidR="00DB79F5" w:rsidRPr="00CE0038" w:rsidRDefault="00DB79F5" w:rsidP="00DB79F5">
      <w:pPr>
        <w:spacing w:before="120" w:after="120"/>
        <w:jc w:val="both"/>
        <w:rPr>
          <w:sz w:val="22"/>
          <w:szCs w:val="22"/>
        </w:rPr>
      </w:pPr>
      <w:r w:rsidRPr="00CE0038">
        <w:rPr>
          <w:sz w:val="22"/>
          <w:szCs w:val="22"/>
        </w:rPr>
        <w:t>Rešpektujúc cieľ maximalizácie efektívnosti vynaložených zdrojov budú v</w:t>
      </w:r>
      <w:r>
        <w:rPr>
          <w:sz w:val="22"/>
          <w:szCs w:val="22"/>
        </w:rPr>
        <w:t> </w:t>
      </w:r>
      <w:r w:rsidRPr="00CE0038">
        <w:rPr>
          <w:sz w:val="22"/>
          <w:szCs w:val="22"/>
        </w:rPr>
        <w:t>rámci OP</w:t>
      </w:r>
      <w:r w:rsidR="00B67201">
        <w:rPr>
          <w:sz w:val="22"/>
          <w:szCs w:val="22"/>
        </w:rPr>
        <w:t>II realizované len </w:t>
      </w:r>
      <w:r w:rsidRPr="00CE0038">
        <w:rPr>
          <w:sz w:val="22"/>
          <w:szCs w:val="22"/>
        </w:rPr>
        <w:t>priority najväčšieho významu, ktoré prispejú k</w:t>
      </w:r>
      <w:r>
        <w:rPr>
          <w:sz w:val="22"/>
          <w:szCs w:val="22"/>
        </w:rPr>
        <w:t> </w:t>
      </w:r>
      <w:r w:rsidRPr="00CE0038">
        <w:rPr>
          <w:sz w:val="22"/>
          <w:szCs w:val="22"/>
        </w:rPr>
        <w:t>plneniu stratégie Európa 2020, konkrétne k</w:t>
      </w:r>
      <w:r>
        <w:rPr>
          <w:sz w:val="22"/>
          <w:szCs w:val="22"/>
        </w:rPr>
        <w:t> </w:t>
      </w:r>
      <w:r w:rsidRPr="00CE0038">
        <w:rPr>
          <w:sz w:val="22"/>
          <w:szCs w:val="22"/>
        </w:rPr>
        <w:t>týmto jej zámerom:</w:t>
      </w:r>
    </w:p>
    <w:p w:rsidR="00DB79F5" w:rsidRPr="00CE0038" w:rsidRDefault="00DB79F5" w:rsidP="00FE6025">
      <w:pPr>
        <w:pStyle w:val="Odsekzoznamu"/>
        <w:numPr>
          <w:ilvl w:val="0"/>
          <w:numId w:val="43"/>
        </w:numPr>
        <w:ind w:left="567" w:hanging="283"/>
        <w:contextualSpacing w:val="0"/>
        <w:jc w:val="both"/>
        <w:rPr>
          <w:sz w:val="22"/>
          <w:szCs w:val="22"/>
        </w:rPr>
      </w:pPr>
      <w:r w:rsidRPr="00CE0038">
        <w:rPr>
          <w:sz w:val="22"/>
          <w:szCs w:val="22"/>
        </w:rPr>
        <w:t>do roku 2020 znížiť emisie skleníkových plynov najmenej o</w:t>
      </w:r>
      <w:r>
        <w:rPr>
          <w:sz w:val="22"/>
          <w:szCs w:val="22"/>
        </w:rPr>
        <w:t> </w:t>
      </w:r>
      <w:r w:rsidR="00D5177B">
        <w:rPr>
          <w:sz w:val="22"/>
          <w:szCs w:val="22"/>
        </w:rPr>
        <w:t>20 %, zvýšiť podiel</w:t>
      </w:r>
      <w:r w:rsidRPr="00CE0038">
        <w:rPr>
          <w:sz w:val="22"/>
          <w:szCs w:val="22"/>
        </w:rPr>
        <w:t xml:space="preserve"> obnoviteľných zdrojov na skladbe zdrojov v</w:t>
      </w:r>
      <w:r>
        <w:rPr>
          <w:sz w:val="22"/>
          <w:szCs w:val="22"/>
        </w:rPr>
        <w:t> </w:t>
      </w:r>
      <w:r w:rsidRPr="00CE0038">
        <w:rPr>
          <w:sz w:val="22"/>
          <w:szCs w:val="22"/>
        </w:rPr>
        <w:t>konečnej spotrebe energie EÚ na 20 % a</w:t>
      </w:r>
      <w:r>
        <w:rPr>
          <w:sz w:val="22"/>
          <w:szCs w:val="22"/>
        </w:rPr>
        <w:t> </w:t>
      </w:r>
      <w:r w:rsidR="00D5177B">
        <w:rPr>
          <w:sz w:val="22"/>
          <w:szCs w:val="22"/>
        </w:rPr>
        <w:t>zvýšiť energetickú účinnosť</w:t>
      </w:r>
      <w:r w:rsidRPr="00CE0038">
        <w:rPr>
          <w:sz w:val="22"/>
          <w:szCs w:val="22"/>
        </w:rPr>
        <w:t xml:space="preserve"> o</w:t>
      </w:r>
      <w:r>
        <w:rPr>
          <w:sz w:val="22"/>
          <w:szCs w:val="22"/>
        </w:rPr>
        <w:t> </w:t>
      </w:r>
      <w:r w:rsidRPr="00CE0038">
        <w:rPr>
          <w:sz w:val="22"/>
          <w:szCs w:val="22"/>
        </w:rPr>
        <w:t>20 %. K</w:t>
      </w:r>
      <w:r>
        <w:rPr>
          <w:sz w:val="22"/>
          <w:szCs w:val="22"/>
        </w:rPr>
        <w:t> </w:t>
      </w:r>
      <w:r w:rsidRPr="00CE0038">
        <w:rPr>
          <w:sz w:val="22"/>
          <w:szCs w:val="22"/>
        </w:rPr>
        <w:t xml:space="preserve">tomuto zámeru bude </w:t>
      </w:r>
      <w:r>
        <w:rPr>
          <w:sz w:val="22"/>
          <w:szCs w:val="22"/>
        </w:rPr>
        <w:t>OPII</w:t>
      </w:r>
      <w:r w:rsidRPr="00CE0038">
        <w:rPr>
          <w:sz w:val="22"/>
          <w:szCs w:val="22"/>
        </w:rPr>
        <w:t xml:space="preserve"> prispievať najmä plnením definovaných špecifických cieľ</w:t>
      </w:r>
      <w:r>
        <w:rPr>
          <w:sz w:val="22"/>
          <w:szCs w:val="22"/>
        </w:rPr>
        <w:t>ov prioritných osí 1, 3, 4, a 5,</w:t>
      </w:r>
    </w:p>
    <w:p w:rsidR="00DB79F5" w:rsidRPr="00CE0038" w:rsidRDefault="00D5177B" w:rsidP="00FE6025">
      <w:pPr>
        <w:pStyle w:val="Odsekzoznamu"/>
        <w:numPr>
          <w:ilvl w:val="0"/>
          <w:numId w:val="43"/>
        </w:numPr>
        <w:spacing w:before="120"/>
        <w:ind w:left="568" w:hanging="284"/>
        <w:contextualSpacing w:val="0"/>
        <w:jc w:val="both"/>
        <w:rPr>
          <w:sz w:val="22"/>
          <w:szCs w:val="22"/>
        </w:rPr>
      </w:pPr>
      <w:r>
        <w:rPr>
          <w:sz w:val="22"/>
          <w:szCs w:val="22"/>
        </w:rPr>
        <w:lastRenderedPageBreak/>
        <w:t>zaviesť inteligentné dopravné systémy, zefektívniť dopravné a logistické služby, znížiť emisie</w:t>
      </w:r>
      <w:r w:rsidR="00DB79F5" w:rsidRPr="00CE0038">
        <w:rPr>
          <w:sz w:val="22"/>
          <w:szCs w:val="22"/>
        </w:rPr>
        <w:t xml:space="preserve"> CO</w:t>
      </w:r>
      <w:r w:rsidR="00DB79F5" w:rsidRPr="00CE0038">
        <w:rPr>
          <w:sz w:val="22"/>
          <w:szCs w:val="22"/>
          <w:vertAlign w:val="subscript"/>
        </w:rPr>
        <w:t>2</w:t>
      </w:r>
      <w:r w:rsidR="00DB79F5" w:rsidRPr="00CE0038">
        <w:rPr>
          <w:sz w:val="22"/>
          <w:szCs w:val="22"/>
        </w:rPr>
        <w:t xml:space="preserve"> osobných vozidiel. K</w:t>
      </w:r>
      <w:r w:rsidR="00DB79F5">
        <w:rPr>
          <w:sz w:val="22"/>
          <w:szCs w:val="22"/>
        </w:rPr>
        <w:t> </w:t>
      </w:r>
      <w:r w:rsidR="00DB79F5" w:rsidRPr="00CE0038">
        <w:rPr>
          <w:sz w:val="22"/>
          <w:szCs w:val="22"/>
        </w:rPr>
        <w:t xml:space="preserve">tomuto zámeru bude </w:t>
      </w:r>
      <w:r w:rsidR="00DB79F5">
        <w:rPr>
          <w:sz w:val="22"/>
          <w:szCs w:val="22"/>
        </w:rPr>
        <w:t>OPII</w:t>
      </w:r>
      <w:r w:rsidR="00DB79F5" w:rsidRPr="00CE0038">
        <w:rPr>
          <w:sz w:val="22"/>
          <w:szCs w:val="22"/>
        </w:rPr>
        <w:t xml:space="preserve"> prispievať najmä plnením definovaných špecifických cieľov </w:t>
      </w:r>
      <w:r w:rsidR="00DB79F5">
        <w:rPr>
          <w:sz w:val="22"/>
          <w:szCs w:val="22"/>
        </w:rPr>
        <w:t>prioritných osí 1, 2, 3, 4, a 5,</w:t>
      </w:r>
    </w:p>
    <w:p w:rsidR="00DB79F5" w:rsidRPr="00CE0038" w:rsidRDefault="00DB79F5" w:rsidP="00FE6025">
      <w:pPr>
        <w:pStyle w:val="Odsekzoznamu"/>
        <w:numPr>
          <w:ilvl w:val="0"/>
          <w:numId w:val="43"/>
        </w:numPr>
        <w:spacing w:before="120"/>
        <w:ind w:left="568" w:hanging="284"/>
        <w:contextualSpacing w:val="0"/>
        <w:jc w:val="both"/>
        <w:rPr>
          <w:sz w:val="22"/>
          <w:szCs w:val="22"/>
        </w:rPr>
      </w:pPr>
      <w:r w:rsidRPr="00CE0038">
        <w:rPr>
          <w:sz w:val="22"/>
          <w:szCs w:val="22"/>
        </w:rPr>
        <w:t>urýchliť realizáciu strategických infraštruktúrnych projektov s</w:t>
      </w:r>
      <w:r>
        <w:rPr>
          <w:sz w:val="22"/>
          <w:szCs w:val="22"/>
        </w:rPr>
        <w:t> </w:t>
      </w:r>
      <w:r w:rsidRPr="00CE0038">
        <w:rPr>
          <w:sz w:val="22"/>
          <w:szCs w:val="22"/>
        </w:rPr>
        <w:t>cieľom odstraňovať zásadné prekážky, najmä v</w:t>
      </w:r>
      <w:r>
        <w:rPr>
          <w:sz w:val="22"/>
          <w:szCs w:val="22"/>
        </w:rPr>
        <w:t> </w:t>
      </w:r>
      <w:r w:rsidRPr="00CE0038">
        <w:rPr>
          <w:sz w:val="22"/>
          <w:szCs w:val="22"/>
        </w:rPr>
        <w:t>cezhraničnom styku a</w:t>
      </w:r>
      <w:r w:rsidR="00D5177B">
        <w:rPr>
          <w:sz w:val="22"/>
          <w:szCs w:val="22"/>
        </w:rPr>
        <w:t xml:space="preserve"> budovať</w:t>
      </w:r>
      <w:r>
        <w:rPr>
          <w:sz w:val="22"/>
          <w:szCs w:val="22"/>
        </w:rPr>
        <w:t> </w:t>
      </w:r>
      <w:r w:rsidRPr="00CE0038">
        <w:rPr>
          <w:sz w:val="22"/>
          <w:szCs w:val="22"/>
        </w:rPr>
        <w:t>intermodálne uzly. K</w:t>
      </w:r>
      <w:r>
        <w:rPr>
          <w:sz w:val="22"/>
          <w:szCs w:val="22"/>
        </w:rPr>
        <w:t> </w:t>
      </w:r>
      <w:r w:rsidRPr="00CE0038">
        <w:rPr>
          <w:sz w:val="22"/>
          <w:szCs w:val="22"/>
        </w:rPr>
        <w:t xml:space="preserve">tomuto zámeru bude </w:t>
      </w:r>
      <w:r>
        <w:rPr>
          <w:sz w:val="22"/>
          <w:szCs w:val="22"/>
        </w:rPr>
        <w:t>OPII</w:t>
      </w:r>
      <w:r w:rsidRPr="00CE0038">
        <w:rPr>
          <w:sz w:val="22"/>
          <w:szCs w:val="22"/>
        </w:rPr>
        <w:t xml:space="preserve"> prispievať najmä plnením definovaných špecifických cieľov prioritných osí 1,</w:t>
      </w:r>
      <w:r>
        <w:rPr>
          <w:sz w:val="22"/>
          <w:szCs w:val="22"/>
        </w:rPr>
        <w:t> 2 a 4,</w:t>
      </w:r>
    </w:p>
    <w:p w:rsidR="00DB79F5" w:rsidRPr="00CE0038" w:rsidRDefault="00DB79F5" w:rsidP="00FE6025">
      <w:pPr>
        <w:pStyle w:val="Odsekzoznamu"/>
        <w:numPr>
          <w:ilvl w:val="0"/>
          <w:numId w:val="43"/>
        </w:numPr>
        <w:spacing w:before="120"/>
        <w:ind w:left="568" w:hanging="284"/>
        <w:contextualSpacing w:val="0"/>
        <w:jc w:val="both"/>
        <w:rPr>
          <w:sz w:val="22"/>
          <w:szCs w:val="22"/>
        </w:rPr>
      </w:pPr>
      <w:r w:rsidRPr="00CE0038">
        <w:rPr>
          <w:sz w:val="22"/>
          <w:szCs w:val="22"/>
        </w:rPr>
        <w:t>na vnútroštátnej úrovni vyvinúť inteligentnú, zmodernizovanú a</w:t>
      </w:r>
      <w:r>
        <w:rPr>
          <w:sz w:val="22"/>
          <w:szCs w:val="22"/>
        </w:rPr>
        <w:t> </w:t>
      </w:r>
      <w:r w:rsidRPr="00CE0038">
        <w:rPr>
          <w:sz w:val="22"/>
          <w:szCs w:val="22"/>
        </w:rPr>
        <w:t>plne prepojenú dopravnú infraštruktúru. K</w:t>
      </w:r>
      <w:r>
        <w:rPr>
          <w:sz w:val="22"/>
          <w:szCs w:val="22"/>
        </w:rPr>
        <w:t> </w:t>
      </w:r>
      <w:r w:rsidRPr="00CE0038">
        <w:rPr>
          <w:sz w:val="22"/>
          <w:szCs w:val="22"/>
        </w:rPr>
        <w:t xml:space="preserve">tomuto zámeru bude </w:t>
      </w:r>
      <w:r>
        <w:rPr>
          <w:sz w:val="22"/>
          <w:szCs w:val="22"/>
        </w:rPr>
        <w:t>OPII</w:t>
      </w:r>
      <w:r w:rsidRPr="00CE0038">
        <w:rPr>
          <w:sz w:val="22"/>
          <w:szCs w:val="22"/>
        </w:rPr>
        <w:t xml:space="preserve"> prispievať najmä plnením definovaných špecifických cieľov</w:t>
      </w:r>
      <w:r>
        <w:rPr>
          <w:sz w:val="22"/>
          <w:szCs w:val="22"/>
        </w:rPr>
        <w:t xml:space="preserve"> prioritných osí 1, 2, 4, 5 a 6,</w:t>
      </w:r>
    </w:p>
    <w:p w:rsidR="00DB79F5" w:rsidRPr="00CE0038" w:rsidRDefault="00DB79F5" w:rsidP="00FE6025">
      <w:pPr>
        <w:pStyle w:val="Odsekzoznamu"/>
        <w:numPr>
          <w:ilvl w:val="0"/>
          <w:numId w:val="43"/>
        </w:numPr>
        <w:spacing w:before="120"/>
        <w:ind w:left="567" w:hanging="283"/>
        <w:contextualSpacing w:val="0"/>
        <w:jc w:val="both"/>
        <w:rPr>
          <w:sz w:val="22"/>
          <w:szCs w:val="22"/>
        </w:rPr>
      </w:pPr>
      <w:r w:rsidRPr="00CE0038">
        <w:rPr>
          <w:sz w:val="22"/>
          <w:szCs w:val="22"/>
        </w:rPr>
        <w:t>zamerať sa na mestský rozmer dopravy, kde vzniká značná časť dopravného preťaženia a</w:t>
      </w:r>
      <w:r>
        <w:rPr>
          <w:sz w:val="22"/>
          <w:szCs w:val="22"/>
        </w:rPr>
        <w:t> </w:t>
      </w:r>
      <w:r w:rsidRPr="00CE0038">
        <w:rPr>
          <w:sz w:val="22"/>
          <w:szCs w:val="22"/>
        </w:rPr>
        <w:t>emisií. K</w:t>
      </w:r>
      <w:r>
        <w:rPr>
          <w:sz w:val="22"/>
          <w:szCs w:val="22"/>
        </w:rPr>
        <w:t> </w:t>
      </w:r>
      <w:r w:rsidRPr="00CE0038">
        <w:rPr>
          <w:sz w:val="22"/>
          <w:szCs w:val="22"/>
        </w:rPr>
        <w:t xml:space="preserve">tomuto zámeru bude </w:t>
      </w:r>
      <w:r>
        <w:rPr>
          <w:sz w:val="22"/>
          <w:szCs w:val="22"/>
        </w:rPr>
        <w:t>OPII</w:t>
      </w:r>
      <w:r w:rsidRPr="00CE0038">
        <w:rPr>
          <w:sz w:val="22"/>
          <w:szCs w:val="22"/>
        </w:rPr>
        <w:t xml:space="preserve"> prispievať najmä plnením definovaných špecifických cieľov prioritných </w:t>
      </w:r>
      <w:r w:rsidRPr="00541EFD">
        <w:rPr>
          <w:sz w:val="22"/>
          <w:szCs w:val="22"/>
        </w:rPr>
        <w:t>osí 3 a</w:t>
      </w:r>
      <w:r>
        <w:rPr>
          <w:sz w:val="22"/>
          <w:szCs w:val="22"/>
        </w:rPr>
        <w:t> </w:t>
      </w:r>
      <w:r w:rsidRPr="00541EFD">
        <w:rPr>
          <w:sz w:val="22"/>
          <w:szCs w:val="22"/>
        </w:rPr>
        <w:t>6.</w:t>
      </w:r>
    </w:p>
    <w:p w:rsidR="00DB79F5" w:rsidRDefault="00DB79F5" w:rsidP="00DB79F5">
      <w:pPr>
        <w:spacing w:before="240" w:after="120"/>
        <w:jc w:val="both"/>
        <w:rPr>
          <w:sz w:val="22"/>
          <w:szCs w:val="22"/>
        </w:rPr>
      </w:pPr>
      <w:r w:rsidRPr="00E73D2B">
        <w:rPr>
          <w:sz w:val="22"/>
          <w:szCs w:val="22"/>
        </w:rPr>
        <w:t xml:space="preserve">Rámec pre implementáciu stratégie Európa 2020 na úrovni členských štátov stanovuje dokument </w:t>
      </w:r>
      <w:r>
        <w:rPr>
          <w:sz w:val="22"/>
          <w:szCs w:val="22"/>
        </w:rPr>
        <w:t>„</w:t>
      </w:r>
      <w:r w:rsidRPr="00E73D2B">
        <w:rPr>
          <w:sz w:val="22"/>
          <w:szCs w:val="22"/>
        </w:rPr>
        <w:t>Integrované usmernenia stratégie Európa 2020</w:t>
      </w:r>
      <w:r>
        <w:rPr>
          <w:sz w:val="22"/>
          <w:szCs w:val="22"/>
        </w:rPr>
        <w:t>“</w:t>
      </w:r>
      <w:r w:rsidRPr="00E73D2B">
        <w:rPr>
          <w:sz w:val="22"/>
          <w:szCs w:val="22"/>
        </w:rPr>
        <w:t>. Ciele stanovené v</w:t>
      </w:r>
      <w:r>
        <w:rPr>
          <w:sz w:val="22"/>
          <w:szCs w:val="22"/>
        </w:rPr>
        <w:t> </w:t>
      </w:r>
      <w:r w:rsidRPr="00E73D2B">
        <w:rPr>
          <w:sz w:val="22"/>
          <w:szCs w:val="22"/>
        </w:rPr>
        <w:t>OPII sú v</w:t>
      </w:r>
      <w:r>
        <w:rPr>
          <w:sz w:val="22"/>
          <w:szCs w:val="22"/>
        </w:rPr>
        <w:t> </w:t>
      </w:r>
      <w:r w:rsidRPr="00E73D2B">
        <w:rPr>
          <w:sz w:val="22"/>
          <w:szCs w:val="22"/>
        </w:rPr>
        <w:t>súlade so stratégiou tohto dokumentu a</w:t>
      </w:r>
      <w:r>
        <w:rPr>
          <w:sz w:val="22"/>
          <w:szCs w:val="22"/>
        </w:rPr>
        <w:t> </w:t>
      </w:r>
      <w:r w:rsidRPr="00E73D2B">
        <w:rPr>
          <w:sz w:val="22"/>
          <w:szCs w:val="22"/>
        </w:rPr>
        <w:t>prispievajú k</w:t>
      </w:r>
      <w:r>
        <w:rPr>
          <w:sz w:val="22"/>
          <w:szCs w:val="22"/>
        </w:rPr>
        <w:t> napĺňaniu</w:t>
      </w:r>
      <w:r w:rsidRPr="00E73D2B">
        <w:rPr>
          <w:sz w:val="22"/>
          <w:szCs w:val="22"/>
        </w:rPr>
        <w:t xml:space="preserve"> cieľov: „Zlepšiť efektívnosť využívania zdrojov a</w:t>
      </w:r>
      <w:r>
        <w:rPr>
          <w:sz w:val="22"/>
          <w:szCs w:val="22"/>
        </w:rPr>
        <w:t> </w:t>
      </w:r>
      <w:r w:rsidRPr="00E73D2B">
        <w:rPr>
          <w:sz w:val="22"/>
          <w:szCs w:val="22"/>
        </w:rPr>
        <w:t>znížiť emisie skleníkových plynov“, „Zlepšiť podnikateľské a</w:t>
      </w:r>
      <w:r>
        <w:rPr>
          <w:sz w:val="22"/>
          <w:szCs w:val="22"/>
        </w:rPr>
        <w:t> </w:t>
      </w:r>
      <w:r w:rsidRPr="00E73D2B">
        <w:rPr>
          <w:sz w:val="22"/>
          <w:szCs w:val="22"/>
        </w:rPr>
        <w:t>spotrebiteľské prostredie a</w:t>
      </w:r>
      <w:r>
        <w:rPr>
          <w:sz w:val="22"/>
          <w:szCs w:val="22"/>
        </w:rPr>
        <w:t> </w:t>
      </w:r>
      <w:r w:rsidRPr="00E73D2B">
        <w:rPr>
          <w:sz w:val="22"/>
          <w:szCs w:val="22"/>
        </w:rPr>
        <w:t>modernizácia priemyselnej základne v</w:t>
      </w:r>
      <w:r>
        <w:rPr>
          <w:sz w:val="22"/>
          <w:szCs w:val="22"/>
        </w:rPr>
        <w:t> </w:t>
      </w:r>
      <w:r w:rsidRPr="00E73D2B">
        <w:rPr>
          <w:sz w:val="22"/>
          <w:szCs w:val="22"/>
        </w:rPr>
        <w:t>záujme zabezpečenia plného fungovania vnútorného trhu“ a</w:t>
      </w:r>
      <w:r>
        <w:rPr>
          <w:sz w:val="22"/>
          <w:szCs w:val="22"/>
        </w:rPr>
        <w:t> </w:t>
      </w:r>
      <w:r w:rsidRPr="00E73D2B">
        <w:rPr>
          <w:sz w:val="22"/>
          <w:szCs w:val="22"/>
        </w:rPr>
        <w:t>tiež cieľov zameriavajúcich sa na vzdelávanie a</w:t>
      </w:r>
      <w:r>
        <w:rPr>
          <w:sz w:val="22"/>
          <w:szCs w:val="22"/>
        </w:rPr>
        <w:t> </w:t>
      </w:r>
      <w:r w:rsidRPr="00E73D2B">
        <w:rPr>
          <w:sz w:val="22"/>
          <w:szCs w:val="22"/>
        </w:rPr>
        <w:t>trh práce. K</w:t>
      </w:r>
      <w:r>
        <w:rPr>
          <w:sz w:val="22"/>
          <w:szCs w:val="22"/>
        </w:rPr>
        <w:t> </w:t>
      </w:r>
      <w:r w:rsidRPr="00E73D2B">
        <w:rPr>
          <w:sz w:val="22"/>
          <w:szCs w:val="22"/>
        </w:rPr>
        <w:t xml:space="preserve">týmto zámerom bude </w:t>
      </w:r>
      <w:r w:rsidRPr="00D7324B">
        <w:rPr>
          <w:sz w:val="22"/>
          <w:szCs w:val="22"/>
        </w:rPr>
        <w:t>OPII</w:t>
      </w:r>
      <w:r w:rsidRPr="00E73D2B">
        <w:rPr>
          <w:sz w:val="22"/>
          <w:szCs w:val="22"/>
        </w:rPr>
        <w:t xml:space="preserve"> prispievať najmä plnením definovaných špecifických cieľov prioritných osí 1, 2, 3, 4, 5 a</w:t>
      </w:r>
      <w:r>
        <w:rPr>
          <w:sz w:val="22"/>
          <w:szCs w:val="22"/>
        </w:rPr>
        <w:t> </w:t>
      </w:r>
      <w:r w:rsidRPr="00E73D2B">
        <w:rPr>
          <w:sz w:val="22"/>
          <w:szCs w:val="22"/>
        </w:rPr>
        <w:t>6.</w:t>
      </w:r>
    </w:p>
    <w:p w:rsidR="00DB79F5" w:rsidRPr="0044578F" w:rsidRDefault="00DB79F5" w:rsidP="00DB79F5">
      <w:pPr>
        <w:spacing w:before="180" w:after="120"/>
        <w:jc w:val="both"/>
        <w:rPr>
          <w:sz w:val="22"/>
          <w:szCs w:val="22"/>
          <w:u w:val="single"/>
        </w:rPr>
      </w:pPr>
      <w:r w:rsidRPr="0044578F">
        <w:rPr>
          <w:sz w:val="22"/>
          <w:szCs w:val="22"/>
          <w:u w:val="single"/>
        </w:rPr>
        <w:t>Biela kniha – Plán jednotného európskeho dopravného priestoru – Vytvorenie konkurencieschopného dopravnému systému efektívne využívajúceho zdroje</w:t>
      </w:r>
    </w:p>
    <w:p w:rsidR="00DB79F5" w:rsidRPr="0044578F" w:rsidRDefault="00DB79F5" w:rsidP="00DB79F5">
      <w:pPr>
        <w:spacing w:before="180"/>
        <w:jc w:val="both"/>
        <w:rPr>
          <w:sz w:val="22"/>
          <w:szCs w:val="22"/>
        </w:rPr>
      </w:pPr>
      <w:r w:rsidRPr="0044578F">
        <w:rPr>
          <w:sz w:val="22"/>
          <w:szCs w:val="22"/>
        </w:rPr>
        <w:t>Biela kniha zahŕňa 40 konkrétnych iniciatív pre vybudovanie konkurencieschopného dopravného systém</w:t>
      </w:r>
      <w:r w:rsidR="00D5177B">
        <w:rPr>
          <w:sz w:val="22"/>
          <w:szCs w:val="22"/>
        </w:rPr>
        <w:t>u v budúcom desaťročí. Hlavným</w:t>
      </w:r>
      <w:r w:rsidRPr="0044578F">
        <w:rPr>
          <w:sz w:val="22"/>
          <w:szCs w:val="22"/>
        </w:rPr>
        <w:t> novým cieľom je zásadne znížiť závislosť Európy na dovážanej rope a znížiť uhlíkové emisie o</w:t>
      </w:r>
      <w:r>
        <w:rPr>
          <w:sz w:val="22"/>
          <w:szCs w:val="22"/>
        </w:rPr>
        <w:t> </w:t>
      </w:r>
      <w:r w:rsidRPr="0044578F">
        <w:rPr>
          <w:sz w:val="22"/>
          <w:szCs w:val="22"/>
        </w:rPr>
        <w:t>60</w:t>
      </w:r>
      <w:r>
        <w:rPr>
          <w:sz w:val="22"/>
          <w:szCs w:val="22"/>
        </w:rPr>
        <w:t xml:space="preserve"> </w:t>
      </w:r>
      <w:r w:rsidRPr="0044578F">
        <w:rPr>
          <w:sz w:val="22"/>
          <w:szCs w:val="22"/>
        </w:rPr>
        <w:t>% do roku 2050, prestať používať konvenčné pohony v mestách, využívať 40% nízkouhlíkových palív v leteckej doprave, o</w:t>
      </w:r>
      <w:r>
        <w:rPr>
          <w:sz w:val="22"/>
          <w:szCs w:val="22"/>
        </w:rPr>
        <w:t> </w:t>
      </w:r>
      <w:r w:rsidRPr="0044578F">
        <w:rPr>
          <w:sz w:val="22"/>
          <w:szCs w:val="22"/>
        </w:rPr>
        <w:t>40</w:t>
      </w:r>
      <w:r>
        <w:rPr>
          <w:sz w:val="22"/>
          <w:szCs w:val="22"/>
        </w:rPr>
        <w:t xml:space="preserve"> </w:t>
      </w:r>
      <w:r w:rsidRPr="0044578F">
        <w:rPr>
          <w:sz w:val="22"/>
          <w:szCs w:val="22"/>
        </w:rPr>
        <w:t>% znížiť emisie vo vodnej doprave. OPII reflektuje vo svojich špecifických cieľoch najmä tieto hlavné ciele Bielej knihy:</w:t>
      </w:r>
    </w:p>
    <w:p w:rsidR="00DB79F5" w:rsidRPr="00BA60B0" w:rsidRDefault="00DB79F5" w:rsidP="00FE6025">
      <w:pPr>
        <w:pStyle w:val="Odsekzoznamu"/>
        <w:numPr>
          <w:ilvl w:val="0"/>
          <w:numId w:val="28"/>
        </w:numPr>
        <w:spacing w:before="180" w:after="120"/>
        <w:ind w:left="426" w:hanging="284"/>
        <w:contextualSpacing w:val="0"/>
        <w:jc w:val="both"/>
        <w:rPr>
          <w:sz w:val="22"/>
          <w:szCs w:val="22"/>
        </w:rPr>
      </w:pPr>
      <w:r w:rsidRPr="00BA60B0">
        <w:rPr>
          <w:sz w:val="22"/>
          <w:szCs w:val="22"/>
        </w:rPr>
        <w:t>sprevádzkovať do roku 2030 v celej EÚ plne funkčnú multi</w:t>
      </w:r>
      <w:r w:rsidR="009322BF">
        <w:rPr>
          <w:sz w:val="22"/>
          <w:szCs w:val="22"/>
        </w:rPr>
        <w:t>modálnu „základnú sieť“ TEN-T s </w:t>
      </w:r>
      <w:r w:rsidRPr="00BA60B0">
        <w:rPr>
          <w:sz w:val="22"/>
          <w:szCs w:val="22"/>
        </w:rPr>
        <w:t>vysokokvalitnou a vysokokapacitnou sieťou do roku 2050 a so zodpovedajúcim súborom informačných služieb. K tomuto zámeru bude prispievať OPII najmä plnením definovaných špecifických cieľov prioritných osí 1, 2, 4, 5 a 6,</w:t>
      </w:r>
    </w:p>
    <w:p w:rsidR="00DB79F5" w:rsidRPr="00BA60B0" w:rsidRDefault="00DB79F5" w:rsidP="00FE6025">
      <w:pPr>
        <w:pStyle w:val="Odsekzoznamu"/>
        <w:numPr>
          <w:ilvl w:val="0"/>
          <w:numId w:val="28"/>
        </w:numPr>
        <w:spacing w:before="180" w:after="120"/>
        <w:ind w:left="426" w:hanging="284"/>
        <w:contextualSpacing w:val="0"/>
        <w:jc w:val="both"/>
        <w:rPr>
          <w:sz w:val="22"/>
          <w:szCs w:val="22"/>
        </w:rPr>
      </w:pPr>
      <w:r w:rsidRPr="00BA60B0">
        <w:rPr>
          <w:sz w:val="22"/>
          <w:szCs w:val="22"/>
        </w:rPr>
        <w:t>do roku 2030 previesť 30 % cestnej nákladnej dopravy nad 300 km na iné druhy dopravy, napr. na železničnú alebo vnútrozemskú vodnú dopravu, a do roku 2050 viac ako 50%. Zároveň dosiahnuť, aby sa do roku 2050 väčšina cestujúcich na strednú vzdialenosť prepravovala po železnici. K tomuto zámeru bude OPII prispievať najmä plnením definovaných špecifických cieľov prioritných osí 1 a 4. V rozhodujúcej miere prispejú taktiež zdroje z nástroja NPE,</w:t>
      </w:r>
    </w:p>
    <w:p w:rsidR="00DB79F5" w:rsidRPr="00BA60B0" w:rsidRDefault="00DB79F5" w:rsidP="00FE6025">
      <w:pPr>
        <w:pStyle w:val="Odsekzoznamu"/>
        <w:numPr>
          <w:ilvl w:val="0"/>
          <w:numId w:val="28"/>
        </w:numPr>
        <w:spacing w:before="120" w:after="120"/>
        <w:ind w:left="426" w:hanging="284"/>
        <w:contextualSpacing w:val="0"/>
        <w:jc w:val="both"/>
        <w:rPr>
          <w:sz w:val="22"/>
          <w:szCs w:val="22"/>
        </w:rPr>
      </w:pPr>
      <w:r w:rsidRPr="00BA60B0">
        <w:rPr>
          <w:sz w:val="22"/>
          <w:szCs w:val="22"/>
        </w:rPr>
        <w:t>do roku 2050 dosiahnuť prepojenie všetkých letísk na hlavnej sieti na železničnú sieť. K tomuto zámeru bude OPII nepriamo prispievať najmä plnením definovaných špecifických cieľov prioritných osí 1 a 5,</w:t>
      </w:r>
    </w:p>
    <w:p w:rsidR="00DB79F5" w:rsidRDefault="00DB79F5" w:rsidP="00FE6025">
      <w:pPr>
        <w:pStyle w:val="Odsekzoznamu"/>
        <w:numPr>
          <w:ilvl w:val="0"/>
          <w:numId w:val="28"/>
        </w:numPr>
        <w:spacing w:before="180" w:after="120"/>
        <w:ind w:left="426" w:hanging="284"/>
        <w:contextualSpacing w:val="0"/>
        <w:jc w:val="both"/>
        <w:rPr>
          <w:sz w:val="22"/>
          <w:szCs w:val="22"/>
        </w:rPr>
      </w:pPr>
      <w:r w:rsidRPr="00BA60B0">
        <w:rPr>
          <w:sz w:val="22"/>
          <w:szCs w:val="22"/>
        </w:rPr>
        <w:t>usilovať sa o zníženie počtu úmrtí v cestnej doprave do roku 2020 o</w:t>
      </w:r>
      <w:r w:rsidR="00D5177B">
        <w:rPr>
          <w:sz w:val="22"/>
          <w:szCs w:val="22"/>
        </w:rPr>
        <w:t> </w:t>
      </w:r>
      <w:r w:rsidRPr="00BA60B0">
        <w:rPr>
          <w:sz w:val="22"/>
          <w:szCs w:val="22"/>
        </w:rPr>
        <w:t>polovicu</w:t>
      </w:r>
      <w:r w:rsidR="00D5177B">
        <w:rPr>
          <w:sz w:val="22"/>
          <w:szCs w:val="22"/>
        </w:rPr>
        <w:t xml:space="preserve"> v porovnaní s rokom 2010 a v horizonte roka</w:t>
      </w:r>
      <w:r w:rsidRPr="00BA60B0">
        <w:rPr>
          <w:sz w:val="22"/>
          <w:szCs w:val="22"/>
        </w:rPr>
        <w:t xml:space="preserve"> 2050</w:t>
      </w:r>
      <w:r w:rsidR="00D5177B">
        <w:rPr>
          <w:sz w:val="22"/>
          <w:szCs w:val="22"/>
        </w:rPr>
        <w:t xml:space="preserve"> znížiť počet usmrtení</w:t>
      </w:r>
      <w:r w:rsidRPr="00BA60B0">
        <w:rPr>
          <w:sz w:val="22"/>
          <w:szCs w:val="22"/>
        </w:rPr>
        <w:t xml:space="preserve"> takmer na nulu. K tomuto zámeru bude OPII prispievať najmä plnením špecifických cieľov prioritných osí 2 a 6.</w:t>
      </w:r>
    </w:p>
    <w:p w:rsidR="00DB79F5" w:rsidRDefault="0074006D" w:rsidP="0074006D">
      <w:pPr>
        <w:spacing w:before="180" w:after="120"/>
        <w:jc w:val="both"/>
        <w:rPr>
          <w:sz w:val="22"/>
          <w:szCs w:val="22"/>
          <w:u w:val="single"/>
        </w:rPr>
      </w:pPr>
      <w:r w:rsidRPr="0074006D">
        <w:rPr>
          <w:sz w:val="22"/>
          <w:szCs w:val="22"/>
          <w:u w:val="single"/>
        </w:rPr>
        <w:t>Nariadenie Európskeho parlamentu a Rady EÚ č. 1315/2013 z 11. decembra 2013 o usmerneniach Únie pre rozvoj transeurópskej dopravnej siete a o zrušení rozhodnutia č. 661/2010/EÚ</w:t>
      </w:r>
    </w:p>
    <w:p w:rsidR="009F007F" w:rsidRPr="003E67A7" w:rsidRDefault="009F007F" w:rsidP="009F007F">
      <w:pPr>
        <w:widowControl w:val="0"/>
        <w:tabs>
          <w:tab w:val="left" w:pos="0"/>
          <w:tab w:val="left" w:pos="851"/>
        </w:tabs>
        <w:adjustRightInd w:val="0"/>
        <w:spacing w:before="120"/>
        <w:jc w:val="both"/>
        <w:textAlignment w:val="baseline"/>
        <w:rPr>
          <w:snapToGrid w:val="0"/>
          <w:sz w:val="22"/>
          <w:szCs w:val="22"/>
          <w:lang w:eastAsia="cs-CZ"/>
        </w:rPr>
      </w:pPr>
      <w:r w:rsidRPr="003E67A7">
        <w:rPr>
          <w:snapToGrid w:val="0"/>
          <w:sz w:val="22"/>
          <w:szCs w:val="22"/>
          <w:lang w:eastAsia="cs-CZ"/>
        </w:rPr>
        <w:t xml:space="preserve">V nariadení sa stanovujú usmernenia pre rozvoj TEN-T siete s dvojúrovňovou štruktúrou, ktorá pozostáva zo </w:t>
      </w:r>
      <w:r w:rsidRPr="003E67A7">
        <w:rPr>
          <w:b/>
          <w:snapToGrid w:val="0"/>
          <w:sz w:val="22"/>
          <w:szCs w:val="22"/>
          <w:lang w:eastAsia="cs-CZ"/>
        </w:rPr>
        <w:t>súhrnnej siete</w:t>
      </w:r>
      <w:r w:rsidRPr="003E67A7">
        <w:rPr>
          <w:snapToGrid w:val="0"/>
          <w:sz w:val="22"/>
          <w:szCs w:val="22"/>
          <w:lang w:eastAsia="cs-CZ"/>
        </w:rPr>
        <w:t xml:space="preserve"> (</w:t>
      </w:r>
      <w:r w:rsidRPr="003E67A7">
        <w:rPr>
          <w:b/>
          <w:snapToGrid w:val="0"/>
          <w:sz w:val="22"/>
          <w:szCs w:val="22"/>
          <w:lang w:eastAsia="cs-CZ"/>
        </w:rPr>
        <w:t>comprehensive</w:t>
      </w:r>
      <w:r w:rsidRPr="003E67A7">
        <w:rPr>
          <w:snapToGrid w:val="0"/>
          <w:sz w:val="22"/>
          <w:szCs w:val="22"/>
          <w:lang w:eastAsia="cs-CZ"/>
        </w:rPr>
        <w:t>) a </w:t>
      </w:r>
      <w:r w:rsidRPr="003E67A7">
        <w:rPr>
          <w:b/>
          <w:snapToGrid w:val="0"/>
          <w:sz w:val="22"/>
          <w:szCs w:val="22"/>
          <w:lang w:eastAsia="cs-CZ"/>
        </w:rPr>
        <w:t>základnej siete (core)</w:t>
      </w:r>
      <w:r w:rsidRPr="003E67A7">
        <w:rPr>
          <w:snapToGrid w:val="0"/>
          <w:sz w:val="22"/>
          <w:szCs w:val="22"/>
          <w:lang w:eastAsia="cs-CZ"/>
        </w:rPr>
        <w:t xml:space="preserve">. Základná sieť je podskupinou súhrnnej siete, ktorá ju prekrýva. Predstavuje strategicky najvýznamnejšie uzly a prepojenia TEN-T siete v závislosti od dopravných potrieb. Zahŕňa všetky druhy dopravy a ich prepojenia, ako aj príslušné dopravné a informačné riadiace systémy. </w:t>
      </w:r>
      <w:r w:rsidRPr="003E67A7">
        <w:rPr>
          <w:b/>
          <w:sz w:val="22"/>
          <w:szCs w:val="22"/>
          <w:lang w:eastAsia="cs-CZ"/>
        </w:rPr>
        <w:t xml:space="preserve">Nariadenie predpokladá ukončenie budovania </w:t>
      </w:r>
      <w:r w:rsidRPr="003E67A7">
        <w:rPr>
          <w:b/>
          <w:sz w:val="22"/>
          <w:szCs w:val="22"/>
          <w:lang w:eastAsia="cs-CZ"/>
        </w:rPr>
        <w:lastRenderedPageBreak/>
        <w:t>základnej siete do roku 2030</w:t>
      </w:r>
      <w:r w:rsidRPr="003E67A7">
        <w:rPr>
          <w:sz w:val="22"/>
          <w:szCs w:val="22"/>
          <w:lang w:eastAsia="cs-CZ"/>
        </w:rPr>
        <w:t xml:space="preserve"> prostredníctvom vytvorenia novej,</w:t>
      </w:r>
      <w:r w:rsidRPr="003E67A7">
        <w:rPr>
          <w:snapToGrid w:val="0"/>
          <w:sz w:val="22"/>
          <w:szCs w:val="22"/>
          <w:lang w:eastAsia="cs-CZ"/>
        </w:rPr>
        <w:t xml:space="preserve"> ako aj zásadnej modernizácie a</w:t>
      </w:r>
      <w:r w:rsidR="00D5177B">
        <w:rPr>
          <w:snapToGrid w:val="0"/>
          <w:sz w:val="22"/>
          <w:szCs w:val="22"/>
          <w:lang w:eastAsia="cs-CZ"/>
        </w:rPr>
        <w:t> </w:t>
      </w:r>
      <w:r w:rsidRPr="003E67A7">
        <w:rPr>
          <w:sz w:val="22"/>
          <w:szCs w:val="22"/>
          <w:lang w:eastAsia="cs-CZ"/>
        </w:rPr>
        <w:t>obnovy</w:t>
      </w:r>
      <w:r w:rsidR="00D5177B">
        <w:rPr>
          <w:sz w:val="22"/>
          <w:szCs w:val="22"/>
          <w:lang w:eastAsia="cs-CZ"/>
        </w:rPr>
        <w:t xml:space="preserve"> už</w:t>
      </w:r>
      <w:r w:rsidRPr="003E67A7">
        <w:rPr>
          <w:sz w:val="22"/>
          <w:szCs w:val="22"/>
          <w:lang w:eastAsia="cs-CZ"/>
        </w:rPr>
        <w:t xml:space="preserve"> existujúcej</w:t>
      </w:r>
      <w:r w:rsidRPr="003E67A7">
        <w:rPr>
          <w:snapToGrid w:val="0"/>
          <w:sz w:val="22"/>
          <w:szCs w:val="22"/>
          <w:lang w:eastAsia="cs-CZ"/>
        </w:rPr>
        <w:t xml:space="preserve"> infraštruktúry.</w:t>
      </w:r>
    </w:p>
    <w:p w:rsidR="0074006D" w:rsidRPr="0074006D" w:rsidRDefault="0074006D" w:rsidP="009F007F">
      <w:pPr>
        <w:spacing w:before="120" w:after="120"/>
        <w:jc w:val="both"/>
        <w:rPr>
          <w:sz w:val="22"/>
          <w:szCs w:val="22"/>
          <w:u w:val="single"/>
        </w:rPr>
      </w:pPr>
      <w:r w:rsidRPr="0074006D">
        <w:rPr>
          <w:sz w:val="22"/>
          <w:szCs w:val="22"/>
          <w:u w:val="single"/>
        </w:rPr>
        <w:t>Základná sieť</w:t>
      </w:r>
      <w:r w:rsidR="00DD66FE">
        <w:rPr>
          <w:sz w:val="22"/>
          <w:szCs w:val="22"/>
          <w:u w:val="single"/>
        </w:rPr>
        <w:t xml:space="preserve"> TEN-T</w:t>
      </w:r>
    </w:p>
    <w:p w:rsidR="0074006D" w:rsidRPr="0074006D" w:rsidRDefault="0074006D" w:rsidP="00FE6025">
      <w:pPr>
        <w:pStyle w:val="Odsekzoznamu"/>
        <w:numPr>
          <w:ilvl w:val="0"/>
          <w:numId w:val="58"/>
        </w:numPr>
        <w:ind w:left="567" w:hanging="283"/>
        <w:jc w:val="both"/>
        <w:rPr>
          <w:sz w:val="22"/>
          <w:szCs w:val="22"/>
        </w:rPr>
      </w:pPr>
      <w:r w:rsidRPr="0074006D">
        <w:rPr>
          <w:sz w:val="22"/>
          <w:szCs w:val="22"/>
        </w:rPr>
        <w:t>D1 Bratislava – Trnava – Trenčín – Žilina – Poprad – Prešov – Košice – št. hr. SR/Ukrajina</w:t>
      </w:r>
      <w:r>
        <w:rPr>
          <w:sz w:val="22"/>
          <w:szCs w:val="22"/>
        </w:rPr>
        <w:t>,</w:t>
      </w:r>
    </w:p>
    <w:p w:rsidR="0074006D" w:rsidRPr="0074006D" w:rsidRDefault="0074006D" w:rsidP="00FE6025">
      <w:pPr>
        <w:pStyle w:val="Odsekzoznamu"/>
        <w:numPr>
          <w:ilvl w:val="0"/>
          <w:numId w:val="58"/>
        </w:numPr>
        <w:ind w:left="567" w:hanging="283"/>
        <w:jc w:val="both"/>
        <w:rPr>
          <w:sz w:val="22"/>
          <w:szCs w:val="22"/>
        </w:rPr>
      </w:pPr>
      <w:r w:rsidRPr="0074006D">
        <w:rPr>
          <w:sz w:val="22"/>
          <w:szCs w:val="22"/>
        </w:rPr>
        <w:t>D2 št. hr. SR/ČR – Kúty – Bratislava – št. hr. SR/Maďarsko</w:t>
      </w:r>
      <w:r>
        <w:rPr>
          <w:sz w:val="22"/>
          <w:szCs w:val="22"/>
        </w:rPr>
        <w:t>,</w:t>
      </w:r>
    </w:p>
    <w:p w:rsidR="0074006D" w:rsidRPr="0074006D" w:rsidRDefault="0074006D" w:rsidP="00FE6025">
      <w:pPr>
        <w:pStyle w:val="Odsekzoznamu"/>
        <w:numPr>
          <w:ilvl w:val="0"/>
          <w:numId w:val="58"/>
        </w:numPr>
        <w:ind w:left="567" w:hanging="283"/>
        <w:jc w:val="both"/>
        <w:rPr>
          <w:sz w:val="22"/>
          <w:szCs w:val="22"/>
        </w:rPr>
      </w:pPr>
      <w:r w:rsidRPr="0074006D">
        <w:rPr>
          <w:sz w:val="22"/>
          <w:szCs w:val="22"/>
        </w:rPr>
        <w:t>D3 Hričovské Podhradie – Čadca – Skalité – št. hr. SR/Poľsko</w:t>
      </w:r>
      <w:r>
        <w:rPr>
          <w:sz w:val="22"/>
          <w:szCs w:val="22"/>
        </w:rPr>
        <w:t>,</w:t>
      </w:r>
    </w:p>
    <w:p w:rsidR="0074006D" w:rsidRPr="0074006D" w:rsidRDefault="0074006D" w:rsidP="00FE6025">
      <w:pPr>
        <w:pStyle w:val="Odsekzoznamu"/>
        <w:numPr>
          <w:ilvl w:val="0"/>
          <w:numId w:val="58"/>
        </w:numPr>
        <w:ind w:left="567" w:hanging="283"/>
        <w:jc w:val="both"/>
        <w:rPr>
          <w:sz w:val="22"/>
          <w:szCs w:val="22"/>
        </w:rPr>
      </w:pPr>
      <w:r w:rsidRPr="0074006D">
        <w:rPr>
          <w:sz w:val="22"/>
          <w:szCs w:val="22"/>
        </w:rPr>
        <w:t>D4 št. hr. SR/Rakúsko – Jarovce</w:t>
      </w:r>
      <w:r>
        <w:rPr>
          <w:sz w:val="22"/>
          <w:szCs w:val="22"/>
        </w:rPr>
        <w:t>,</w:t>
      </w:r>
    </w:p>
    <w:p w:rsidR="0074006D" w:rsidRPr="0074006D" w:rsidRDefault="0074006D" w:rsidP="00FE6025">
      <w:pPr>
        <w:pStyle w:val="Odsekzoznamu"/>
        <w:numPr>
          <w:ilvl w:val="0"/>
          <w:numId w:val="58"/>
        </w:numPr>
        <w:ind w:left="567" w:hanging="283"/>
        <w:jc w:val="both"/>
        <w:rPr>
          <w:sz w:val="22"/>
          <w:szCs w:val="22"/>
        </w:rPr>
      </w:pPr>
      <w:r w:rsidRPr="0074006D">
        <w:rPr>
          <w:sz w:val="22"/>
          <w:szCs w:val="22"/>
        </w:rPr>
        <w:t>R3 Martin – Žiar nad Hronom – Zvolen – Krupina – Šahy – št. hr. SR/Maďarsko</w:t>
      </w:r>
      <w:r>
        <w:rPr>
          <w:sz w:val="22"/>
          <w:szCs w:val="22"/>
        </w:rPr>
        <w:t>,</w:t>
      </w:r>
    </w:p>
    <w:p w:rsidR="0074006D" w:rsidRPr="0074006D" w:rsidRDefault="0074006D" w:rsidP="00FE6025">
      <w:pPr>
        <w:pStyle w:val="Odsekzoznamu"/>
        <w:numPr>
          <w:ilvl w:val="0"/>
          <w:numId w:val="58"/>
        </w:numPr>
        <w:ind w:left="567" w:hanging="283"/>
        <w:jc w:val="both"/>
        <w:rPr>
          <w:sz w:val="22"/>
          <w:szCs w:val="22"/>
        </w:rPr>
      </w:pPr>
      <w:r w:rsidRPr="0074006D">
        <w:rPr>
          <w:sz w:val="22"/>
          <w:szCs w:val="22"/>
        </w:rPr>
        <w:t>R6 Beluša – Púchov – Lysá pod Makytou – št. hr SR/ČR</w:t>
      </w:r>
      <w:r>
        <w:rPr>
          <w:sz w:val="22"/>
          <w:szCs w:val="22"/>
        </w:rPr>
        <w:t>.</w:t>
      </w:r>
    </w:p>
    <w:p w:rsidR="0074006D" w:rsidRPr="0074006D" w:rsidRDefault="009F007F" w:rsidP="009F007F">
      <w:pPr>
        <w:spacing w:before="120" w:after="120"/>
        <w:jc w:val="both"/>
        <w:rPr>
          <w:sz w:val="22"/>
          <w:szCs w:val="22"/>
          <w:u w:val="single"/>
        </w:rPr>
      </w:pPr>
      <w:r>
        <w:rPr>
          <w:sz w:val="22"/>
          <w:szCs w:val="22"/>
          <w:u w:val="single"/>
        </w:rPr>
        <w:t>Súhrnná</w:t>
      </w:r>
      <w:r w:rsidR="0074006D" w:rsidRPr="0074006D">
        <w:rPr>
          <w:sz w:val="22"/>
          <w:szCs w:val="22"/>
          <w:u w:val="single"/>
        </w:rPr>
        <w:t xml:space="preserve"> sieť</w:t>
      </w:r>
      <w:r w:rsidR="00DD66FE">
        <w:rPr>
          <w:sz w:val="22"/>
          <w:szCs w:val="22"/>
          <w:u w:val="single"/>
        </w:rPr>
        <w:t xml:space="preserve"> TEN-T</w:t>
      </w:r>
    </w:p>
    <w:p w:rsidR="0074006D" w:rsidRPr="0074006D" w:rsidRDefault="0074006D" w:rsidP="00FE6025">
      <w:pPr>
        <w:pStyle w:val="Odsekzoznamu"/>
        <w:numPr>
          <w:ilvl w:val="0"/>
          <w:numId w:val="58"/>
        </w:numPr>
        <w:ind w:left="567" w:hanging="283"/>
        <w:jc w:val="both"/>
        <w:rPr>
          <w:sz w:val="22"/>
          <w:szCs w:val="22"/>
        </w:rPr>
      </w:pPr>
      <w:r w:rsidRPr="0074006D">
        <w:rPr>
          <w:sz w:val="22"/>
          <w:szCs w:val="22"/>
        </w:rPr>
        <w:t>R1 Trnava – Nitra – Žiar nad Hronom – Zvolen – Banská Bystrica – Ružomberok</w:t>
      </w:r>
      <w:r>
        <w:rPr>
          <w:sz w:val="22"/>
          <w:szCs w:val="22"/>
        </w:rPr>
        <w:t>,</w:t>
      </w:r>
    </w:p>
    <w:p w:rsidR="0074006D" w:rsidRPr="0074006D" w:rsidRDefault="0074006D" w:rsidP="00FE6025">
      <w:pPr>
        <w:pStyle w:val="Odsekzoznamu"/>
        <w:numPr>
          <w:ilvl w:val="0"/>
          <w:numId w:val="58"/>
        </w:numPr>
        <w:ind w:left="567" w:hanging="283"/>
        <w:jc w:val="both"/>
        <w:rPr>
          <w:sz w:val="22"/>
          <w:szCs w:val="22"/>
        </w:rPr>
      </w:pPr>
      <w:r w:rsidRPr="0074006D">
        <w:rPr>
          <w:sz w:val="22"/>
          <w:szCs w:val="22"/>
        </w:rPr>
        <w:t xml:space="preserve">R2 Trenčín – Prievidza – Žiar nad Hronom – Zvolen – Lučenec – Rožňava </w:t>
      </w:r>
      <w:r>
        <w:rPr>
          <w:sz w:val="22"/>
          <w:szCs w:val="22"/>
        </w:rPr>
        <w:t>–</w:t>
      </w:r>
      <w:r w:rsidRPr="0074006D">
        <w:rPr>
          <w:sz w:val="22"/>
          <w:szCs w:val="22"/>
        </w:rPr>
        <w:t xml:space="preserve"> Košice</w:t>
      </w:r>
      <w:r>
        <w:rPr>
          <w:sz w:val="22"/>
          <w:szCs w:val="22"/>
        </w:rPr>
        <w:t>,</w:t>
      </w:r>
    </w:p>
    <w:p w:rsidR="0074006D" w:rsidRPr="0074006D" w:rsidRDefault="0074006D" w:rsidP="00FE6025">
      <w:pPr>
        <w:pStyle w:val="Odsekzoznamu"/>
        <w:numPr>
          <w:ilvl w:val="0"/>
          <w:numId w:val="58"/>
        </w:numPr>
        <w:ind w:left="567" w:hanging="283"/>
        <w:jc w:val="both"/>
        <w:rPr>
          <w:sz w:val="22"/>
          <w:szCs w:val="22"/>
        </w:rPr>
      </w:pPr>
      <w:r w:rsidRPr="0074006D">
        <w:rPr>
          <w:sz w:val="22"/>
          <w:szCs w:val="22"/>
        </w:rPr>
        <w:t>R3 križovatka s D1 – Dolný Kubín – Trstená – št. hr. SR/Poľsko</w:t>
      </w:r>
      <w:r>
        <w:rPr>
          <w:sz w:val="22"/>
          <w:szCs w:val="22"/>
        </w:rPr>
        <w:t>,</w:t>
      </w:r>
    </w:p>
    <w:p w:rsidR="0074006D" w:rsidRPr="0074006D" w:rsidRDefault="0074006D" w:rsidP="00FE6025">
      <w:pPr>
        <w:pStyle w:val="Odsekzoznamu"/>
        <w:numPr>
          <w:ilvl w:val="0"/>
          <w:numId w:val="58"/>
        </w:numPr>
        <w:ind w:left="567" w:hanging="283"/>
        <w:jc w:val="both"/>
        <w:rPr>
          <w:sz w:val="22"/>
          <w:szCs w:val="22"/>
        </w:rPr>
      </w:pPr>
      <w:r w:rsidRPr="0074006D">
        <w:rPr>
          <w:sz w:val="22"/>
          <w:szCs w:val="22"/>
        </w:rPr>
        <w:t>R4 št. hr. SR/Poľsko – Svidník – Prešov – Košice – Milhosť – št. hr. SR/Maďarsko</w:t>
      </w:r>
      <w:r>
        <w:rPr>
          <w:sz w:val="22"/>
          <w:szCs w:val="22"/>
        </w:rPr>
        <w:t>,</w:t>
      </w:r>
    </w:p>
    <w:p w:rsidR="0074006D" w:rsidRPr="0074006D" w:rsidRDefault="0074006D" w:rsidP="00FE6025">
      <w:pPr>
        <w:pStyle w:val="Odsekzoznamu"/>
        <w:numPr>
          <w:ilvl w:val="0"/>
          <w:numId w:val="58"/>
        </w:numPr>
        <w:ind w:left="567" w:hanging="283"/>
        <w:jc w:val="both"/>
        <w:rPr>
          <w:sz w:val="22"/>
          <w:szCs w:val="22"/>
        </w:rPr>
      </w:pPr>
      <w:r>
        <w:rPr>
          <w:sz w:val="22"/>
          <w:szCs w:val="22"/>
        </w:rPr>
        <w:t>R5 Svrčinovec – št. hr. SR/ČR,</w:t>
      </w:r>
    </w:p>
    <w:p w:rsidR="0074006D" w:rsidRPr="0074006D" w:rsidRDefault="0074006D" w:rsidP="00FE6025">
      <w:pPr>
        <w:pStyle w:val="Odsekzoznamu"/>
        <w:numPr>
          <w:ilvl w:val="0"/>
          <w:numId w:val="58"/>
        </w:numPr>
        <w:ind w:left="567" w:hanging="283"/>
        <w:jc w:val="both"/>
        <w:rPr>
          <w:sz w:val="22"/>
          <w:szCs w:val="22"/>
        </w:rPr>
      </w:pPr>
      <w:r w:rsidRPr="0074006D">
        <w:rPr>
          <w:sz w:val="22"/>
          <w:szCs w:val="22"/>
        </w:rPr>
        <w:t>D4 Jarovce – Ivanka pri Dunaji – Záhorská Bystrica – križovatka s D2</w:t>
      </w:r>
      <w:r>
        <w:rPr>
          <w:sz w:val="22"/>
          <w:szCs w:val="22"/>
        </w:rPr>
        <w:t>.</w:t>
      </w:r>
    </w:p>
    <w:p w:rsidR="00DB79F5" w:rsidRDefault="00DB79F5" w:rsidP="004C77FC">
      <w:pPr>
        <w:pStyle w:val="Nadpis4"/>
        <w:tabs>
          <w:tab w:val="clear" w:pos="709"/>
        </w:tabs>
        <w:jc w:val="both"/>
      </w:pPr>
      <w:r>
        <w:t>Prepojenie stratégie OPII-D s plnením cieľov významných národných strategických dokumentov definujúcich vývoj sektora dopravy</w:t>
      </w:r>
    </w:p>
    <w:p w:rsidR="002771DE" w:rsidRPr="0064169C" w:rsidRDefault="002771DE" w:rsidP="002771DE">
      <w:pPr>
        <w:spacing w:before="180" w:after="120"/>
        <w:jc w:val="both"/>
        <w:rPr>
          <w:sz w:val="22"/>
          <w:szCs w:val="22"/>
          <w:u w:val="single"/>
        </w:rPr>
      </w:pPr>
      <w:r w:rsidRPr="0064169C">
        <w:rPr>
          <w:sz w:val="22"/>
          <w:szCs w:val="22"/>
          <w:u w:val="single"/>
        </w:rPr>
        <w:t>Stratégia rozvoja dopravy S</w:t>
      </w:r>
      <w:r>
        <w:rPr>
          <w:sz w:val="22"/>
          <w:szCs w:val="22"/>
          <w:u w:val="single"/>
        </w:rPr>
        <w:t>lovenskej republiky</w:t>
      </w:r>
      <w:r w:rsidRPr="0064169C">
        <w:rPr>
          <w:sz w:val="22"/>
          <w:szCs w:val="22"/>
          <w:u w:val="single"/>
        </w:rPr>
        <w:t xml:space="preserve"> do roku 2020</w:t>
      </w:r>
    </w:p>
    <w:p w:rsidR="002771DE" w:rsidRPr="0064169C" w:rsidRDefault="002771DE" w:rsidP="002771DE">
      <w:pPr>
        <w:spacing w:before="120" w:after="120"/>
        <w:jc w:val="both"/>
        <w:rPr>
          <w:sz w:val="22"/>
          <w:szCs w:val="22"/>
        </w:rPr>
      </w:pPr>
      <w:r w:rsidRPr="00F648AD">
        <w:rPr>
          <w:sz w:val="22"/>
          <w:szCs w:val="22"/>
        </w:rPr>
        <w:t>Dokument bol schválený UV SR č. 158 zo dňa 3. marca 2010.</w:t>
      </w:r>
      <w:r>
        <w:rPr>
          <w:sz w:val="22"/>
          <w:szCs w:val="22"/>
        </w:rPr>
        <w:t xml:space="preserve"> </w:t>
      </w:r>
      <w:r w:rsidRPr="0064169C">
        <w:rPr>
          <w:sz w:val="22"/>
          <w:szCs w:val="22"/>
        </w:rPr>
        <w:t>Hlavnou víziou stratégie je v</w:t>
      </w:r>
      <w:r>
        <w:rPr>
          <w:sz w:val="22"/>
          <w:szCs w:val="22"/>
        </w:rPr>
        <w:t> </w:t>
      </w:r>
      <w:r w:rsidRPr="0064169C">
        <w:rPr>
          <w:sz w:val="22"/>
          <w:szCs w:val="22"/>
        </w:rPr>
        <w:t>horizonte roku 2020 zabezpečiť kvalitnú, dostupnú a</w:t>
      </w:r>
      <w:r>
        <w:rPr>
          <w:sz w:val="22"/>
          <w:szCs w:val="22"/>
        </w:rPr>
        <w:t> </w:t>
      </w:r>
      <w:r w:rsidRPr="0064169C">
        <w:rPr>
          <w:sz w:val="22"/>
          <w:szCs w:val="22"/>
        </w:rPr>
        <w:t>integrovanú dopravnú infraštruktúru, ktorá podporí sociálnu inklúziu prepojením menej rozvinutých regiónov k</w:t>
      </w:r>
      <w:r>
        <w:rPr>
          <w:sz w:val="22"/>
          <w:szCs w:val="22"/>
        </w:rPr>
        <w:t> </w:t>
      </w:r>
      <w:r w:rsidRPr="0064169C">
        <w:rPr>
          <w:sz w:val="22"/>
          <w:szCs w:val="22"/>
        </w:rPr>
        <w:t>nadradenej infraštruktúre a</w:t>
      </w:r>
      <w:r>
        <w:rPr>
          <w:sz w:val="22"/>
          <w:szCs w:val="22"/>
        </w:rPr>
        <w:t> </w:t>
      </w:r>
      <w:r w:rsidRPr="0064169C">
        <w:rPr>
          <w:sz w:val="22"/>
          <w:szCs w:val="22"/>
        </w:rPr>
        <w:t>zabezpečí medzinárodnú konkurencieschopnosť SR aj využitím geografického potenciálu ako tranzitnej krajiny, zabezpečiť konkurencieschopné dopravné služby a</w:t>
      </w:r>
      <w:r>
        <w:rPr>
          <w:sz w:val="22"/>
          <w:szCs w:val="22"/>
        </w:rPr>
        <w:t> </w:t>
      </w:r>
      <w:r w:rsidRPr="0064169C">
        <w:rPr>
          <w:sz w:val="22"/>
          <w:szCs w:val="22"/>
        </w:rPr>
        <w:t>užívateľsky prijateľnú, bezpečnú, ekologicky a</w:t>
      </w:r>
      <w:r>
        <w:rPr>
          <w:sz w:val="22"/>
          <w:szCs w:val="22"/>
        </w:rPr>
        <w:t> </w:t>
      </w:r>
      <w:r w:rsidRPr="0064169C">
        <w:rPr>
          <w:sz w:val="22"/>
          <w:szCs w:val="22"/>
        </w:rPr>
        <w:t>energeticky efektívnu dopravu. K</w:t>
      </w:r>
      <w:r>
        <w:rPr>
          <w:sz w:val="22"/>
          <w:szCs w:val="22"/>
        </w:rPr>
        <w:t> </w:t>
      </w:r>
      <w:r w:rsidRPr="0064169C">
        <w:rPr>
          <w:sz w:val="22"/>
          <w:szCs w:val="22"/>
        </w:rPr>
        <w:t xml:space="preserve">napĺňaniu týchto zámerov prispeje implementácia </w:t>
      </w:r>
      <w:r>
        <w:rPr>
          <w:sz w:val="22"/>
          <w:szCs w:val="22"/>
        </w:rPr>
        <w:t>OPII</w:t>
      </w:r>
      <w:r w:rsidRPr="0064169C">
        <w:rPr>
          <w:sz w:val="22"/>
          <w:szCs w:val="22"/>
        </w:rPr>
        <w:t xml:space="preserve"> plnením všetkých špecifických cieľov prierezovo definovaných v</w:t>
      </w:r>
      <w:r>
        <w:rPr>
          <w:sz w:val="22"/>
          <w:szCs w:val="22"/>
        </w:rPr>
        <w:t> </w:t>
      </w:r>
      <w:r w:rsidRPr="0064169C">
        <w:rPr>
          <w:sz w:val="22"/>
          <w:szCs w:val="22"/>
        </w:rPr>
        <w:t xml:space="preserve">prioritných osiach </w:t>
      </w:r>
      <w:r w:rsidR="00A6184A">
        <w:rPr>
          <w:sz w:val="22"/>
          <w:szCs w:val="22"/>
        </w:rPr>
        <w:t>1 až 6.</w:t>
      </w:r>
    </w:p>
    <w:p w:rsidR="00333C60" w:rsidRPr="00C82510" w:rsidRDefault="00333C60" w:rsidP="00333C60">
      <w:pPr>
        <w:pStyle w:val="Odsekzoznamu"/>
        <w:spacing w:before="180" w:after="120"/>
        <w:ind w:left="0"/>
        <w:jc w:val="both"/>
        <w:rPr>
          <w:sz w:val="22"/>
          <w:szCs w:val="22"/>
          <w:u w:val="single"/>
        </w:rPr>
      </w:pPr>
      <w:r>
        <w:rPr>
          <w:sz w:val="22"/>
          <w:szCs w:val="22"/>
          <w:u w:val="single"/>
        </w:rPr>
        <w:t>Partnerská dohoda Slovenskej republiky</w:t>
      </w:r>
    </w:p>
    <w:p w:rsidR="00333C60" w:rsidRPr="00C82510" w:rsidRDefault="00A6184A" w:rsidP="00A6184A">
      <w:pPr>
        <w:spacing w:before="120" w:after="120"/>
        <w:jc w:val="both"/>
        <w:rPr>
          <w:sz w:val="22"/>
          <w:szCs w:val="22"/>
        </w:rPr>
      </w:pPr>
      <w:r>
        <w:rPr>
          <w:sz w:val="22"/>
          <w:szCs w:val="22"/>
        </w:rPr>
        <w:t xml:space="preserve">Partnerská dohoda Slovenskej republiky (ďalej len „PD SR“) sa vzťahuje na všetku podporu z Európskych štrukturálnych a investičných fondov EÚ </w:t>
      </w:r>
      <w:r w:rsidR="009322BF">
        <w:rPr>
          <w:sz w:val="22"/>
          <w:szCs w:val="22"/>
        </w:rPr>
        <w:t xml:space="preserve">(ďalej len „EŠIF“) </w:t>
      </w:r>
      <w:r>
        <w:rPr>
          <w:sz w:val="22"/>
          <w:szCs w:val="22"/>
        </w:rPr>
        <w:t>v príslušnom členskom štáte. Ide o dokument , ktorý určuje stratégiu, priority a podmienky SR na využívanie týchto fondov efektívnym a účinným spôsobom, s cieľom dosiahnuť priority stratégie Európa 2020.</w:t>
      </w:r>
    </w:p>
    <w:p w:rsidR="0079404A" w:rsidRPr="00A32FFD" w:rsidRDefault="0079404A" w:rsidP="00A32FFD">
      <w:pPr>
        <w:pStyle w:val="Odsekzoznamu"/>
        <w:spacing w:before="180" w:after="120"/>
        <w:ind w:left="0"/>
        <w:jc w:val="both"/>
        <w:rPr>
          <w:sz w:val="22"/>
          <w:szCs w:val="22"/>
          <w:u w:val="single"/>
        </w:rPr>
      </w:pPr>
      <w:r w:rsidRPr="00A32FFD">
        <w:rPr>
          <w:sz w:val="22"/>
          <w:szCs w:val="22"/>
          <w:u w:val="single"/>
        </w:rPr>
        <w:t xml:space="preserve">Strategické dokumenty vypracované pre potreby </w:t>
      </w:r>
      <w:r w:rsidR="00A32FFD" w:rsidRPr="00A32FFD">
        <w:rPr>
          <w:sz w:val="22"/>
          <w:szCs w:val="22"/>
          <w:u w:val="single"/>
        </w:rPr>
        <w:t>programového obdobia 2014 - 2020</w:t>
      </w:r>
    </w:p>
    <w:p w:rsidR="00A6184A" w:rsidRDefault="002E0C1C" w:rsidP="00A32FFD">
      <w:pPr>
        <w:spacing w:before="120" w:after="120"/>
        <w:jc w:val="both"/>
        <w:rPr>
          <w:sz w:val="22"/>
          <w:szCs w:val="22"/>
        </w:rPr>
      </w:pPr>
      <w:r w:rsidRPr="00A6184A">
        <w:rPr>
          <w:sz w:val="22"/>
          <w:szCs w:val="22"/>
        </w:rPr>
        <w:t xml:space="preserve">Nižšie uvedené strategické dokumenty boli spracované pre potreby programového obdobia 2014 – 2020. </w:t>
      </w:r>
      <w:r w:rsidR="00A6184A" w:rsidRPr="00A6184A">
        <w:rPr>
          <w:sz w:val="22"/>
          <w:szCs w:val="22"/>
        </w:rPr>
        <w:t>Týmito dokumentmi sú identifikované kľúčové potreby a výzvy v príslušnej oblasti. Zároveň navrhujú systémové, organizačné, prevádzkové a infraštruktúrne opatrenia, ktoré je potrebné prijať.</w:t>
      </w:r>
      <w:r w:rsidR="00A6184A">
        <w:rPr>
          <w:sz w:val="22"/>
          <w:szCs w:val="22"/>
        </w:rPr>
        <w:t xml:space="preserve"> </w:t>
      </w:r>
      <w:r w:rsidR="00A6184A" w:rsidRPr="00A6184A">
        <w:rPr>
          <w:sz w:val="22"/>
          <w:szCs w:val="22"/>
        </w:rPr>
        <w:t xml:space="preserve">MDVRR SR v spolupráci s relevantnými partnermi, s cieľom splnenia ex </w:t>
      </w:r>
      <w:r w:rsidR="00A6184A">
        <w:rPr>
          <w:sz w:val="22"/>
          <w:szCs w:val="22"/>
        </w:rPr>
        <w:t>ante kondicionalít, vypracovalo tieto dokumenty:</w:t>
      </w:r>
    </w:p>
    <w:p w:rsidR="00A6184A" w:rsidRPr="00A6184A" w:rsidRDefault="00A6184A" w:rsidP="00FE6025">
      <w:pPr>
        <w:pStyle w:val="Odsekzoznamu"/>
        <w:numPr>
          <w:ilvl w:val="0"/>
          <w:numId w:val="62"/>
        </w:numPr>
        <w:spacing w:before="120" w:after="120"/>
        <w:ind w:left="284" w:hanging="284"/>
        <w:jc w:val="both"/>
        <w:rPr>
          <w:b/>
          <w:sz w:val="22"/>
          <w:szCs w:val="22"/>
        </w:rPr>
      </w:pPr>
      <w:r w:rsidRPr="00A6184A">
        <w:rPr>
          <w:b/>
          <w:sz w:val="22"/>
          <w:szCs w:val="22"/>
        </w:rPr>
        <w:t>Strategický plán rozvoja dopravnej infraštruktúry SR do roku 2020 (ďalej aj „</w:t>
      </w:r>
      <w:r w:rsidR="00A11F69">
        <w:rPr>
          <w:b/>
          <w:sz w:val="22"/>
          <w:szCs w:val="22"/>
        </w:rPr>
        <w:t>S</w:t>
      </w:r>
      <w:r w:rsidRPr="00A6184A">
        <w:rPr>
          <w:b/>
          <w:sz w:val="22"/>
          <w:szCs w:val="22"/>
        </w:rPr>
        <w:t>trategický plán“),</w:t>
      </w:r>
    </w:p>
    <w:p w:rsidR="002E0C1C" w:rsidRDefault="00A6184A" w:rsidP="00FE6025">
      <w:pPr>
        <w:pStyle w:val="Odsekzoznamu"/>
        <w:numPr>
          <w:ilvl w:val="0"/>
          <w:numId w:val="62"/>
        </w:numPr>
        <w:spacing w:before="180" w:after="120"/>
        <w:ind w:left="284" w:hanging="284"/>
        <w:jc w:val="both"/>
        <w:rPr>
          <w:b/>
          <w:sz w:val="22"/>
          <w:szCs w:val="22"/>
        </w:rPr>
      </w:pPr>
      <w:r w:rsidRPr="00A6184A">
        <w:rPr>
          <w:b/>
          <w:sz w:val="22"/>
          <w:szCs w:val="22"/>
        </w:rPr>
        <w:t>Stratégia rozvoja verejnej osobnej a nemot</w:t>
      </w:r>
      <w:r>
        <w:rPr>
          <w:b/>
          <w:sz w:val="22"/>
          <w:szCs w:val="22"/>
        </w:rPr>
        <w:t xml:space="preserve">orovej dopravy </w:t>
      </w:r>
      <w:r w:rsidRPr="00A6184A">
        <w:rPr>
          <w:b/>
          <w:sz w:val="22"/>
          <w:szCs w:val="22"/>
        </w:rPr>
        <w:t>do roku 2020 (ďalej aj „</w:t>
      </w:r>
      <w:r w:rsidR="00A11F69">
        <w:rPr>
          <w:b/>
          <w:sz w:val="22"/>
          <w:szCs w:val="22"/>
        </w:rPr>
        <w:t>S</w:t>
      </w:r>
      <w:r w:rsidRPr="00A6184A">
        <w:rPr>
          <w:b/>
          <w:sz w:val="22"/>
          <w:szCs w:val="22"/>
        </w:rPr>
        <w:t>t</w:t>
      </w:r>
      <w:r w:rsidR="00D5177B">
        <w:rPr>
          <w:b/>
          <w:sz w:val="22"/>
          <w:szCs w:val="22"/>
        </w:rPr>
        <w:t>ratégia VOD“),</w:t>
      </w:r>
    </w:p>
    <w:p w:rsidR="00D5177B" w:rsidRPr="00A6184A" w:rsidRDefault="00D5177B" w:rsidP="00FE6025">
      <w:pPr>
        <w:pStyle w:val="Odsekzoznamu"/>
        <w:numPr>
          <w:ilvl w:val="0"/>
          <w:numId w:val="62"/>
        </w:numPr>
        <w:spacing w:before="180" w:after="120"/>
        <w:ind w:left="284" w:hanging="284"/>
        <w:jc w:val="both"/>
        <w:rPr>
          <w:b/>
          <w:sz w:val="22"/>
          <w:szCs w:val="22"/>
        </w:rPr>
      </w:pPr>
      <w:r>
        <w:rPr>
          <w:b/>
          <w:sz w:val="22"/>
          <w:szCs w:val="22"/>
        </w:rPr>
        <w:t>Strategický plán rozvoja a údržby ciest II. a III. triedy.</w:t>
      </w:r>
    </w:p>
    <w:p w:rsidR="00DB79F5" w:rsidRPr="0064169C" w:rsidRDefault="00DB79F5" w:rsidP="00DB79F5">
      <w:pPr>
        <w:spacing w:before="180" w:after="120"/>
        <w:jc w:val="both"/>
        <w:rPr>
          <w:sz w:val="22"/>
          <w:szCs w:val="22"/>
          <w:u w:val="single"/>
        </w:rPr>
      </w:pPr>
      <w:r w:rsidRPr="0064169C">
        <w:rPr>
          <w:sz w:val="22"/>
          <w:szCs w:val="22"/>
          <w:u w:val="single"/>
        </w:rPr>
        <w:t>Strategický plán rozvoja dopravnej infrašt</w:t>
      </w:r>
      <w:r w:rsidR="00A6184A">
        <w:rPr>
          <w:sz w:val="22"/>
          <w:szCs w:val="22"/>
          <w:u w:val="single"/>
        </w:rPr>
        <w:t>ruktúry SR do roku 2020</w:t>
      </w:r>
    </w:p>
    <w:p w:rsidR="00DB79F5" w:rsidRPr="0064169C" w:rsidRDefault="00DB79F5" w:rsidP="00DB79F5">
      <w:pPr>
        <w:spacing w:before="120" w:after="120"/>
        <w:jc w:val="both"/>
        <w:rPr>
          <w:sz w:val="22"/>
          <w:szCs w:val="22"/>
        </w:rPr>
      </w:pPr>
      <w:r w:rsidRPr="0064169C">
        <w:rPr>
          <w:sz w:val="22"/>
          <w:szCs w:val="22"/>
        </w:rPr>
        <w:t xml:space="preserve">Strategický plán rozvoja dopravnej infraštruktúry SR do roku 2020 predstavuje strategický dokument, ktorým sa vymedzujú základné strednodobé </w:t>
      </w:r>
      <w:r>
        <w:rPr>
          <w:sz w:val="22"/>
          <w:szCs w:val="22"/>
        </w:rPr>
        <w:t>c</w:t>
      </w:r>
      <w:r w:rsidRPr="0064169C">
        <w:rPr>
          <w:sz w:val="22"/>
          <w:szCs w:val="22"/>
        </w:rPr>
        <w:t>iele v</w:t>
      </w:r>
      <w:r>
        <w:rPr>
          <w:sz w:val="22"/>
          <w:szCs w:val="22"/>
        </w:rPr>
        <w:t> </w:t>
      </w:r>
      <w:r w:rsidRPr="0064169C">
        <w:rPr>
          <w:sz w:val="22"/>
          <w:szCs w:val="22"/>
        </w:rPr>
        <w:t>oblasti rozvoja dopravnej infraštruktúry, stanovujú priority rozvoja a</w:t>
      </w:r>
      <w:r>
        <w:rPr>
          <w:sz w:val="22"/>
          <w:szCs w:val="22"/>
        </w:rPr>
        <w:t> </w:t>
      </w:r>
      <w:r w:rsidRPr="0064169C">
        <w:rPr>
          <w:sz w:val="22"/>
          <w:szCs w:val="22"/>
        </w:rPr>
        <w:t>identifikujú opatrenia a</w:t>
      </w:r>
      <w:r>
        <w:rPr>
          <w:sz w:val="22"/>
          <w:szCs w:val="22"/>
        </w:rPr>
        <w:t> </w:t>
      </w:r>
      <w:r w:rsidRPr="0064169C">
        <w:rPr>
          <w:sz w:val="22"/>
          <w:szCs w:val="22"/>
        </w:rPr>
        <w:t xml:space="preserve">zdroje na ich dosiahnutie. Stratégia </w:t>
      </w:r>
      <w:r>
        <w:rPr>
          <w:sz w:val="22"/>
          <w:szCs w:val="22"/>
        </w:rPr>
        <w:t>OPII</w:t>
      </w:r>
      <w:r w:rsidRPr="0064169C">
        <w:rPr>
          <w:sz w:val="22"/>
          <w:szCs w:val="22"/>
        </w:rPr>
        <w:t>, ciele a</w:t>
      </w:r>
      <w:r>
        <w:rPr>
          <w:sz w:val="22"/>
          <w:szCs w:val="22"/>
        </w:rPr>
        <w:t> </w:t>
      </w:r>
      <w:r w:rsidRPr="0064169C">
        <w:rPr>
          <w:sz w:val="22"/>
          <w:szCs w:val="22"/>
        </w:rPr>
        <w:t>definované opatrenia potrebné na dosiahnutie cieľov sú priamo spojené s</w:t>
      </w:r>
      <w:r>
        <w:rPr>
          <w:sz w:val="22"/>
          <w:szCs w:val="22"/>
        </w:rPr>
        <w:t> </w:t>
      </w:r>
      <w:r w:rsidRPr="0064169C">
        <w:rPr>
          <w:sz w:val="22"/>
          <w:szCs w:val="22"/>
        </w:rPr>
        <w:t xml:space="preserve">týmto dokumentom. Definovaním cieľov </w:t>
      </w:r>
      <w:r w:rsidRPr="0064169C">
        <w:rPr>
          <w:sz w:val="22"/>
          <w:szCs w:val="22"/>
        </w:rPr>
        <w:lastRenderedPageBreak/>
        <w:t>a</w:t>
      </w:r>
      <w:r>
        <w:rPr>
          <w:sz w:val="22"/>
          <w:szCs w:val="22"/>
        </w:rPr>
        <w:t> </w:t>
      </w:r>
      <w:r w:rsidRPr="0064169C">
        <w:rPr>
          <w:sz w:val="22"/>
          <w:szCs w:val="22"/>
        </w:rPr>
        <w:t xml:space="preserve">návrhom prioritných osí predstavuje </w:t>
      </w:r>
      <w:r>
        <w:rPr>
          <w:sz w:val="22"/>
          <w:szCs w:val="22"/>
        </w:rPr>
        <w:t>OPII</w:t>
      </w:r>
      <w:r w:rsidRPr="0064169C">
        <w:rPr>
          <w:sz w:val="22"/>
          <w:szCs w:val="22"/>
        </w:rPr>
        <w:t xml:space="preserve"> </w:t>
      </w:r>
      <w:r>
        <w:rPr>
          <w:sz w:val="22"/>
          <w:szCs w:val="22"/>
        </w:rPr>
        <w:t>jeden z </w:t>
      </w:r>
      <w:r w:rsidRPr="0064169C">
        <w:rPr>
          <w:sz w:val="22"/>
          <w:szCs w:val="22"/>
        </w:rPr>
        <w:t>implementačný</w:t>
      </w:r>
      <w:r>
        <w:rPr>
          <w:sz w:val="22"/>
          <w:szCs w:val="22"/>
        </w:rPr>
        <w:t xml:space="preserve">ch nástrojov </w:t>
      </w:r>
      <w:r w:rsidRPr="0064169C">
        <w:rPr>
          <w:sz w:val="22"/>
          <w:szCs w:val="22"/>
        </w:rPr>
        <w:t>týchto vízií strategického plánu:</w:t>
      </w:r>
    </w:p>
    <w:p w:rsidR="00DB79F5" w:rsidRPr="0064169C" w:rsidRDefault="00DB79F5" w:rsidP="00FE6025">
      <w:pPr>
        <w:pStyle w:val="Odsekzoznamu"/>
        <w:numPr>
          <w:ilvl w:val="0"/>
          <w:numId w:val="28"/>
        </w:numPr>
        <w:spacing w:before="120" w:after="120"/>
        <w:ind w:left="426" w:hanging="284"/>
        <w:contextualSpacing w:val="0"/>
        <w:jc w:val="both"/>
        <w:rPr>
          <w:sz w:val="22"/>
          <w:szCs w:val="22"/>
        </w:rPr>
      </w:pPr>
      <w:r w:rsidRPr="0064169C">
        <w:rPr>
          <w:sz w:val="22"/>
          <w:szCs w:val="22"/>
        </w:rPr>
        <w:t>v</w:t>
      </w:r>
      <w:r>
        <w:rPr>
          <w:sz w:val="22"/>
          <w:szCs w:val="22"/>
        </w:rPr>
        <w:t> </w:t>
      </w:r>
      <w:r w:rsidRPr="0064169C">
        <w:rPr>
          <w:sz w:val="22"/>
          <w:szCs w:val="22"/>
        </w:rPr>
        <w:t xml:space="preserve">oblasti železničnej dopravy napĺňa </w:t>
      </w:r>
      <w:r>
        <w:rPr>
          <w:sz w:val="22"/>
          <w:szCs w:val="22"/>
        </w:rPr>
        <w:t>OPII</w:t>
      </w:r>
      <w:r w:rsidRPr="0064169C">
        <w:rPr>
          <w:sz w:val="22"/>
          <w:szCs w:val="22"/>
        </w:rPr>
        <w:t xml:space="preserve"> vízie budovania rovnováhy medzi dopravnou ponukou a</w:t>
      </w:r>
      <w:r>
        <w:rPr>
          <w:sz w:val="22"/>
          <w:szCs w:val="22"/>
        </w:rPr>
        <w:t> </w:t>
      </w:r>
      <w:r w:rsidRPr="0064169C">
        <w:rPr>
          <w:sz w:val="22"/>
          <w:szCs w:val="22"/>
        </w:rPr>
        <w:t>prepravným dopytom, resp. infraštruktúrnou ponukou a</w:t>
      </w:r>
      <w:r>
        <w:rPr>
          <w:sz w:val="22"/>
          <w:szCs w:val="22"/>
        </w:rPr>
        <w:t> </w:t>
      </w:r>
      <w:r w:rsidRPr="0064169C">
        <w:rPr>
          <w:sz w:val="22"/>
          <w:szCs w:val="22"/>
        </w:rPr>
        <w:t>dopravným dopytom a</w:t>
      </w:r>
      <w:r>
        <w:rPr>
          <w:sz w:val="22"/>
          <w:szCs w:val="22"/>
        </w:rPr>
        <w:t> </w:t>
      </w:r>
      <w:r w:rsidRPr="0064169C">
        <w:rPr>
          <w:sz w:val="22"/>
          <w:szCs w:val="22"/>
        </w:rPr>
        <w:t>víziu zaistenia podmienok pre rozvoj intermodálnej prepravy pomocou strategických cieľov definovaných v</w:t>
      </w:r>
      <w:r>
        <w:rPr>
          <w:sz w:val="22"/>
          <w:szCs w:val="22"/>
        </w:rPr>
        <w:t> </w:t>
      </w:r>
      <w:r w:rsidRPr="0064169C">
        <w:rPr>
          <w:sz w:val="22"/>
          <w:szCs w:val="22"/>
        </w:rPr>
        <w:t>prioritných osiach 1 a</w:t>
      </w:r>
      <w:r>
        <w:rPr>
          <w:sz w:val="22"/>
          <w:szCs w:val="22"/>
        </w:rPr>
        <w:t> </w:t>
      </w:r>
      <w:r w:rsidRPr="0064169C">
        <w:rPr>
          <w:sz w:val="22"/>
          <w:szCs w:val="22"/>
        </w:rPr>
        <w:t>5,</w:t>
      </w:r>
    </w:p>
    <w:p w:rsidR="00DB79F5" w:rsidRPr="0064169C" w:rsidRDefault="00DB79F5" w:rsidP="00FE6025">
      <w:pPr>
        <w:pStyle w:val="Odsekzoznamu"/>
        <w:numPr>
          <w:ilvl w:val="0"/>
          <w:numId w:val="28"/>
        </w:numPr>
        <w:spacing w:before="120" w:after="120"/>
        <w:ind w:left="426" w:hanging="284"/>
        <w:contextualSpacing w:val="0"/>
        <w:jc w:val="both"/>
        <w:rPr>
          <w:sz w:val="22"/>
          <w:szCs w:val="22"/>
        </w:rPr>
      </w:pPr>
      <w:r w:rsidRPr="0064169C">
        <w:rPr>
          <w:sz w:val="22"/>
          <w:szCs w:val="22"/>
        </w:rPr>
        <w:t>v</w:t>
      </w:r>
      <w:r>
        <w:rPr>
          <w:sz w:val="22"/>
          <w:szCs w:val="22"/>
        </w:rPr>
        <w:t> </w:t>
      </w:r>
      <w:r w:rsidRPr="0064169C">
        <w:rPr>
          <w:sz w:val="22"/>
          <w:szCs w:val="22"/>
        </w:rPr>
        <w:t xml:space="preserve">oblasti cestnej dopravy napĺňa </w:t>
      </w:r>
      <w:r>
        <w:rPr>
          <w:sz w:val="22"/>
          <w:szCs w:val="22"/>
        </w:rPr>
        <w:t>OPII</w:t>
      </w:r>
      <w:r w:rsidRPr="0064169C">
        <w:rPr>
          <w:sz w:val="22"/>
          <w:szCs w:val="22"/>
        </w:rPr>
        <w:t xml:space="preserve"> víziu budovania modernej, kvalitnej, bezpečnej a</w:t>
      </w:r>
      <w:r>
        <w:rPr>
          <w:sz w:val="22"/>
          <w:szCs w:val="22"/>
        </w:rPr>
        <w:t> </w:t>
      </w:r>
      <w:r w:rsidRPr="0064169C">
        <w:rPr>
          <w:sz w:val="22"/>
          <w:szCs w:val="22"/>
        </w:rPr>
        <w:t>efektívne fungujúcej siete diaľnic, rýchlostných ciest a</w:t>
      </w:r>
      <w:r>
        <w:rPr>
          <w:sz w:val="22"/>
          <w:szCs w:val="22"/>
        </w:rPr>
        <w:t> </w:t>
      </w:r>
      <w:r w:rsidRPr="0064169C">
        <w:rPr>
          <w:sz w:val="22"/>
          <w:szCs w:val="22"/>
        </w:rPr>
        <w:t>ciest I. triedy pomocou strategických cieľov definovaných v</w:t>
      </w:r>
      <w:r>
        <w:rPr>
          <w:sz w:val="22"/>
          <w:szCs w:val="22"/>
        </w:rPr>
        <w:t> </w:t>
      </w:r>
      <w:r w:rsidRPr="0064169C">
        <w:rPr>
          <w:sz w:val="22"/>
          <w:szCs w:val="22"/>
        </w:rPr>
        <w:t>prioritných osiach 2 a</w:t>
      </w:r>
      <w:r>
        <w:rPr>
          <w:sz w:val="22"/>
          <w:szCs w:val="22"/>
        </w:rPr>
        <w:t> </w:t>
      </w:r>
      <w:r w:rsidRPr="0064169C">
        <w:rPr>
          <w:sz w:val="22"/>
          <w:szCs w:val="22"/>
        </w:rPr>
        <w:t>6,</w:t>
      </w:r>
    </w:p>
    <w:p w:rsidR="00DB79F5" w:rsidRPr="0064169C" w:rsidRDefault="00DB79F5" w:rsidP="00FE6025">
      <w:pPr>
        <w:pStyle w:val="Odsekzoznamu"/>
        <w:numPr>
          <w:ilvl w:val="0"/>
          <w:numId w:val="28"/>
        </w:numPr>
        <w:spacing w:before="180" w:after="120"/>
        <w:ind w:left="426" w:hanging="284"/>
        <w:jc w:val="both"/>
        <w:rPr>
          <w:sz w:val="22"/>
          <w:szCs w:val="22"/>
        </w:rPr>
      </w:pPr>
      <w:r w:rsidRPr="0064169C">
        <w:rPr>
          <w:sz w:val="22"/>
          <w:szCs w:val="22"/>
        </w:rPr>
        <w:t>v</w:t>
      </w:r>
      <w:r>
        <w:rPr>
          <w:sz w:val="22"/>
          <w:szCs w:val="22"/>
        </w:rPr>
        <w:t> </w:t>
      </w:r>
      <w:r w:rsidRPr="0064169C">
        <w:rPr>
          <w:sz w:val="22"/>
          <w:szCs w:val="22"/>
        </w:rPr>
        <w:t xml:space="preserve">oblasti vodnej dopravy napĺňa </w:t>
      </w:r>
      <w:r>
        <w:rPr>
          <w:sz w:val="22"/>
          <w:szCs w:val="22"/>
        </w:rPr>
        <w:t>OPII</w:t>
      </w:r>
      <w:r w:rsidRPr="0064169C">
        <w:rPr>
          <w:sz w:val="22"/>
          <w:szCs w:val="22"/>
        </w:rPr>
        <w:t xml:space="preserve"> vízie budovania modernej, bezpečnej a</w:t>
      </w:r>
      <w:r>
        <w:rPr>
          <w:sz w:val="22"/>
          <w:szCs w:val="22"/>
        </w:rPr>
        <w:t> </w:t>
      </w:r>
      <w:r w:rsidRPr="0064169C">
        <w:rPr>
          <w:sz w:val="22"/>
          <w:szCs w:val="22"/>
        </w:rPr>
        <w:t xml:space="preserve">integrovanej infraštruktúry </w:t>
      </w:r>
      <w:r w:rsidRPr="0044578F">
        <w:rPr>
          <w:sz w:val="22"/>
          <w:szCs w:val="22"/>
        </w:rPr>
        <w:t>(vodná dopravná cesta, verejné prístavy) a prevádzky</w:t>
      </w:r>
      <w:r w:rsidRPr="0064169C">
        <w:rPr>
          <w:sz w:val="22"/>
          <w:szCs w:val="22"/>
        </w:rPr>
        <w:t xml:space="preserve"> vodnej dopravy pomocou strategických cieľov definovaných v</w:t>
      </w:r>
      <w:r>
        <w:rPr>
          <w:sz w:val="22"/>
          <w:szCs w:val="22"/>
        </w:rPr>
        <w:t> </w:t>
      </w:r>
      <w:r w:rsidRPr="0064169C">
        <w:rPr>
          <w:sz w:val="22"/>
          <w:szCs w:val="22"/>
        </w:rPr>
        <w:t>prioritnej osi 4.</w:t>
      </w:r>
    </w:p>
    <w:p w:rsidR="00DB79F5" w:rsidRPr="0064169C" w:rsidRDefault="00DB79F5" w:rsidP="00DB79F5">
      <w:pPr>
        <w:spacing w:before="180" w:after="120"/>
        <w:jc w:val="both"/>
        <w:rPr>
          <w:sz w:val="22"/>
          <w:szCs w:val="22"/>
          <w:u w:val="single"/>
        </w:rPr>
      </w:pPr>
      <w:r>
        <w:rPr>
          <w:sz w:val="22"/>
          <w:szCs w:val="22"/>
          <w:u w:val="single"/>
        </w:rPr>
        <w:t>Stratégia</w:t>
      </w:r>
      <w:r w:rsidRPr="0064169C">
        <w:rPr>
          <w:sz w:val="22"/>
          <w:szCs w:val="22"/>
          <w:u w:val="single"/>
        </w:rPr>
        <w:t xml:space="preserve"> rozvoja verejnej osobnej </w:t>
      </w:r>
      <w:r>
        <w:rPr>
          <w:sz w:val="22"/>
          <w:szCs w:val="22"/>
          <w:u w:val="single"/>
        </w:rPr>
        <w:t>a </w:t>
      </w:r>
      <w:r w:rsidRPr="0044578F">
        <w:rPr>
          <w:sz w:val="22"/>
          <w:szCs w:val="22"/>
          <w:u w:val="single"/>
        </w:rPr>
        <w:t>nemotorovej</w:t>
      </w:r>
      <w:r>
        <w:rPr>
          <w:sz w:val="22"/>
          <w:szCs w:val="22"/>
          <w:u w:val="single"/>
        </w:rPr>
        <w:t xml:space="preserve"> </w:t>
      </w:r>
      <w:r w:rsidRPr="0064169C">
        <w:rPr>
          <w:sz w:val="22"/>
          <w:szCs w:val="22"/>
          <w:u w:val="single"/>
        </w:rPr>
        <w:t>dopravy SR do roku 2020</w:t>
      </w:r>
    </w:p>
    <w:p w:rsidR="00DB79F5" w:rsidRPr="0064169C" w:rsidRDefault="00DB79F5" w:rsidP="00FD1F7C">
      <w:pPr>
        <w:spacing w:before="120"/>
        <w:jc w:val="both"/>
        <w:rPr>
          <w:sz w:val="22"/>
          <w:szCs w:val="22"/>
        </w:rPr>
      </w:pPr>
      <w:r>
        <w:rPr>
          <w:sz w:val="22"/>
          <w:szCs w:val="22"/>
        </w:rPr>
        <w:t>Stratégia</w:t>
      </w:r>
      <w:r w:rsidRPr="0064169C">
        <w:rPr>
          <w:sz w:val="22"/>
          <w:szCs w:val="22"/>
        </w:rPr>
        <w:t xml:space="preserve"> rozvoja verejnej osobnej </w:t>
      </w:r>
      <w:r>
        <w:rPr>
          <w:sz w:val="22"/>
          <w:szCs w:val="22"/>
        </w:rPr>
        <w:t>a </w:t>
      </w:r>
      <w:r w:rsidRPr="0044578F">
        <w:rPr>
          <w:sz w:val="22"/>
          <w:szCs w:val="22"/>
        </w:rPr>
        <w:t>nemotorovej</w:t>
      </w:r>
      <w:r>
        <w:rPr>
          <w:sz w:val="22"/>
          <w:szCs w:val="22"/>
        </w:rPr>
        <w:t xml:space="preserve"> </w:t>
      </w:r>
      <w:r w:rsidRPr="0064169C">
        <w:rPr>
          <w:sz w:val="22"/>
          <w:szCs w:val="22"/>
        </w:rPr>
        <w:t>dopravy SR do roku 2020 predstavuje strategický dokument, ktorým sa vymedzujú základné strednodobé a</w:t>
      </w:r>
      <w:r>
        <w:rPr>
          <w:sz w:val="22"/>
          <w:szCs w:val="22"/>
        </w:rPr>
        <w:t> </w:t>
      </w:r>
      <w:r w:rsidRPr="0064169C">
        <w:rPr>
          <w:sz w:val="22"/>
          <w:szCs w:val="22"/>
        </w:rPr>
        <w:t>dlhodobé ciele v</w:t>
      </w:r>
      <w:r>
        <w:rPr>
          <w:sz w:val="22"/>
          <w:szCs w:val="22"/>
        </w:rPr>
        <w:t> </w:t>
      </w:r>
      <w:r w:rsidRPr="0064169C">
        <w:rPr>
          <w:sz w:val="22"/>
          <w:szCs w:val="22"/>
        </w:rPr>
        <w:t>oblasti rozvoja verejnej osobnej dopravy na Slovensku, stanovujú priority rozvoja a</w:t>
      </w:r>
      <w:r>
        <w:rPr>
          <w:sz w:val="22"/>
          <w:szCs w:val="22"/>
        </w:rPr>
        <w:t> </w:t>
      </w:r>
      <w:r w:rsidRPr="0064169C">
        <w:rPr>
          <w:sz w:val="22"/>
          <w:szCs w:val="22"/>
        </w:rPr>
        <w:t>identifikujú opatrenia a</w:t>
      </w:r>
      <w:r>
        <w:rPr>
          <w:sz w:val="22"/>
          <w:szCs w:val="22"/>
        </w:rPr>
        <w:t> zdroje na </w:t>
      </w:r>
      <w:r w:rsidRPr="0064169C">
        <w:rPr>
          <w:sz w:val="22"/>
          <w:szCs w:val="22"/>
        </w:rPr>
        <w:t xml:space="preserve">ich dosiahnutie. Stratégia </w:t>
      </w:r>
      <w:r>
        <w:rPr>
          <w:sz w:val="22"/>
          <w:szCs w:val="22"/>
        </w:rPr>
        <w:t>OPII</w:t>
      </w:r>
      <w:r w:rsidRPr="0064169C">
        <w:rPr>
          <w:sz w:val="22"/>
          <w:szCs w:val="22"/>
        </w:rPr>
        <w:t>, ciele a</w:t>
      </w:r>
      <w:r>
        <w:rPr>
          <w:sz w:val="22"/>
          <w:szCs w:val="22"/>
        </w:rPr>
        <w:t> </w:t>
      </w:r>
      <w:r w:rsidRPr="0064169C">
        <w:rPr>
          <w:sz w:val="22"/>
          <w:szCs w:val="22"/>
        </w:rPr>
        <w:t>definované opatrenia potrebné na dosiahnutie cieľov sú priamo spojené s</w:t>
      </w:r>
      <w:r>
        <w:rPr>
          <w:sz w:val="22"/>
          <w:szCs w:val="22"/>
        </w:rPr>
        <w:t> </w:t>
      </w:r>
      <w:r w:rsidRPr="0064169C">
        <w:rPr>
          <w:sz w:val="22"/>
          <w:szCs w:val="22"/>
        </w:rPr>
        <w:t>týmto strategickým dokumentom. Definovaním cieľov a</w:t>
      </w:r>
      <w:r>
        <w:rPr>
          <w:sz w:val="22"/>
          <w:szCs w:val="22"/>
        </w:rPr>
        <w:t> </w:t>
      </w:r>
      <w:r w:rsidRPr="0064169C">
        <w:rPr>
          <w:sz w:val="22"/>
          <w:szCs w:val="22"/>
        </w:rPr>
        <w:t xml:space="preserve">návrhom prioritných osí predstavuje </w:t>
      </w:r>
      <w:r>
        <w:rPr>
          <w:sz w:val="22"/>
          <w:szCs w:val="22"/>
        </w:rPr>
        <w:t>OPII</w:t>
      </w:r>
      <w:r w:rsidRPr="0064169C">
        <w:rPr>
          <w:sz w:val="22"/>
          <w:szCs w:val="22"/>
        </w:rPr>
        <w:t xml:space="preserve"> </w:t>
      </w:r>
      <w:r>
        <w:rPr>
          <w:sz w:val="22"/>
          <w:szCs w:val="22"/>
        </w:rPr>
        <w:t xml:space="preserve">jeden z </w:t>
      </w:r>
      <w:r w:rsidRPr="0064169C">
        <w:rPr>
          <w:sz w:val="22"/>
          <w:szCs w:val="22"/>
        </w:rPr>
        <w:t>implementačný</w:t>
      </w:r>
      <w:r>
        <w:rPr>
          <w:sz w:val="22"/>
          <w:szCs w:val="22"/>
        </w:rPr>
        <w:t>ch</w:t>
      </w:r>
      <w:r w:rsidRPr="0064169C">
        <w:rPr>
          <w:sz w:val="22"/>
          <w:szCs w:val="22"/>
        </w:rPr>
        <w:t xml:space="preserve"> nástroj</w:t>
      </w:r>
      <w:r>
        <w:rPr>
          <w:sz w:val="22"/>
          <w:szCs w:val="22"/>
        </w:rPr>
        <w:t>ov</w:t>
      </w:r>
      <w:r w:rsidRPr="0064169C">
        <w:rPr>
          <w:sz w:val="22"/>
          <w:szCs w:val="22"/>
        </w:rPr>
        <w:t xml:space="preserve"> týchto vízií strategického plánu:</w:t>
      </w:r>
    </w:p>
    <w:p w:rsidR="00DB79F5" w:rsidRPr="00E57693" w:rsidRDefault="00DB79F5" w:rsidP="00FE6025">
      <w:pPr>
        <w:pStyle w:val="Odsekzoznamu"/>
        <w:numPr>
          <w:ilvl w:val="0"/>
          <w:numId w:val="28"/>
        </w:numPr>
        <w:spacing w:before="180" w:after="120"/>
        <w:ind w:left="426" w:hanging="284"/>
        <w:jc w:val="both"/>
        <w:rPr>
          <w:sz w:val="22"/>
          <w:szCs w:val="22"/>
        </w:rPr>
      </w:pPr>
      <w:r w:rsidRPr="00E57693">
        <w:rPr>
          <w:sz w:val="22"/>
          <w:szCs w:val="22"/>
        </w:rPr>
        <w:t>vízia udržateľnej regionálnej a</w:t>
      </w:r>
      <w:r>
        <w:rPr>
          <w:sz w:val="22"/>
          <w:szCs w:val="22"/>
        </w:rPr>
        <w:t> </w:t>
      </w:r>
      <w:r w:rsidRPr="00E57693">
        <w:rPr>
          <w:sz w:val="22"/>
          <w:szCs w:val="22"/>
        </w:rPr>
        <w:t>mestskej mobility s</w:t>
      </w:r>
      <w:r>
        <w:rPr>
          <w:sz w:val="22"/>
          <w:szCs w:val="22"/>
        </w:rPr>
        <w:t> </w:t>
      </w:r>
      <w:r w:rsidRPr="00E57693">
        <w:rPr>
          <w:sz w:val="22"/>
          <w:szCs w:val="22"/>
        </w:rPr>
        <w:t>vyšším podielom verejnej osobnej dopravy na deľbe prepravnej práce,</w:t>
      </w:r>
    </w:p>
    <w:p w:rsidR="00DB79F5" w:rsidRPr="00E57693" w:rsidRDefault="00DB79F5" w:rsidP="00FE6025">
      <w:pPr>
        <w:pStyle w:val="Odsekzoznamu"/>
        <w:numPr>
          <w:ilvl w:val="0"/>
          <w:numId w:val="28"/>
        </w:numPr>
        <w:spacing w:before="180" w:after="120"/>
        <w:ind w:left="426" w:hanging="284"/>
        <w:jc w:val="both"/>
        <w:rPr>
          <w:sz w:val="22"/>
          <w:szCs w:val="22"/>
        </w:rPr>
      </w:pPr>
      <w:r w:rsidRPr="00E57693">
        <w:rPr>
          <w:sz w:val="22"/>
          <w:szCs w:val="22"/>
        </w:rPr>
        <w:t>vízia dostupnej, spoľahlivej a</w:t>
      </w:r>
      <w:r>
        <w:rPr>
          <w:sz w:val="22"/>
          <w:szCs w:val="22"/>
        </w:rPr>
        <w:t> </w:t>
      </w:r>
      <w:r w:rsidRPr="00E57693">
        <w:rPr>
          <w:sz w:val="22"/>
          <w:szCs w:val="22"/>
        </w:rPr>
        <w:t>používateľsky jednoduchej verejnej osobnej dopravy,</w:t>
      </w:r>
    </w:p>
    <w:p w:rsidR="00B322C7" w:rsidRDefault="00DB79F5" w:rsidP="00FE6025">
      <w:pPr>
        <w:pStyle w:val="Odsekzoznamu"/>
        <w:numPr>
          <w:ilvl w:val="0"/>
          <w:numId w:val="28"/>
        </w:numPr>
        <w:spacing w:before="180" w:after="120"/>
        <w:ind w:left="426" w:hanging="284"/>
        <w:jc w:val="both"/>
        <w:rPr>
          <w:sz w:val="22"/>
          <w:szCs w:val="22"/>
        </w:rPr>
      </w:pPr>
      <w:r w:rsidRPr="00E57693">
        <w:rPr>
          <w:sz w:val="22"/>
          <w:szCs w:val="22"/>
        </w:rPr>
        <w:t>vízia</w:t>
      </w:r>
      <w:r w:rsidRPr="0064169C">
        <w:rPr>
          <w:sz w:val="22"/>
          <w:szCs w:val="22"/>
        </w:rPr>
        <w:t xml:space="preserve"> infraštruktúry umožňujúcej prevádzku kvalitnej integrovanej verejnej osobnej dopravy.</w:t>
      </w:r>
    </w:p>
    <w:p w:rsidR="00FD1F7C" w:rsidRDefault="00FD1F7C" w:rsidP="00FD1F7C">
      <w:pPr>
        <w:spacing w:before="180" w:after="120"/>
        <w:jc w:val="both"/>
        <w:rPr>
          <w:sz w:val="22"/>
          <w:szCs w:val="22"/>
          <w:u w:val="single"/>
        </w:rPr>
      </w:pPr>
      <w:r>
        <w:rPr>
          <w:sz w:val="22"/>
          <w:szCs w:val="22"/>
          <w:u w:val="single"/>
        </w:rPr>
        <w:t>Strategický plán rozvoja a údržby ciest II. a III. triedy</w:t>
      </w:r>
    </w:p>
    <w:p w:rsidR="00FD1F7C" w:rsidRPr="00C82510" w:rsidRDefault="00C82510" w:rsidP="00FD1F7C">
      <w:pPr>
        <w:spacing w:after="120"/>
        <w:jc w:val="both"/>
        <w:rPr>
          <w:sz w:val="22"/>
          <w:szCs w:val="22"/>
        </w:rPr>
      </w:pPr>
      <w:r w:rsidRPr="00C82510">
        <w:rPr>
          <w:sz w:val="22"/>
          <w:szCs w:val="22"/>
        </w:rPr>
        <w:t xml:space="preserve">Strategický plán rozvoja a údržby ciest II. a III. triedy predstavuje </w:t>
      </w:r>
      <w:r w:rsidR="00A32FFD">
        <w:rPr>
          <w:sz w:val="22"/>
          <w:szCs w:val="22"/>
        </w:rPr>
        <w:t>strategický dokument, ktorým sa </w:t>
      </w:r>
      <w:r w:rsidRPr="00C82510">
        <w:rPr>
          <w:sz w:val="22"/>
          <w:szCs w:val="22"/>
        </w:rPr>
        <w:t xml:space="preserve">vymedzujú základné strednodobé a dlhodobé ciele v oblasti rozvoja dopravnej infraštruktúry v jednotlivých </w:t>
      </w:r>
      <w:r>
        <w:rPr>
          <w:sz w:val="22"/>
          <w:szCs w:val="22"/>
        </w:rPr>
        <w:t>regiónoch, a to ciest II. a III. triedy, stanovujú sa priority ich rozvoja a identifikujú opatrenia a zdroje na ich dosiahnutie.</w:t>
      </w:r>
    </w:p>
    <w:p w:rsidR="00DB79F5" w:rsidRDefault="00DB79F5" w:rsidP="009322BF">
      <w:pPr>
        <w:pStyle w:val="Nadpis4"/>
        <w:spacing w:before="240"/>
      </w:pPr>
      <w:r>
        <w:t>Informačná spoločnosť</w:t>
      </w:r>
    </w:p>
    <w:p w:rsidR="00DB79F5" w:rsidRDefault="00DB79F5" w:rsidP="00DB79F5">
      <w:pPr>
        <w:pStyle w:val="06Normal"/>
        <w:spacing w:before="0" w:after="120"/>
        <w:rPr>
          <w:szCs w:val="22"/>
          <w:u w:val="single"/>
        </w:rPr>
      </w:pPr>
      <w:r>
        <w:t xml:space="preserve">Stratégia </w:t>
      </w:r>
      <w:r w:rsidR="00841ABF">
        <w:t>P</w:t>
      </w:r>
      <w:r>
        <w:t>rioritnej osi</w:t>
      </w:r>
      <w:r w:rsidR="00841ABF">
        <w:t xml:space="preserve"> 7</w:t>
      </w:r>
      <w:r>
        <w:t xml:space="preserve"> Informačná spoločnosť vychádza z výsledkov analýzy a prognózy vývoja sektoru digitálnej ekonomiky, identifikovaných kľúčových disparít a potenciálnych faktorov rozvoja. Prioritná os</w:t>
      </w:r>
      <w:r w:rsidR="00841ABF">
        <w:t xml:space="preserve"> 7</w:t>
      </w:r>
      <w:r>
        <w:t xml:space="preserve"> zodpovedá potrebám identifikovaným v analýze a tematickému zameraniu uvedenému v pozičnom dokumente a sú orientované na podporu faktorov rozvoja. Zámerom je tiež zosúladenie sa s politickými prioritami stratégie Európa 2020 a ex ante kondicionalitami, ako aj výkonnostnými stimulmi, aby bolo možné dosiahnuť efektívnejšie vynakladanie prostriedkov.</w:t>
      </w:r>
      <w:r w:rsidR="0059698C">
        <w:t xml:space="preserve"> Operačný program svojimi cieľmi a aktivitami nadväzuje a realizuje priority definované v dokumente Európskej komisie eGovernment Action Plan.</w:t>
      </w:r>
    </w:p>
    <w:p w:rsidR="00E92F9B" w:rsidRDefault="001218A8">
      <w:pPr>
        <w:pStyle w:val="Nadpis4"/>
        <w:tabs>
          <w:tab w:val="clear" w:pos="864"/>
        </w:tabs>
        <w:spacing w:before="240"/>
        <w:ind w:left="709" w:hanging="709"/>
      </w:pPr>
      <w:r w:rsidRPr="001218A8">
        <w:t xml:space="preserve">Prepojenie stratégie OPII - IS s plnením stratégie Európa </w:t>
      </w:r>
      <w:r w:rsidR="00A172C4">
        <w:t>2020</w:t>
      </w:r>
    </w:p>
    <w:p w:rsidR="00841ABF" w:rsidRDefault="00841ABF" w:rsidP="00841ABF">
      <w:pPr>
        <w:jc w:val="both"/>
        <w:rPr>
          <w:sz w:val="22"/>
          <w:szCs w:val="22"/>
        </w:rPr>
      </w:pPr>
      <w:r w:rsidRPr="00560E77">
        <w:rPr>
          <w:sz w:val="22"/>
          <w:szCs w:val="22"/>
        </w:rPr>
        <w:t>Európska únia v roku 2010 prijala stratégiu Európa 2020 - Stratégiu na zabezpečenie inteligentného, udržateľného a inkluzívneho rastu, v ktorej je premietnutá vízia európskeho</w:t>
      </w:r>
      <w:r>
        <w:rPr>
          <w:sz w:val="22"/>
          <w:szCs w:val="22"/>
        </w:rPr>
        <w:t>,</w:t>
      </w:r>
      <w:r w:rsidRPr="00560E77">
        <w:rPr>
          <w:sz w:val="22"/>
          <w:szCs w:val="22"/>
        </w:rPr>
        <w:t xml:space="preserve"> sociálneho</w:t>
      </w:r>
      <w:r>
        <w:rPr>
          <w:sz w:val="22"/>
          <w:szCs w:val="22"/>
        </w:rPr>
        <w:t>,</w:t>
      </w:r>
      <w:r w:rsidRPr="00560E77">
        <w:rPr>
          <w:sz w:val="22"/>
          <w:szCs w:val="22"/>
        </w:rPr>
        <w:t xml:space="preserve"> trhového hospodárstva zameraná na rast a zamestnanosť.</w:t>
      </w:r>
      <w:r>
        <w:rPr>
          <w:sz w:val="22"/>
          <w:szCs w:val="22"/>
        </w:rPr>
        <w:t xml:space="preserve"> </w:t>
      </w:r>
      <w:r w:rsidRPr="00560E77">
        <w:rPr>
          <w:sz w:val="22"/>
          <w:szCs w:val="22"/>
        </w:rPr>
        <w:t>Prioritná os</w:t>
      </w:r>
      <w:r>
        <w:rPr>
          <w:sz w:val="22"/>
          <w:szCs w:val="22"/>
        </w:rPr>
        <w:t xml:space="preserve"> 7</w:t>
      </w:r>
      <w:r w:rsidRPr="00560E77">
        <w:rPr>
          <w:sz w:val="22"/>
          <w:szCs w:val="22"/>
        </w:rPr>
        <w:t xml:space="preserve"> Informačná spoločnosť prispieva p</w:t>
      </w:r>
      <w:r w:rsidR="00D21821">
        <w:rPr>
          <w:sz w:val="22"/>
          <w:szCs w:val="22"/>
        </w:rPr>
        <w:t>rioritne k inteligentnému rastu</w:t>
      </w:r>
      <w:r w:rsidRPr="00560E77">
        <w:rPr>
          <w:sz w:val="22"/>
          <w:szCs w:val="22"/>
        </w:rPr>
        <w:t xml:space="preserve"> s následným dopadom aj na priority udržateľného a inkluzívneho rastu. </w:t>
      </w:r>
    </w:p>
    <w:p w:rsidR="00841ABF" w:rsidRPr="00560E77" w:rsidRDefault="00841ABF" w:rsidP="00841ABF">
      <w:pPr>
        <w:spacing w:before="120" w:after="120"/>
        <w:jc w:val="both"/>
        <w:rPr>
          <w:sz w:val="22"/>
          <w:szCs w:val="22"/>
        </w:rPr>
      </w:pPr>
      <w:r w:rsidRPr="00560E77">
        <w:rPr>
          <w:sz w:val="22"/>
          <w:szCs w:val="22"/>
        </w:rPr>
        <w:t xml:space="preserve">Rozvoj informačnej spoločnosti má ambíciu prispieť k nasledujúcim národným cieľom stratégie: </w:t>
      </w:r>
    </w:p>
    <w:p w:rsidR="00841ABF" w:rsidRDefault="00841ABF" w:rsidP="00FE6025">
      <w:pPr>
        <w:pStyle w:val="Odsekzoznamu"/>
        <w:numPr>
          <w:ilvl w:val="0"/>
          <w:numId w:val="28"/>
        </w:numPr>
        <w:spacing w:before="120" w:after="120"/>
        <w:ind w:left="568" w:hanging="284"/>
        <w:jc w:val="both"/>
        <w:rPr>
          <w:sz w:val="22"/>
          <w:szCs w:val="22"/>
        </w:rPr>
      </w:pPr>
      <w:r w:rsidRPr="00560E77">
        <w:rPr>
          <w:sz w:val="22"/>
          <w:szCs w:val="22"/>
        </w:rPr>
        <w:t>zvýšiť mieru zamestnanosti obyvateľstva vo veku 20-64 rokov na minimálne 72 %, a to vytváraním nových pozícií v dynamickom sektore digitálnej ek</w:t>
      </w:r>
      <w:r w:rsidR="0095191D">
        <w:rPr>
          <w:sz w:val="22"/>
          <w:szCs w:val="22"/>
        </w:rPr>
        <w:t>onomiky a investíciami štátu do </w:t>
      </w:r>
      <w:r w:rsidRPr="00560E77">
        <w:rPr>
          <w:sz w:val="22"/>
          <w:szCs w:val="22"/>
        </w:rPr>
        <w:t xml:space="preserve">informačných a komunikačných technológií a ďalších odvetví digitálnej ekonomiky; </w:t>
      </w:r>
    </w:p>
    <w:p w:rsidR="00841ABF" w:rsidRDefault="00841ABF" w:rsidP="00FE6025">
      <w:pPr>
        <w:pStyle w:val="Odsekzoznamu"/>
        <w:numPr>
          <w:ilvl w:val="0"/>
          <w:numId w:val="28"/>
        </w:numPr>
        <w:spacing w:before="120" w:after="120"/>
        <w:ind w:left="568" w:hanging="284"/>
        <w:jc w:val="both"/>
        <w:rPr>
          <w:sz w:val="22"/>
          <w:szCs w:val="22"/>
        </w:rPr>
      </w:pPr>
      <w:r w:rsidRPr="00560E77">
        <w:rPr>
          <w:sz w:val="22"/>
          <w:szCs w:val="22"/>
        </w:rPr>
        <w:lastRenderedPageBreak/>
        <w:t>znížiť počet osôb ohrozených chudobou alebo vylúčením v SR o 170 tisíc obyvateľov, a to p</w:t>
      </w:r>
      <w:r w:rsidRPr="00D90E59">
        <w:rPr>
          <w:sz w:val="22"/>
          <w:szCs w:val="22"/>
        </w:rPr>
        <w:t>odp</w:t>
      </w:r>
      <w:r w:rsidRPr="00560E77">
        <w:rPr>
          <w:sz w:val="22"/>
          <w:szCs w:val="22"/>
        </w:rPr>
        <w:t>orou nástrojov pre eInklúziu, zlepšovaním IKT zručností populácie, reformou verejnej správy, ktorá zjednodušuje prístup k službám a motivuje všetky sociálne vrstvy k participácii;</w:t>
      </w:r>
    </w:p>
    <w:p w:rsidR="00E92F9B" w:rsidRDefault="00841ABF" w:rsidP="00FE6025">
      <w:pPr>
        <w:pStyle w:val="Odsekzoznamu"/>
        <w:numPr>
          <w:ilvl w:val="0"/>
          <w:numId w:val="28"/>
        </w:numPr>
        <w:ind w:left="568" w:hanging="284"/>
        <w:jc w:val="both"/>
        <w:rPr>
          <w:sz w:val="22"/>
          <w:szCs w:val="22"/>
        </w:rPr>
      </w:pPr>
      <w:r w:rsidRPr="00560E77">
        <w:rPr>
          <w:sz w:val="22"/>
          <w:szCs w:val="22"/>
        </w:rPr>
        <w:t xml:space="preserve">zvýšiť energetickú efektívnosť SR znížením konečnej energetickej spotreby o 11 % voči priemeru rokov 2001 – 2005, a to konsolidovaním informačných systémov a hardvérovej infraštruktúry do cloudových dátových centier; </w:t>
      </w:r>
    </w:p>
    <w:p w:rsidR="00E92F9B" w:rsidRDefault="00841ABF" w:rsidP="00FE6025">
      <w:pPr>
        <w:pStyle w:val="Odsekzoznamu"/>
        <w:numPr>
          <w:ilvl w:val="0"/>
          <w:numId w:val="28"/>
        </w:numPr>
        <w:ind w:left="567" w:hanging="283"/>
        <w:contextualSpacing w:val="0"/>
        <w:jc w:val="both"/>
        <w:rPr>
          <w:sz w:val="22"/>
          <w:szCs w:val="22"/>
        </w:rPr>
      </w:pPr>
      <w:r w:rsidRPr="00560E77">
        <w:rPr>
          <w:sz w:val="22"/>
          <w:szCs w:val="22"/>
        </w:rPr>
        <w:t>dosiahnuť e-Government index na úrovni 90 %</w:t>
      </w:r>
      <w:r>
        <w:rPr>
          <w:rStyle w:val="Odkaznapoznmkupodiarou"/>
          <w:sz w:val="22"/>
          <w:szCs w:val="22"/>
        </w:rPr>
        <w:footnoteReference w:id="5"/>
      </w:r>
      <w:r w:rsidRPr="00560E77">
        <w:rPr>
          <w:sz w:val="22"/>
          <w:szCs w:val="22"/>
        </w:rPr>
        <w:t>.</w:t>
      </w:r>
    </w:p>
    <w:p w:rsidR="00DB79F5" w:rsidRDefault="00DB79F5" w:rsidP="00DB79F5">
      <w:pPr>
        <w:pStyle w:val="Odsekzoznamu"/>
        <w:spacing w:before="240"/>
        <w:ind w:left="0"/>
        <w:contextualSpacing w:val="0"/>
        <w:jc w:val="both"/>
        <w:rPr>
          <w:sz w:val="22"/>
          <w:szCs w:val="22"/>
        </w:rPr>
      </w:pPr>
      <w:r w:rsidRPr="00C95E85">
        <w:rPr>
          <w:sz w:val="22"/>
          <w:szCs w:val="22"/>
        </w:rPr>
        <w:t xml:space="preserve">Pre prioritu inteligentného rastu stratégie Európa 2020 bola navrhnutá </w:t>
      </w:r>
      <w:r>
        <w:rPr>
          <w:sz w:val="22"/>
          <w:szCs w:val="22"/>
        </w:rPr>
        <w:t>iniciatíva Digitálna agenda pre </w:t>
      </w:r>
      <w:r w:rsidRPr="00C95E85">
        <w:rPr>
          <w:sz w:val="22"/>
          <w:szCs w:val="22"/>
        </w:rPr>
        <w:t xml:space="preserve">Európu, ktorá predstavuje sektorovú stratégiu. Zámerom </w:t>
      </w:r>
      <w:r w:rsidR="00A172C4">
        <w:rPr>
          <w:sz w:val="22"/>
          <w:szCs w:val="22"/>
        </w:rPr>
        <w:t>P</w:t>
      </w:r>
      <w:r w:rsidR="00841ABF">
        <w:rPr>
          <w:sz w:val="22"/>
          <w:szCs w:val="22"/>
        </w:rPr>
        <w:t xml:space="preserve">rioritnej osi 7 </w:t>
      </w:r>
      <w:r w:rsidRPr="00C95E85">
        <w:rPr>
          <w:sz w:val="22"/>
          <w:szCs w:val="22"/>
        </w:rPr>
        <w:t xml:space="preserve">je koncipovať nové programové obdobie tak, aby bolo možné účinne implementovať </w:t>
      </w:r>
      <w:r>
        <w:rPr>
          <w:sz w:val="22"/>
          <w:szCs w:val="22"/>
        </w:rPr>
        <w:t>opatrenia Digitálnej agendy pre </w:t>
      </w:r>
      <w:r w:rsidRPr="00C95E85">
        <w:rPr>
          <w:sz w:val="22"/>
          <w:szCs w:val="22"/>
        </w:rPr>
        <w:t>Európu, ku ktorým sa Slovensko zaväzuje. Navrhované aktivity</w:t>
      </w:r>
      <w:r>
        <w:rPr>
          <w:sz w:val="22"/>
          <w:szCs w:val="22"/>
        </w:rPr>
        <w:t xml:space="preserve"> špecifických cieľov</w:t>
      </w:r>
      <w:r w:rsidR="00841ABF">
        <w:rPr>
          <w:sz w:val="22"/>
          <w:szCs w:val="22"/>
        </w:rPr>
        <w:t xml:space="preserve"> Prioritnej osi 7</w:t>
      </w:r>
      <w:r>
        <w:rPr>
          <w:sz w:val="22"/>
          <w:szCs w:val="22"/>
        </w:rPr>
        <w:t xml:space="preserve"> čerpajú zo </w:t>
      </w:r>
      <w:r w:rsidRPr="00C95E85">
        <w:rPr>
          <w:sz w:val="22"/>
          <w:szCs w:val="22"/>
        </w:rPr>
        <w:t>všetkých siedmich piliero</w:t>
      </w:r>
      <w:r>
        <w:rPr>
          <w:sz w:val="22"/>
          <w:szCs w:val="22"/>
        </w:rPr>
        <w:t>v</w:t>
      </w:r>
      <w:r w:rsidRPr="00C95E85">
        <w:rPr>
          <w:sz w:val="22"/>
          <w:szCs w:val="22"/>
        </w:rPr>
        <w:t xml:space="preserve"> Digitálnej agendy pre Európu:</w:t>
      </w:r>
    </w:p>
    <w:p w:rsidR="00DB79F5" w:rsidRDefault="00DB79F5" w:rsidP="00DB79F5">
      <w:pPr>
        <w:pStyle w:val="Tab"/>
      </w:pPr>
      <w:r w:rsidRPr="00C95E85">
        <w:t>Plnenie Digitálnej agendy pre Európu z pohľadu prioritných tém</w:t>
      </w:r>
    </w:p>
    <w:tbl>
      <w:tblPr>
        <w:tblStyle w:val="Mriekatabuky"/>
        <w:tblW w:w="4938" w:type="pct"/>
        <w:tblInd w:w="108" w:type="dxa"/>
        <w:tblLook w:val="04A0"/>
      </w:tblPr>
      <w:tblGrid>
        <w:gridCol w:w="2453"/>
        <w:gridCol w:w="3784"/>
        <w:gridCol w:w="2935"/>
      </w:tblGrid>
      <w:tr w:rsidR="00DB79F5" w:rsidRPr="00DE0A8B" w:rsidTr="00373F09">
        <w:trPr>
          <w:trHeight w:val="340"/>
        </w:trPr>
        <w:tc>
          <w:tcPr>
            <w:tcW w:w="1337" w:type="pct"/>
            <w:tcBorders>
              <w:bottom w:val="single" w:sz="4" w:space="0" w:color="auto"/>
            </w:tcBorders>
            <w:shd w:val="clear" w:color="auto" w:fill="C6D9F1" w:themeFill="text2" w:themeFillTint="33"/>
            <w:vAlign w:val="center"/>
          </w:tcPr>
          <w:p w:rsidR="00DB79F5" w:rsidRDefault="00DB79F5" w:rsidP="00373F09">
            <w:pPr>
              <w:ind w:left="0"/>
              <w:jc w:val="center"/>
              <w:rPr>
                <w:b/>
                <w:color w:val="000000" w:themeColor="text1"/>
                <w:sz w:val="18"/>
                <w:szCs w:val="18"/>
              </w:rPr>
            </w:pPr>
            <w:r w:rsidRPr="00C95E85">
              <w:rPr>
                <w:b/>
                <w:color w:val="000000" w:themeColor="text1"/>
                <w:sz w:val="18"/>
                <w:szCs w:val="18"/>
              </w:rPr>
              <w:t>Pilier</w:t>
            </w:r>
          </w:p>
        </w:tc>
        <w:tc>
          <w:tcPr>
            <w:tcW w:w="2063" w:type="pct"/>
            <w:shd w:val="clear" w:color="auto" w:fill="C6D9F1" w:themeFill="text2" w:themeFillTint="33"/>
            <w:vAlign w:val="center"/>
          </w:tcPr>
          <w:p w:rsidR="00DB79F5" w:rsidRDefault="00DB79F5" w:rsidP="00373F09">
            <w:pPr>
              <w:ind w:left="0"/>
              <w:jc w:val="center"/>
              <w:rPr>
                <w:b/>
                <w:color w:val="000000" w:themeColor="text1"/>
                <w:sz w:val="18"/>
                <w:szCs w:val="18"/>
              </w:rPr>
            </w:pPr>
            <w:r w:rsidRPr="00C95E85">
              <w:rPr>
                <w:b/>
                <w:color w:val="000000" w:themeColor="text1"/>
                <w:sz w:val="18"/>
                <w:szCs w:val="18"/>
              </w:rPr>
              <w:t>Hlavné aktivity</w:t>
            </w:r>
          </w:p>
        </w:tc>
        <w:tc>
          <w:tcPr>
            <w:tcW w:w="1600" w:type="pct"/>
            <w:shd w:val="clear" w:color="auto" w:fill="C6D9F1" w:themeFill="text2" w:themeFillTint="33"/>
            <w:vAlign w:val="center"/>
          </w:tcPr>
          <w:p w:rsidR="00DB79F5" w:rsidRDefault="00DB79F5" w:rsidP="00373F09">
            <w:pPr>
              <w:ind w:left="0"/>
              <w:jc w:val="center"/>
              <w:rPr>
                <w:b/>
                <w:color w:val="000000" w:themeColor="text1"/>
                <w:sz w:val="18"/>
                <w:szCs w:val="18"/>
              </w:rPr>
            </w:pPr>
            <w:r w:rsidRPr="00C95E85">
              <w:rPr>
                <w:b/>
                <w:color w:val="000000" w:themeColor="text1"/>
                <w:sz w:val="18"/>
                <w:szCs w:val="18"/>
              </w:rPr>
              <w:t>Špecifické ciele</w:t>
            </w:r>
          </w:p>
        </w:tc>
      </w:tr>
      <w:tr w:rsidR="00DB79F5" w:rsidRPr="00DE0A8B" w:rsidTr="00373F09">
        <w:trPr>
          <w:trHeight w:val="1050"/>
        </w:trPr>
        <w:tc>
          <w:tcPr>
            <w:tcW w:w="1337" w:type="pct"/>
            <w:vMerge w:val="restart"/>
            <w:shd w:val="clear" w:color="auto" w:fill="FFFFFF" w:themeFill="background1"/>
          </w:tcPr>
          <w:p w:rsidR="00DB79F5" w:rsidRDefault="00DB79F5" w:rsidP="00373F09">
            <w:pPr>
              <w:spacing w:after="120"/>
              <w:ind w:left="0"/>
              <w:rPr>
                <w:bCs/>
                <w:iCs/>
                <w:sz w:val="18"/>
                <w:szCs w:val="18"/>
              </w:rPr>
            </w:pPr>
            <w:r w:rsidRPr="00C95E85">
              <w:rPr>
                <w:bCs/>
                <w:iCs/>
                <w:sz w:val="18"/>
                <w:szCs w:val="18"/>
              </w:rPr>
              <w:t>I. Digitálny jednotný trh</w:t>
            </w:r>
          </w:p>
        </w:tc>
        <w:tc>
          <w:tcPr>
            <w:tcW w:w="2063" w:type="pct"/>
            <w:shd w:val="clear" w:color="auto" w:fill="auto"/>
          </w:tcPr>
          <w:p w:rsidR="00DB79F5" w:rsidRPr="00411EDA" w:rsidRDefault="00DB79F5" w:rsidP="00DB79F5">
            <w:pPr>
              <w:pStyle w:val="Odsekzoznamu"/>
              <w:numPr>
                <w:ilvl w:val="0"/>
                <w:numId w:val="16"/>
              </w:numPr>
              <w:tabs>
                <w:tab w:val="left" w:pos="567"/>
                <w:tab w:val="left" w:leader="dot" w:pos="9356"/>
              </w:tabs>
              <w:spacing w:before="120"/>
              <w:ind w:left="275" w:hanging="275"/>
              <w:rPr>
                <w:sz w:val="18"/>
                <w:szCs w:val="18"/>
              </w:rPr>
            </w:pPr>
            <w:r w:rsidRPr="00C95E85">
              <w:rPr>
                <w:sz w:val="18"/>
                <w:szCs w:val="18"/>
              </w:rPr>
              <w:t>Poskytnutie verejných zdrojov dát pre znovu použitie</w:t>
            </w:r>
          </w:p>
          <w:p w:rsidR="00DB79F5" w:rsidRPr="00411EDA" w:rsidRDefault="00DB79F5" w:rsidP="00DB79F5">
            <w:pPr>
              <w:pStyle w:val="Odsekzoznamu"/>
              <w:numPr>
                <w:ilvl w:val="0"/>
                <w:numId w:val="16"/>
              </w:numPr>
              <w:spacing w:before="120"/>
              <w:ind w:left="275" w:hanging="275"/>
              <w:rPr>
                <w:sz w:val="18"/>
                <w:szCs w:val="18"/>
              </w:rPr>
            </w:pPr>
            <w:r w:rsidRPr="00C95E85">
              <w:rPr>
                <w:sz w:val="18"/>
                <w:szCs w:val="18"/>
              </w:rPr>
              <w:t>Pravidlá na ochranu dát</w:t>
            </w:r>
          </w:p>
        </w:tc>
        <w:tc>
          <w:tcPr>
            <w:tcW w:w="1600" w:type="pct"/>
            <w:shd w:val="clear" w:color="auto" w:fill="auto"/>
            <w:vAlign w:val="center"/>
          </w:tcPr>
          <w:p w:rsidR="00DB79F5" w:rsidRDefault="00DB79F5" w:rsidP="00373F09">
            <w:pPr>
              <w:pStyle w:val="Odsekzoznamu"/>
              <w:tabs>
                <w:tab w:val="left" w:leader="dot" w:pos="9356"/>
              </w:tabs>
              <w:spacing w:before="120" w:after="120"/>
              <w:ind w:left="0"/>
              <w:jc w:val="both"/>
              <w:rPr>
                <w:sz w:val="18"/>
                <w:szCs w:val="18"/>
              </w:rPr>
            </w:pPr>
            <w:r>
              <w:rPr>
                <w:sz w:val="18"/>
                <w:szCs w:val="18"/>
              </w:rPr>
              <w:t xml:space="preserve">Zlepšenie </w:t>
            </w:r>
            <w:r w:rsidRPr="00FF0568">
              <w:rPr>
                <w:sz w:val="18"/>
                <w:szCs w:val="18"/>
              </w:rPr>
              <w:t>celkovej dostupnosti dát</w:t>
            </w:r>
            <w:r>
              <w:rPr>
                <w:sz w:val="18"/>
                <w:szCs w:val="18"/>
              </w:rPr>
              <w:t xml:space="preserve"> </w:t>
            </w:r>
            <w:r w:rsidRPr="00C95E85">
              <w:rPr>
                <w:sz w:val="18"/>
                <w:szCs w:val="18"/>
              </w:rPr>
              <w:t>verejnej správy vo forme otvorených dát</w:t>
            </w:r>
          </w:p>
        </w:tc>
      </w:tr>
      <w:tr w:rsidR="00DB79F5" w:rsidRPr="00DE0A8B" w:rsidTr="00373F09">
        <w:trPr>
          <w:trHeight w:val="1141"/>
        </w:trPr>
        <w:tc>
          <w:tcPr>
            <w:tcW w:w="1337" w:type="pct"/>
            <w:vMerge/>
            <w:shd w:val="clear" w:color="auto" w:fill="FFFFFF" w:themeFill="background1"/>
          </w:tcPr>
          <w:p w:rsidR="00DB79F5" w:rsidRPr="00DE0A8B" w:rsidRDefault="00DB79F5" w:rsidP="00373F09">
            <w:pPr>
              <w:pStyle w:val="Odsekzoznamu"/>
              <w:spacing w:after="120"/>
              <w:ind w:left="0"/>
              <w:rPr>
                <w:b/>
                <w:bCs/>
                <w:iCs/>
                <w:sz w:val="22"/>
                <w:szCs w:val="22"/>
              </w:rPr>
            </w:pPr>
          </w:p>
        </w:tc>
        <w:tc>
          <w:tcPr>
            <w:tcW w:w="2063" w:type="pct"/>
            <w:shd w:val="clear" w:color="auto" w:fill="auto"/>
          </w:tcPr>
          <w:p w:rsidR="00DB79F5" w:rsidRPr="00411EDA" w:rsidRDefault="00DB79F5" w:rsidP="00DB79F5">
            <w:pPr>
              <w:pStyle w:val="Odsekzoznamu"/>
              <w:numPr>
                <w:ilvl w:val="0"/>
                <w:numId w:val="16"/>
              </w:numPr>
              <w:tabs>
                <w:tab w:val="left" w:pos="567"/>
                <w:tab w:val="left" w:leader="dot" w:pos="9356"/>
              </w:tabs>
              <w:spacing w:before="120"/>
              <w:ind w:left="275" w:hanging="275"/>
              <w:rPr>
                <w:sz w:val="18"/>
                <w:szCs w:val="18"/>
              </w:rPr>
            </w:pPr>
            <w:r w:rsidRPr="00C95E85">
              <w:rPr>
                <w:sz w:val="18"/>
                <w:szCs w:val="18"/>
              </w:rPr>
              <w:t>Opatrenia na rozvoj Európskeho trhu s online obsahom</w:t>
            </w:r>
          </w:p>
          <w:p w:rsidR="00DB79F5" w:rsidRPr="00411EDA" w:rsidRDefault="00DB79F5" w:rsidP="00DB79F5">
            <w:pPr>
              <w:pStyle w:val="Odsekzoznamu"/>
              <w:numPr>
                <w:ilvl w:val="0"/>
                <w:numId w:val="16"/>
              </w:numPr>
              <w:spacing w:before="120"/>
              <w:ind w:left="275" w:hanging="275"/>
              <w:rPr>
                <w:sz w:val="18"/>
                <w:szCs w:val="18"/>
              </w:rPr>
            </w:pPr>
            <w:r w:rsidRPr="00C95E85">
              <w:rPr>
                <w:sz w:val="18"/>
                <w:szCs w:val="18"/>
              </w:rPr>
              <w:t xml:space="preserve">Migrácia na </w:t>
            </w:r>
            <w:r>
              <w:rPr>
                <w:sz w:val="18"/>
                <w:szCs w:val="18"/>
              </w:rPr>
              <w:t xml:space="preserve">Jednotnú európsku platbu, </w:t>
            </w:r>
            <w:r w:rsidRPr="00C95E85">
              <w:rPr>
                <w:sz w:val="18"/>
                <w:szCs w:val="18"/>
              </w:rPr>
              <w:t>eInvoicing, nariadenie o elektronickej identifikácii a dôveryhodných službách pre elektronické transakcie na vnútornom trhu, smernica pre eCommerce</w:t>
            </w:r>
          </w:p>
          <w:p w:rsidR="00DB79F5" w:rsidRPr="00411EDA" w:rsidRDefault="00DB79F5" w:rsidP="00DB79F5">
            <w:pPr>
              <w:pStyle w:val="Odsekzoznamu"/>
              <w:numPr>
                <w:ilvl w:val="0"/>
                <w:numId w:val="16"/>
              </w:numPr>
              <w:spacing w:before="120"/>
              <w:ind w:left="275" w:hanging="275"/>
              <w:rPr>
                <w:sz w:val="18"/>
                <w:szCs w:val="18"/>
              </w:rPr>
            </w:pPr>
            <w:r w:rsidRPr="00C95E85">
              <w:rPr>
                <w:sz w:val="18"/>
                <w:szCs w:val="18"/>
              </w:rPr>
              <w:t>Pravidlá na ochranu dát</w:t>
            </w:r>
          </w:p>
          <w:p w:rsidR="00DB79F5" w:rsidRPr="00411EDA" w:rsidRDefault="00DB79F5" w:rsidP="00DB79F5">
            <w:pPr>
              <w:pStyle w:val="Odsekzoznamu"/>
              <w:numPr>
                <w:ilvl w:val="0"/>
                <w:numId w:val="16"/>
              </w:numPr>
              <w:spacing w:before="120"/>
              <w:ind w:left="275" w:hanging="275"/>
              <w:rPr>
                <w:sz w:val="18"/>
                <w:szCs w:val="18"/>
              </w:rPr>
            </w:pPr>
            <w:r w:rsidRPr="00C95E85">
              <w:rPr>
                <w:sz w:val="18"/>
                <w:szCs w:val="18"/>
              </w:rPr>
              <w:t>Zjednodušeni</w:t>
            </w:r>
            <w:r>
              <w:rPr>
                <w:sz w:val="18"/>
                <w:szCs w:val="18"/>
              </w:rPr>
              <w:t>e</w:t>
            </w:r>
            <w:r w:rsidRPr="00C95E85">
              <w:rPr>
                <w:sz w:val="18"/>
                <w:szCs w:val="18"/>
              </w:rPr>
              <w:t xml:space="preserve"> podnikania v rámci </w:t>
            </w:r>
            <w:r>
              <w:rPr>
                <w:sz w:val="18"/>
                <w:szCs w:val="18"/>
              </w:rPr>
              <w:t>E</w:t>
            </w:r>
            <w:r w:rsidRPr="00C95E85">
              <w:rPr>
                <w:sz w:val="18"/>
                <w:szCs w:val="18"/>
              </w:rPr>
              <w:t xml:space="preserve">urópskej únie </w:t>
            </w:r>
          </w:p>
        </w:tc>
        <w:tc>
          <w:tcPr>
            <w:tcW w:w="1600" w:type="pct"/>
            <w:shd w:val="clear" w:color="auto" w:fill="auto"/>
            <w:vAlign w:val="center"/>
          </w:tcPr>
          <w:p w:rsidR="00DB79F5" w:rsidRPr="00411EDA" w:rsidRDefault="00DB79F5" w:rsidP="00373F09">
            <w:pPr>
              <w:pStyle w:val="Odsekzoznamu"/>
              <w:tabs>
                <w:tab w:val="left" w:pos="567"/>
                <w:tab w:val="left" w:leader="dot" w:pos="9356"/>
              </w:tabs>
              <w:spacing w:before="120" w:after="120"/>
              <w:ind w:left="0"/>
              <w:rPr>
                <w:sz w:val="18"/>
                <w:szCs w:val="18"/>
              </w:rPr>
            </w:pPr>
            <w:r w:rsidRPr="00C95E85">
              <w:rPr>
                <w:sz w:val="18"/>
                <w:szCs w:val="18"/>
              </w:rPr>
              <w:t xml:space="preserve">Zvýšenie inovačnej kapacity </w:t>
            </w:r>
            <w:r w:rsidR="00841ABF">
              <w:rPr>
                <w:sz w:val="18"/>
                <w:szCs w:val="18"/>
              </w:rPr>
              <w:t xml:space="preserve">najmä </w:t>
            </w:r>
            <w:r w:rsidRPr="00C95E85">
              <w:rPr>
                <w:sz w:val="18"/>
                <w:szCs w:val="18"/>
              </w:rPr>
              <w:t>malých a stredných podnikateľov v digitálnej ekonomike</w:t>
            </w:r>
          </w:p>
          <w:p w:rsidR="00DB79F5" w:rsidRPr="00411EDA" w:rsidRDefault="00DB79F5" w:rsidP="00373F09">
            <w:pPr>
              <w:pStyle w:val="Odsekzoznamu"/>
              <w:spacing w:before="120" w:after="120"/>
              <w:ind w:left="0"/>
              <w:rPr>
                <w:sz w:val="18"/>
                <w:szCs w:val="18"/>
              </w:rPr>
            </w:pPr>
          </w:p>
          <w:p w:rsidR="00DB79F5" w:rsidRPr="00411EDA" w:rsidRDefault="00DB79F5" w:rsidP="00373F09">
            <w:pPr>
              <w:pStyle w:val="Odsekzoznamu"/>
              <w:spacing w:before="120" w:after="120"/>
              <w:ind w:left="0"/>
              <w:rPr>
                <w:sz w:val="18"/>
                <w:szCs w:val="18"/>
              </w:rPr>
            </w:pPr>
            <w:r w:rsidRPr="00C95E85">
              <w:rPr>
                <w:sz w:val="18"/>
                <w:szCs w:val="18"/>
              </w:rPr>
              <w:t xml:space="preserve">Umožnenie modernizácie a </w:t>
            </w:r>
            <w:r>
              <w:rPr>
                <w:sz w:val="18"/>
                <w:szCs w:val="18"/>
              </w:rPr>
              <w:t>r</w:t>
            </w:r>
            <w:r w:rsidRPr="00C95E85">
              <w:rPr>
                <w:sz w:val="18"/>
                <w:szCs w:val="18"/>
              </w:rPr>
              <w:t>acionalizácie verejnej správy IKT prostriedkami</w:t>
            </w:r>
          </w:p>
        </w:tc>
      </w:tr>
      <w:tr w:rsidR="00DB79F5" w:rsidRPr="00DE0A8B" w:rsidTr="00373F09">
        <w:tc>
          <w:tcPr>
            <w:tcW w:w="1337" w:type="pct"/>
            <w:shd w:val="clear" w:color="auto" w:fill="FFFFFF" w:themeFill="background1"/>
          </w:tcPr>
          <w:p w:rsidR="00DB79F5" w:rsidRDefault="00DB79F5" w:rsidP="00373F09">
            <w:pPr>
              <w:spacing w:after="120"/>
              <w:ind w:left="0"/>
              <w:rPr>
                <w:bCs/>
                <w:iCs/>
                <w:sz w:val="18"/>
                <w:szCs w:val="18"/>
              </w:rPr>
            </w:pPr>
            <w:r w:rsidRPr="00C95E85">
              <w:rPr>
                <w:bCs/>
                <w:iCs/>
                <w:sz w:val="18"/>
                <w:szCs w:val="18"/>
              </w:rPr>
              <w:t>II. Interoperabilita a normy</w:t>
            </w:r>
          </w:p>
        </w:tc>
        <w:tc>
          <w:tcPr>
            <w:tcW w:w="2063" w:type="pct"/>
          </w:tcPr>
          <w:p w:rsidR="00DB79F5" w:rsidRPr="00411EDA" w:rsidRDefault="00DB79F5" w:rsidP="00DB79F5">
            <w:pPr>
              <w:pStyle w:val="Odsekzoznamu"/>
              <w:numPr>
                <w:ilvl w:val="0"/>
                <w:numId w:val="16"/>
              </w:numPr>
              <w:tabs>
                <w:tab w:val="left" w:pos="567"/>
                <w:tab w:val="left" w:leader="dot" w:pos="9356"/>
              </w:tabs>
              <w:spacing w:before="120"/>
              <w:ind w:left="275" w:hanging="275"/>
              <w:rPr>
                <w:sz w:val="18"/>
                <w:szCs w:val="18"/>
              </w:rPr>
            </w:pPr>
            <w:r w:rsidRPr="00C95E85">
              <w:rPr>
                <w:sz w:val="18"/>
                <w:szCs w:val="18"/>
              </w:rPr>
              <w:t>Presadzovanie interoperability prijatím európskej stratégie a rámca interoperability</w:t>
            </w:r>
          </w:p>
          <w:p w:rsidR="00DB79F5" w:rsidRPr="00411EDA" w:rsidRDefault="00DB79F5" w:rsidP="00DB79F5">
            <w:pPr>
              <w:pStyle w:val="Odsekzoznamu"/>
              <w:numPr>
                <w:ilvl w:val="0"/>
                <w:numId w:val="16"/>
              </w:numPr>
              <w:spacing w:before="120"/>
              <w:ind w:left="275" w:hanging="275"/>
              <w:rPr>
                <w:sz w:val="18"/>
                <w:szCs w:val="18"/>
              </w:rPr>
            </w:pPr>
            <w:r w:rsidRPr="00C95E85">
              <w:rPr>
                <w:sz w:val="18"/>
                <w:szCs w:val="18"/>
              </w:rPr>
              <w:t>Prijatie opatrení v oblasti legislatívy, štandardov, spoločných rámcov, implementácie generických nástrojov a znovu použiteľných technických blokov</w:t>
            </w:r>
            <w:r>
              <w:rPr>
                <w:sz w:val="18"/>
                <w:szCs w:val="18"/>
              </w:rPr>
              <w:t>,</w:t>
            </w:r>
            <w:r w:rsidRPr="00C95E85">
              <w:rPr>
                <w:sz w:val="18"/>
                <w:szCs w:val="18"/>
              </w:rPr>
              <w:t xml:space="preserve"> ktoré umožnia cezhraničnú interoperabilitu služieb a systémov</w:t>
            </w:r>
          </w:p>
          <w:p w:rsidR="00DB79F5" w:rsidRPr="00411EDA" w:rsidRDefault="00DB79F5" w:rsidP="00DB79F5">
            <w:pPr>
              <w:pStyle w:val="Odsekzoznamu"/>
              <w:numPr>
                <w:ilvl w:val="0"/>
                <w:numId w:val="16"/>
              </w:numPr>
              <w:spacing w:before="120"/>
              <w:ind w:left="275" w:hanging="275"/>
              <w:rPr>
                <w:sz w:val="18"/>
                <w:szCs w:val="18"/>
              </w:rPr>
            </w:pPr>
            <w:r w:rsidRPr="00C95E85">
              <w:rPr>
                <w:sz w:val="18"/>
                <w:szCs w:val="18"/>
              </w:rPr>
              <w:t>Vzájomné uznanie eID a dôveryhodných služieb pre elektronické transakcie</w:t>
            </w:r>
          </w:p>
        </w:tc>
        <w:tc>
          <w:tcPr>
            <w:tcW w:w="1600" w:type="pct"/>
            <w:vAlign w:val="center"/>
          </w:tcPr>
          <w:p w:rsidR="00DB79F5" w:rsidRPr="00411EDA" w:rsidRDefault="00DB79F5" w:rsidP="00373F09">
            <w:pPr>
              <w:pStyle w:val="Odsekzoznamu"/>
              <w:tabs>
                <w:tab w:val="left" w:pos="567"/>
                <w:tab w:val="left" w:leader="dot" w:pos="9356"/>
              </w:tabs>
              <w:spacing w:before="120" w:after="120"/>
              <w:ind w:left="0"/>
              <w:rPr>
                <w:sz w:val="18"/>
                <w:szCs w:val="18"/>
              </w:rPr>
            </w:pPr>
            <w:r w:rsidRPr="00C95E85">
              <w:rPr>
                <w:sz w:val="18"/>
                <w:szCs w:val="18"/>
              </w:rPr>
              <w:t>Zvýšenie</w:t>
            </w:r>
            <w:r>
              <w:rPr>
                <w:sz w:val="18"/>
                <w:szCs w:val="18"/>
              </w:rPr>
              <w:t xml:space="preserve"> </w:t>
            </w:r>
            <w:r w:rsidRPr="00C95E85">
              <w:rPr>
                <w:sz w:val="18"/>
                <w:szCs w:val="18"/>
              </w:rPr>
              <w:t>kvality, štandardu a dostupnosti eGovernment služieb pre podnikateľov</w:t>
            </w:r>
          </w:p>
          <w:p w:rsidR="00DB79F5" w:rsidRPr="00411EDA" w:rsidRDefault="00DB79F5" w:rsidP="00373F09">
            <w:pPr>
              <w:pStyle w:val="Odsekzoznamu"/>
              <w:spacing w:before="120" w:after="120"/>
              <w:ind w:left="0"/>
              <w:rPr>
                <w:sz w:val="18"/>
                <w:szCs w:val="18"/>
              </w:rPr>
            </w:pPr>
          </w:p>
          <w:p w:rsidR="00DB79F5" w:rsidRPr="00411EDA" w:rsidRDefault="00DB79F5" w:rsidP="00373F09">
            <w:pPr>
              <w:pStyle w:val="Odsekzoznamu"/>
              <w:spacing w:before="120" w:after="120"/>
              <w:ind w:left="0"/>
              <w:rPr>
                <w:sz w:val="18"/>
                <w:szCs w:val="18"/>
              </w:rPr>
            </w:pPr>
            <w:r w:rsidRPr="00C95E85">
              <w:rPr>
                <w:sz w:val="18"/>
                <w:szCs w:val="18"/>
              </w:rPr>
              <w:t>Umožnenie modernizácie a racionalizácie verejnej správy IKT prostriedkami</w:t>
            </w:r>
          </w:p>
          <w:p w:rsidR="00DB79F5" w:rsidRPr="00411EDA" w:rsidRDefault="00DB79F5" w:rsidP="00373F09">
            <w:pPr>
              <w:pStyle w:val="Odsekzoznamu"/>
              <w:spacing w:before="120" w:after="120"/>
              <w:ind w:left="0"/>
              <w:rPr>
                <w:sz w:val="18"/>
                <w:szCs w:val="18"/>
              </w:rPr>
            </w:pPr>
          </w:p>
          <w:p w:rsidR="00DB79F5" w:rsidRPr="00411EDA" w:rsidRDefault="00DB79F5" w:rsidP="00373F09">
            <w:pPr>
              <w:pStyle w:val="Odsekzoznamu"/>
              <w:spacing w:before="120" w:after="120"/>
              <w:ind w:left="0"/>
              <w:rPr>
                <w:sz w:val="18"/>
                <w:szCs w:val="18"/>
              </w:rPr>
            </w:pPr>
            <w:r w:rsidRPr="00C95E85">
              <w:rPr>
                <w:sz w:val="18"/>
                <w:szCs w:val="18"/>
              </w:rPr>
              <w:t>Zvýšenie kvality, štandardu a dostupnosti eGovernment služieb pre občanov</w:t>
            </w:r>
          </w:p>
        </w:tc>
      </w:tr>
      <w:tr w:rsidR="00DB79F5" w:rsidRPr="00DE0A8B" w:rsidTr="00373F09">
        <w:tc>
          <w:tcPr>
            <w:tcW w:w="1337" w:type="pct"/>
            <w:shd w:val="clear" w:color="auto" w:fill="FFFFFF" w:themeFill="background1"/>
          </w:tcPr>
          <w:p w:rsidR="00DB79F5" w:rsidRDefault="00DB79F5" w:rsidP="00373F09">
            <w:pPr>
              <w:spacing w:after="120"/>
              <w:ind w:left="0"/>
              <w:rPr>
                <w:bCs/>
                <w:iCs/>
                <w:sz w:val="18"/>
                <w:szCs w:val="18"/>
              </w:rPr>
            </w:pPr>
            <w:r w:rsidRPr="00C95E85">
              <w:rPr>
                <w:bCs/>
                <w:iCs/>
                <w:sz w:val="18"/>
                <w:szCs w:val="18"/>
              </w:rPr>
              <w:t>III. Dôvera a bezpečnosť</w:t>
            </w:r>
          </w:p>
        </w:tc>
        <w:tc>
          <w:tcPr>
            <w:tcW w:w="2063" w:type="pct"/>
          </w:tcPr>
          <w:p w:rsidR="00DB79F5" w:rsidRPr="00411EDA" w:rsidRDefault="00DB79F5" w:rsidP="00DB79F5">
            <w:pPr>
              <w:pStyle w:val="Odsekzoznamu"/>
              <w:numPr>
                <w:ilvl w:val="0"/>
                <w:numId w:val="16"/>
              </w:numPr>
              <w:tabs>
                <w:tab w:val="left" w:pos="567"/>
                <w:tab w:val="left" w:leader="dot" w:pos="9356"/>
              </w:tabs>
              <w:spacing w:before="120"/>
              <w:ind w:left="275" w:hanging="275"/>
              <w:rPr>
                <w:sz w:val="18"/>
                <w:szCs w:val="18"/>
              </w:rPr>
            </w:pPr>
            <w:r w:rsidRPr="00C95E85">
              <w:rPr>
                <w:sz w:val="18"/>
                <w:szCs w:val="18"/>
              </w:rPr>
              <w:t>Boj proti kybe</w:t>
            </w:r>
            <w:r w:rsidRPr="00FF0568">
              <w:rPr>
                <w:sz w:val="18"/>
                <w:szCs w:val="18"/>
              </w:rPr>
              <w:t xml:space="preserve">rnetickým útokom, EU platforma </w:t>
            </w:r>
            <w:r>
              <w:rPr>
                <w:sz w:val="18"/>
                <w:szCs w:val="18"/>
              </w:rPr>
              <w:t>k</w:t>
            </w:r>
            <w:r w:rsidRPr="00C95E85">
              <w:rPr>
                <w:sz w:val="18"/>
                <w:szCs w:val="18"/>
              </w:rPr>
              <w:t>yber zločinu</w:t>
            </w:r>
          </w:p>
          <w:p w:rsidR="00DB79F5" w:rsidRPr="00411EDA" w:rsidRDefault="00DB79F5" w:rsidP="00DB79F5">
            <w:pPr>
              <w:pStyle w:val="Odsekzoznamu"/>
              <w:numPr>
                <w:ilvl w:val="0"/>
                <w:numId w:val="16"/>
              </w:numPr>
              <w:spacing w:before="120"/>
              <w:ind w:left="275" w:hanging="275"/>
              <w:rPr>
                <w:sz w:val="18"/>
                <w:szCs w:val="18"/>
              </w:rPr>
            </w:pPr>
            <w:r w:rsidRPr="00C95E85">
              <w:rPr>
                <w:sz w:val="18"/>
                <w:szCs w:val="18"/>
              </w:rPr>
              <w:t>Poskytovanie notifikácii o prelomení bezpečnosti</w:t>
            </w:r>
          </w:p>
          <w:p w:rsidR="00DB79F5" w:rsidRPr="00411EDA" w:rsidRDefault="00DB79F5" w:rsidP="00DB79F5">
            <w:pPr>
              <w:pStyle w:val="Odsekzoznamu"/>
              <w:numPr>
                <w:ilvl w:val="0"/>
                <w:numId w:val="16"/>
              </w:numPr>
              <w:spacing w:before="120"/>
              <w:ind w:left="275" w:hanging="275"/>
              <w:rPr>
                <w:sz w:val="18"/>
                <w:szCs w:val="18"/>
              </w:rPr>
            </w:pPr>
            <w:r w:rsidRPr="00C95E85">
              <w:rPr>
                <w:sz w:val="18"/>
                <w:szCs w:val="18"/>
              </w:rPr>
              <w:t>Rozvoj Národnej platformy alarmov a upozornení</w:t>
            </w:r>
          </w:p>
          <w:p w:rsidR="00DB79F5" w:rsidRPr="00411EDA" w:rsidRDefault="00DB79F5" w:rsidP="00DB79F5">
            <w:pPr>
              <w:pStyle w:val="Odsekzoznamu"/>
              <w:numPr>
                <w:ilvl w:val="0"/>
                <w:numId w:val="16"/>
              </w:numPr>
              <w:spacing w:before="120"/>
              <w:ind w:left="275" w:hanging="275"/>
              <w:rPr>
                <w:sz w:val="18"/>
                <w:szCs w:val="18"/>
              </w:rPr>
            </w:pPr>
            <w:r w:rsidRPr="00C95E85">
              <w:rPr>
                <w:sz w:val="18"/>
                <w:szCs w:val="18"/>
              </w:rPr>
              <w:t>Vytváranie lepšieho internetu pre deti (zodpovedný prístup pri využívaní internetu)</w:t>
            </w:r>
          </w:p>
        </w:tc>
        <w:tc>
          <w:tcPr>
            <w:tcW w:w="1600" w:type="pct"/>
            <w:vAlign w:val="center"/>
          </w:tcPr>
          <w:p w:rsidR="00DB79F5" w:rsidRDefault="00DB79F5" w:rsidP="00373F09">
            <w:pPr>
              <w:pStyle w:val="Odsekzoznamu"/>
              <w:tabs>
                <w:tab w:val="left" w:pos="1027"/>
                <w:tab w:val="left" w:leader="dot" w:pos="9356"/>
              </w:tabs>
              <w:spacing w:before="120" w:after="120"/>
              <w:ind w:left="0"/>
              <w:rPr>
                <w:sz w:val="18"/>
                <w:szCs w:val="18"/>
              </w:rPr>
            </w:pPr>
            <w:r w:rsidRPr="00C95E85">
              <w:rPr>
                <w:sz w:val="18"/>
                <w:szCs w:val="18"/>
              </w:rPr>
              <w:t xml:space="preserve">Zvýšenie </w:t>
            </w:r>
            <w:r>
              <w:rPr>
                <w:sz w:val="18"/>
                <w:szCs w:val="18"/>
              </w:rPr>
              <w:t>k</w:t>
            </w:r>
            <w:r w:rsidRPr="00FF0568">
              <w:rPr>
                <w:sz w:val="18"/>
                <w:szCs w:val="18"/>
              </w:rPr>
              <w:t>ybernetickej bezpečnosti v</w:t>
            </w:r>
            <w:r>
              <w:rPr>
                <w:sz w:val="18"/>
                <w:szCs w:val="18"/>
              </w:rPr>
              <w:t xml:space="preserve"> </w:t>
            </w:r>
            <w:r w:rsidRPr="00C95E85">
              <w:rPr>
                <w:sz w:val="18"/>
                <w:szCs w:val="18"/>
              </w:rPr>
              <w:t>spoločnosti</w:t>
            </w:r>
          </w:p>
        </w:tc>
      </w:tr>
      <w:tr w:rsidR="00DB79F5" w:rsidRPr="00DE0A8B" w:rsidTr="00373F09">
        <w:tc>
          <w:tcPr>
            <w:tcW w:w="1337" w:type="pct"/>
            <w:shd w:val="clear" w:color="auto" w:fill="FFFFFF" w:themeFill="background1"/>
          </w:tcPr>
          <w:p w:rsidR="00DB79F5" w:rsidRDefault="00DB79F5" w:rsidP="00373F09">
            <w:pPr>
              <w:spacing w:after="120"/>
              <w:ind w:left="0"/>
              <w:rPr>
                <w:bCs/>
                <w:iCs/>
                <w:sz w:val="18"/>
                <w:szCs w:val="18"/>
              </w:rPr>
            </w:pPr>
            <w:r w:rsidRPr="00C95E85">
              <w:rPr>
                <w:bCs/>
                <w:iCs/>
                <w:sz w:val="18"/>
                <w:szCs w:val="18"/>
              </w:rPr>
              <w:t>IV. Prístup k rýchlemu a superrýchlemu internetu</w:t>
            </w:r>
          </w:p>
        </w:tc>
        <w:tc>
          <w:tcPr>
            <w:tcW w:w="2063" w:type="pct"/>
          </w:tcPr>
          <w:p w:rsidR="00DB79F5" w:rsidRPr="00411EDA" w:rsidRDefault="00DB79F5" w:rsidP="00DB79F5">
            <w:pPr>
              <w:pStyle w:val="Odsekzoznamu"/>
              <w:numPr>
                <w:ilvl w:val="0"/>
                <w:numId w:val="16"/>
              </w:numPr>
              <w:tabs>
                <w:tab w:val="left" w:pos="567"/>
                <w:tab w:val="left" w:pos="1418"/>
                <w:tab w:val="left" w:pos="9072"/>
                <w:tab w:val="left" w:leader="dot" w:pos="9356"/>
              </w:tabs>
              <w:spacing w:before="120"/>
              <w:ind w:left="275" w:hanging="275"/>
              <w:rPr>
                <w:sz w:val="18"/>
                <w:szCs w:val="18"/>
              </w:rPr>
            </w:pPr>
            <w:r w:rsidRPr="00C95E85">
              <w:rPr>
                <w:sz w:val="18"/>
                <w:szCs w:val="18"/>
              </w:rPr>
              <w:t xml:space="preserve">Posilniť a zefektívniť financovanie vysokorýchlostného širokopásmového </w:t>
            </w:r>
            <w:r w:rsidRPr="00C95E85">
              <w:rPr>
                <w:sz w:val="18"/>
                <w:szCs w:val="18"/>
              </w:rPr>
              <w:lastRenderedPageBreak/>
              <w:t>pripojenia z prostriedkov EÚ</w:t>
            </w:r>
          </w:p>
          <w:p w:rsidR="00DB79F5" w:rsidRPr="00411EDA" w:rsidRDefault="00DB79F5" w:rsidP="00DB79F5">
            <w:pPr>
              <w:pStyle w:val="Odsekzoznamu"/>
              <w:numPr>
                <w:ilvl w:val="0"/>
                <w:numId w:val="16"/>
              </w:numPr>
              <w:tabs>
                <w:tab w:val="left" w:pos="1418"/>
                <w:tab w:val="left" w:pos="9072"/>
              </w:tabs>
              <w:spacing w:before="120"/>
              <w:ind w:left="275" w:hanging="275"/>
              <w:rPr>
                <w:sz w:val="18"/>
                <w:szCs w:val="18"/>
              </w:rPr>
            </w:pPr>
            <w:r w:rsidRPr="00C95E85">
              <w:rPr>
                <w:sz w:val="18"/>
                <w:szCs w:val="18"/>
              </w:rPr>
              <w:t xml:space="preserve">Podpora investícii do konkurencieschopných NGN </w:t>
            </w:r>
          </w:p>
        </w:tc>
        <w:tc>
          <w:tcPr>
            <w:tcW w:w="1600" w:type="pct"/>
            <w:vAlign w:val="center"/>
          </w:tcPr>
          <w:p w:rsidR="00DB79F5" w:rsidRPr="00411EDA" w:rsidRDefault="00DB79F5" w:rsidP="00373F09">
            <w:pPr>
              <w:pStyle w:val="Odsekzoznamu"/>
              <w:tabs>
                <w:tab w:val="left" w:pos="567"/>
                <w:tab w:val="left" w:pos="1418"/>
                <w:tab w:val="left" w:pos="9072"/>
                <w:tab w:val="left" w:leader="dot" w:pos="9356"/>
              </w:tabs>
              <w:spacing w:before="120"/>
              <w:ind w:left="0"/>
              <w:rPr>
                <w:sz w:val="18"/>
                <w:szCs w:val="18"/>
              </w:rPr>
            </w:pPr>
            <w:r w:rsidRPr="00C95E85">
              <w:rPr>
                <w:sz w:val="18"/>
                <w:szCs w:val="18"/>
              </w:rPr>
              <w:lastRenderedPageBreak/>
              <w:t>Zvýšenie</w:t>
            </w:r>
            <w:r>
              <w:rPr>
                <w:sz w:val="18"/>
                <w:szCs w:val="18"/>
              </w:rPr>
              <w:t xml:space="preserve"> </w:t>
            </w:r>
            <w:r w:rsidRPr="00C95E85">
              <w:rPr>
                <w:sz w:val="18"/>
                <w:szCs w:val="18"/>
              </w:rPr>
              <w:t>p</w:t>
            </w:r>
            <w:r>
              <w:rPr>
                <w:sz w:val="18"/>
                <w:szCs w:val="18"/>
              </w:rPr>
              <w:t>o</w:t>
            </w:r>
            <w:r w:rsidRPr="00C95E85">
              <w:rPr>
                <w:sz w:val="18"/>
                <w:szCs w:val="18"/>
              </w:rPr>
              <w:t xml:space="preserve">krytia </w:t>
            </w:r>
            <w:r>
              <w:rPr>
                <w:sz w:val="18"/>
                <w:szCs w:val="18"/>
              </w:rPr>
              <w:t>š</w:t>
            </w:r>
            <w:r w:rsidRPr="00C95E85">
              <w:rPr>
                <w:sz w:val="18"/>
                <w:szCs w:val="18"/>
              </w:rPr>
              <w:t>irokopásmovým internetom / NGN</w:t>
            </w:r>
          </w:p>
        </w:tc>
      </w:tr>
      <w:tr w:rsidR="00DB79F5" w:rsidRPr="00DE0A8B" w:rsidTr="00373F09">
        <w:trPr>
          <w:trHeight w:val="1087"/>
        </w:trPr>
        <w:tc>
          <w:tcPr>
            <w:tcW w:w="1337" w:type="pct"/>
            <w:vMerge w:val="restart"/>
            <w:shd w:val="clear" w:color="auto" w:fill="FFFFFF" w:themeFill="background1"/>
          </w:tcPr>
          <w:p w:rsidR="00DB79F5" w:rsidRDefault="00DB79F5" w:rsidP="00373F09">
            <w:pPr>
              <w:spacing w:after="120"/>
              <w:ind w:left="0"/>
              <w:rPr>
                <w:bCs/>
                <w:iCs/>
                <w:sz w:val="18"/>
                <w:szCs w:val="18"/>
              </w:rPr>
            </w:pPr>
            <w:r w:rsidRPr="00C95E85">
              <w:rPr>
                <w:bCs/>
                <w:iCs/>
                <w:sz w:val="18"/>
                <w:szCs w:val="18"/>
              </w:rPr>
              <w:lastRenderedPageBreak/>
              <w:t>V. Výskum a inovácie</w:t>
            </w:r>
          </w:p>
        </w:tc>
        <w:tc>
          <w:tcPr>
            <w:tcW w:w="2063" w:type="pct"/>
          </w:tcPr>
          <w:p w:rsidR="00DB79F5" w:rsidRPr="00411EDA" w:rsidRDefault="00DB79F5" w:rsidP="00DB79F5">
            <w:pPr>
              <w:pStyle w:val="Odsekzoznamu"/>
              <w:numPr>
                <w:ilvl w:val="0"/>
                <w:numId w:val="16"/>
              </w:numPr>
              <w:tabs>
                <w:tab w:val="left" w:pos="567"/>
                <w:tab w:val="left" w:leader="dot" w:pos="9356"/>
              </w:tabs>
              <w:spacing w:before="120"/>
              <w:ind w:left="275" w:hanging="275"/>
              <w:rPr>
                <w:sz w:val="18"/>
                <w:szCs w:val="18"/>
              </w:rPr>
            </w:pPr>
            <w:r w:rsidRPr="00C95E85">
              <w:rPr>
                <w:sz w:val="18"/>
                <w:szCs w:val="18"/>
              </w:rPr>
              <w:t>Nová generácia webových aplikáci</w:t>
            </w:r>
            <w:r>
              <w:rPr>
                <w:sz w:val="18"/>
                <w:szCs w:val="18"/>
              </w:rPr>
              <w:t>í</w:t>
            </w:r>
            <w:r w:rsidRPr="00C95E85">
              <w:rPr>
                <w:sz w:val="18"/>
                <w:szCs w:val="18"/>
              </w:rPr>
              <w:t xml:space="preserve"> a služieb</w:t>
            </w:r>
          </w:p>
        </w:tc>
        <w:tc>
          <w:tcPr>
            <w:tcW w:w="1600" w:type="pct"/>
            <w:vAlign w:val="center"/>
          </w:tcPr>
          <w:p w:rsidR="00DB79F5" w:rsidRPr="00411EDA" w:rsidRDefault="00DB79F5" w:rsidP="00373F09">
            <w:pPr>
              <w:pStyle w:val="Odsekzoznamu"/>
              <w:tabs>
                <w:tab w:val="left" w:pos="567"/>
                <w:tab w:val="left" w:leader="dot" w:pos="9356"/>
              </w:tabs>
              <w:spacing w:before="120" w:after="120"/>
              <w:ind w:left="0"/>
              <w:rPr>
                <w:sz w:val="18"/>
                <w:szCs w:val="18"/>
              </w:rPr>
            </w:pPr>
            <w:r w:rsidRPr="00C95E85">
              <w:rPr>
                <w:sz w:val="18"/>
                <w:szCs w:val="18"/>
              </w:rPr>
              <w:t>Zvýšenie</w:t>
            </w:r>
            <w:r>
              <w:rPr>
                <w:sz w:val="18"/>
                <w:szCs w:val="18"/>
              </w:rPr>
              <w:t xml:space="preserve"> </w:t>
            </w:r>
            <w:r w:rsidRPr="00C95E85">
              <w:rPr>
                <w:sz w:val="18"/>
                <w:szCs w:val="18"/>
              </w:rPr>
              <w:t>kvality, štandardu a dostupnosti eGovernment služieb pre podnikateľov</w:t>
            </w:r>
          </w:p>
          <w:p w:rsidR="00DB79F5" w:rsidRPr="00411EDA" w:rsidRDefault="00DB79F5" w:rsidP="00373F09">
            <w:pPr>
              <w:pStyle w:val="Odsekzoznamu"/>
              <w:spacing w:before="120" w:after="120"/>
              <w:ind w:left="0"/>
              <w:rPr>
                <w:sz w:val="18"/>
                <w:szCs w:val="18"/>
              </w:rPr>
            </w:pPr>
          </w:p>
          <w:p w:rsidR="00DB79F5" w:rsidRPr="00411EDA" w:rsidRDefault="00DB79F5" w:rsidP="00373F09">
            <w:pPr>
              <w:pStyle w:val="Odsekzoznamu"/>
              <w:spacing w:before="120" w:after="120"/>
              <w:ind w:left="0"/>
              <w:rPr>
                <w:sz w:val="18"/>
                <w:szCs w:val="18"/>
              </w:rPr>
            </w:pPr>
            <w:r w:rsidRPr="00C95E85">
              <w:rPr>
                <w:sz w:val="18"/>
                <w:szCs w:val="18"/>
              </w:rPr>
              <w:t>Zvýšenie kvality, štandardu a dostupnosti eGovernment služieb pre občanov</w:t>
            </w:r>
          </w:p>
        </w:tc>
      </w:tr>
      <w:tr w:rsidR="00DB79F5" w:rsidRPr="00DE0A8B" w:rsidTr="00373F09">
        <w:trPr>
          <w:trHeight w:val="1087"/>
        </w:trPr>
        <w:tc>
          <w:tcPr>
            <w:tcW w:w="1337" w:type="pct"/>
            <w:vMerge/>
            <w:shd w:val="clear" w:color="auto" w:fill="FFFFFF" w:themeFill="background1"/>
          </w:tcPr>
          <w:p w:rsidR="00DB79F5" w:rsidRPr="00411EDA" w:rsidRDefault="00DB79F5" w:rsidP="00373F09">
            <w:pPr>
              <w:pStyle w:val="Odsekzoznamu"/>
              <w:spacing w:after="120"/>
              <w:ind w:left="0"/>
              <w:rPr>
                <w:bCs/>
                <w:iCs/>
                <w:sz w:val="18"/>
                <w:szCs w:val="18"/>
              </w:rPr>
            </w:pPr>
          </w:p>
        </w:tc>
        <w:tc>
          <w:tcPr>
            <w:tcW w:w="2063" w:type="pct"/>
          </w:tcPr>
          <w:p w:rsidR="00DB79F5" w:rsidRPr="00411EDA" w:rsidRDefault="00DB79F5" w:rsidP="00DB79F5">
            <w:pPr>
              <w:pStyle w:val="Odsekzoznamu"/>
              <w:numPr>
                <w:ilvl w:val="0"/>
                <w:numId w:val="16"/>
              </w:numPr>
              <w:tabs>
                <w:tab w:val="left" w:pos="567"/>
                <w:tab w:val="left" w:leader="dot" w:pos="9356"/>
              </w:tabs>
              <w:spacing w:before="120"/>
              <w:ind w:left="275" w:hanging="275"/>
              <w:rPr>
                <w:sz w:val="18"/>
                <w:szCs w:val="18"/>
              </w:rPr>
            </w:pPr>
            <w:r w:rsidRPr="00C95E85">
              <w:rPr>
                <w:sz w:val="18"/>
                <w:szCs w:val="18"/>
              </w:rPr>
              <w:t>Podpora spoločných infraštruktúr na výskum IKT a inovačných zoskupení</w:t>
            </w:r>
          </w:p>
          <w:p w:rsidR="00DB79F5" w:rsidRPr="00411EDA" w:rsidRDefault="00DB79F5" w:rsidP="00DB79F5">
            <w:pPr>
              <w:pStyle w:val="Odsekzoznamu"/>
              <w:numPr>
                <w:ilvl w:val="0"/>
                <w:numId w:val="16"/>
              </w:numPr>
              <w:spacing w:before="120"/>
              <w:ind w:left="275" w:hanging="275"/>
              <w:rPr>
                <w:sz w:val="18"/>
                <w:szCs w:val="18"/>
              </w:rPr>
            </w:pPr>
            <w:r w:rsidRPr="00C95E85">
              <w:rPr>
                <w:sz w:val="18"/>
                <w:szCs w:val="18"/>
              </w:rPr>
              <w:t>Stratégia EÚ pre „cloud computing“ najmä pre verejnú správu a vedecký sektor</w:t>
            </w:r>
          </w:p>
        </w:tc>
        <w:tc>
          <w:tcPr>
            <w:tcW w:w="1600" w:type="pct"/>
            <w:vAlign w:val="center"/>
          </w:tcPr>
          <w:p w:rsidR="00DB79F5" w:rsidRPr="00411EDA" w:rsidRDefault="00DB79F5" w:rsidP="00373F09">
            <w:pPr>
              <w:pStyle w:val="Odsekzoznamu"/>
              <w:tabs>
                <w:tab w:val="left" w:pos="567"/>
                <w:tab w:val="left" w:leader="dot" w:pos="9356"/>
              </w:tabs>
              <w:spacing w:before="120" w:after="120"/>
              <w:ind w:left="0"/>
              <w:rPr>
                <w:sz w:val="18"/>
                <w:szCs w:val="18"/>
              </w:rPr>
            </w:pPr>
            <w:r w:rsidRPr="00C95E85">
              <w:rPr>
                <w:sz w:val="18"/>
                <w:szCs w:val="18"/>
              </w:rPr>
              <w:t>Racionalizácia</w:t>
            </w:r>
            <w:r>
              <w:rPr>
                <w:sz w:val="18"/>
                <w:szCs w:val="18"/>
              </w:rPr>
              <w:t xml:space="preserve"> </w:t>
            </w:r>
            <w:r w:rsidRPr="00C95E85">
              <w:rPr>
                <w:sz w:val="18"/>
                <w:szCs w:val="18"/>
              </w:rPr>
              <w:t>prevádzky informačných systémov pomocou eGovernment cloudu</w:t>
            </w:r>
          </w:p>
        </w:tc>
      </w:tr>
      <w:tr w:rsidR="00DB79F5" w:rsidRPr="00DE0A8B" w:rsidTr="00373F09">
        <w:tc>
          <w:tcPr>
            <w:tcW w:w="1337" w:type="pct"/>
            <w:shd w:val="clear" w:color="auto" w:fill="FFFFFF" w:themeFill="background1"/>
          </w:tcPr>
          <w:p w:rsidR="00DB79F5" w:rsidRDefault="00DB79F5" w:rsidP="00373F09">
            <w:pPr>
              <w:spacing w:after="120"/>
              <w:ind w:left="0"/>
              <w:rPr>
                <w:bCs/>
                <w:iCs/>
                <w:sz w:val="18"/>
                <w:szCs w:val="18"/>
              </w:rPr>
            </w:pPr>
            <w:r w:rsidRPr="00C95E85">
              <w:rPr>
                <w:bCs/>
                <w:iCs/>
                <w:sz w:val="18"/>
                <w:szCs w:val="18"/>
              </w:rPr>
              <w:t>VI. Zvýšenie digitálnej gramotnosti, zručností a inklúzie</w:t>
            </w:r>
          </w:p>
        </w:tc>
        <w:tc>
          <w:tcPr>
            <w:tcW w:w="2063" w:type="pct"/>
          </w:tcPr>
          <w:p w:rsidR="00DB79F5" w:rsidRPr="00411EDA" w:rsidRDefault="00DB79F5" w:rsidP="00DB79F5">
            <w:pPr>
              <w:pStyle w:val="Odsekzoznamu"/>
              <w:numPr>
                <w:ilvl w:val="0"/>
                <w:numId w:val="16"/>
              </w:numPr>
              <w:tabs>
                <w:tab w:val="left" w:pos="567"/>
                <w:tab w:val="left" w:leader="dot" w:pos="9356"/>
              </w:tabs>
              <w:spacing w:before="120"/>
              <w:ind w:left="275" w:hanging="275"/>
              <w:rPr>
                <w:sz w:val="18"/>
                <w:szCs w:val="18"/>
              </w:rPr>
            </w:pPr>
            <w:r w:rsidRPr="00FF0568">
              <w:rPr>
                <w:sz w:val="18"/>
                <w:szCs w:val="18"/>
              </w:rPr>
              <w:t>Zaved</w:t>
            </w:r>
            <w:r w:rsidRPr="00C95E85">
              <w:rPr>
                <w:sz w:val="18"/>
                <w:szCs w:val="18"/>
              </w:rPr>
              <w:t>e</w:t>
            </w:r>
            <w:r>
              <w:rPr>
                <w:sz w:val="18"/>
                <w:szCs w:val="18"/>
              </w:rPr>
              <w:t>nie</w:t>
            </w:r>
            <w:r w:rsidRPr="00C95E85">
              <w:rPr>
                <w:sz w:val="18"/>
                <w:szCs w:val="18"/>
              </w:rPr>
              <w:t xml:space="preserve"> služieb eLearningu a eSkills pre získavanie IKT zručností</w:t>
            </w:r>
          </w:p>
          <w:p w:rsidR="00DB79F5" w:rsidRPr="00411EDA" w:rsidRDefault="00DB79F5" w:rsidP="00DB79F5">
            <w:pPr>
              <w:pStyle w:val="Odsekzoznamu"/>
              <w:numPr>
                <w:ilvl w:val="0"/>
                <w:numId w:val="16"/>
              </w:numPr>
              <w:spacing w:before="120"/>
              <w:ind w:left="275" w:hanging="275"/>
              <w:rPr>
                <w:sz w:val="18"/>
                <w:szCs w:val="18"/>
              </w:rPr>
            </w:pPr>
            <w:r w:rsidRPr="00C95E85">
              <w:rPr>
                <w:sz w:val="18"/>
                <w:szCs w:val="18"/>
              </w:rPr>
              <w:t>Podpora on-line nástrojov pre rekvalifikáciu a trvalý profesionálny rozvoj</w:t>
            </w:r>
          </w:p>
          <w:p w:rsidR="00DB79F5" w:rsidRPr="00411EDA" w:rsidRDefault="00DB79F5" w:rsidP="00DB79F5">
            <w:pPr>
              <w:pStyle w:val="Odsekzoznamu"/>
              <w:numPr>
                <w:ilvl w:val="0"/>
                <w:numId w:val="16"/>
              </w:numPr>
              <w:spacing w:before="120"/>
              <w:ind w:left="275" w:hanging="275"/>
              <w:rPr>
                <w:sz w:val="18"/>
                <w:szCs w:val="18"/>
              </w:rPr>
            </w:pPr>
            <w:r w:rsidRPr="00C95E85">
              <w:rPr>
                <w:sz w:val="18"/>
                <w:szCs w:val="18"/>
              </w:rPr>
              <w:t>Zapojenie žien do IKT pracovnej sily</w:t>
            </w:r>
          </w:p>
          <w:p w:rsidR="00DB79F5" w:rsidRPr="00411EDA" w:rsidRDefault="00DB79F5" w:rsidP="00DB79F5">
            <w:pPr>
              <w:pStyle w:val="Odsekzoznamu"/>
              <w:numPr>
                <w:ilvl w:val="0"/>
                <w:numId w:val="16"/>
              </w:numPr>
              <w:spacing w:before="120"/>
              <w:ind w:left="275" w:hanging="275"/>
              <w:rPr>
                <w:sz w:val="18"/>
                <w:szCs w:val="18"/>
              </w:rPr>
            </w:pPr>
            <w:r w:rsidRPr="00C95E85">
              <w:rPr>
                <w:sz w:val="18"/>
                <w:szCs w:val="18"/>
              </w:rPr>
              <w:t>Zabezpečenie prístupnosti webových stránok verejného sektora a pomoc znevýhodneným pristúpiť k obsahu</w:t>
            </w:r>
          </w:p>
        </w:tc>
        <w:tc>
          <w:tcPr>
            <w:tcW w:w="1600" w:type="pct"/>
            <w:vAlign w:val="center"/>
          </w:tcPr>
          <w:p w:rsidR="00DB79F5" w:rsidRPr="00411EDA" w:rsidRDefault="00DB79F5" w:rsidP="00373F09">
            <w:pPr>
              <w:pStyle w:val="Odsekzoznamu"/>
              <w:tabs>
                <w:tab w:val="left" w:pos="567"/>
                <w:tab w:val="left" w:leader="dot" w:pos="9356"/>
              </w:tabs>
              <w:spacing w:before="120" w:after="120"/>
              <w:ind w:left="0"/>
              <w:rPr>
                <w:sz w:val="18"/>
                <w:szCs w:val="18"/>
              </w:rPr>
            </w:pPr>
            <w:r w:rsidRPr="00C95E85">
              <w:rPr>
                <w:sz w:val="18"/>
                <w:szCs w:val="18"/>
              </w:rPr>
              <w:t>Zlepšenie digitálnych zručností a</w:t>
            </w:r>
            <w:r>
              <w:rPr>
                <w:sz w:val="18"/>
                <w:szCs w:val="18"/>
              </w:rPr>
              <w:t> </w:t>
            </w:r>
            <w:r w:rsidRPr="00C95E85">
              <w:rPr>
                <w:sz w:val="18"/>
                <w:szCs w:val="18"/>
              </w:rPr>
              <w:t>inklúzie</w:t>
            </w:r>
            <w:r>
              <w:rPr>
                <w:sz w:val="18"/>
                <w:szCs w:val="18"/>
              </w:rPr>
              <w:t xml:space="preserve"> </w:t>
            </w:r>
            <w:r w:rsidRPr="00C95E85">
              <w:rPr>
                <w:sz w:val="18"/>
                <w:szCs w:val="18"/>
              </w:rPr>
              <w:t>znevýhodnených jednotlivcov do digitálneho trhu</w:t>
            </w:r>
          </w:p>
        </w:tc>
      </w:tr>
      <w:tr w:rsidR="00DB79F5" w:rsidRPr="00DE0A8B" w:rsidTr="00373F09">
        <w:trPr>
          <w:trHeight w:val="1868"/>
        </w:trPr>
        <w:tc>
          <w:tcPr>
            <w:tcW w:w="1337" w:type="pct"/>
            <w:vMerge w:val="restart"/>
            <w:shd w:val="clear" w:color="auto" w:fill="FFFFFF" w:themeFill="background1"/>
          </w:tcPr>
          <w:p w:rsidR="00DB79F5" w:rsidRDefault="00DB79F5" w:rsidP="00373F09">
            <w:pPr>
              <w:spacing w:after="120"/>
              <w:ind w:left="0"/>
              <w:rPr>
                <w:bCs/>
                <w:iCs/>
                <w:sz w:val="18"/>
                <w:szCs w:val="18"/>
              </w:rPr>
            </w:pPr>
            <w:r w:rsidRPr="00C95E85">
              <w:rPr>
                <w:bCs/>
                <w:iCs/>
                <w:sz w:val="18"/>
                <w:szCs w:val="18"/>
              </w:rPr>
              <w:t>VII. Výhody pre spoločnosť EÚ vyplývajúce z IKT</w:t>
            </w:r>
          </w:p>
        </w:tc>
        <w:tc>
          <w:tcPr>
            <w:tcW w:w="2063" w:type="pct"/>
          </w:tcPr>
          <w:p w:rsidR="00DB79F5" w:rsidRPr="00411EDA" w:rsidRDefault="00DB79F5" w:rsidP="00DB79F5">
            <w:pPr>
              <w:pStyle w:val="Odsekzoznamu"/>
              <w:numPr>
                <w:ilvl w:val="0"/>
                <w:numId w:val="16"/>
              </w:numPr>
              <w:tabs>
                <w:tab w:val="left" w:pos="567"/>
                <w:tab w:val="left" w:leader="dot" w:pos="9356"/>
              </w:tabs>
              <w:spacing w:before="120"/>
              <w:ind w:left="284" w:hanging="284"/>
              <w:rPr>
                <w:sz w:val="18"/>
                <w:szCs w:val="18"/>
              </w:rPr>
            </w:pPr>
            <w:r w:rsidRPr="00C95E85">
              <w:rPr>
                <w:sz w:val="18"/>
                <w:szCs w:val="18"/>
              </w:rPr>
              <w:t>Zavedenie služieb</w:t>
            </w:r>
            <w:r>
              <w:rPr>
                <w:sz w:val="18"/>
                <w:szCs w:val="18"/>
              </w:rPr>
              <w:t xml:space="preserve"> telemedicíny vo väčšom rozsahu</w:t>
            </w:r>
          </w:p>
          <w:p w:rsidR="00DB79F5" w:rsidRPr="00411EDA" w:rsidRDefault="00DB79F5" w:rsidP="00DB79F5">
            <w:pPr>
              <w:pStyle w:val="Odsekzoznamu"/>
              <w:numPr>
                <w:ilvl w:val="0"/>
                <w:numId w:val="16"/>
              </w:numPr>
              <w:spacing w:before="120"/>
              <w:ind w:left="284" w:hanging="284"/>
              <w:rPr>
                <w:sz w:val="18"/>
                <w:szCs w:val="18"/>
              </w:rPr>
            </w:pPr>
            <w:r w:rsidRPr="00C95E85">
              <w:rPr>
                <w:sz w:val="18"/>
                <w:szCs w:val="18"/>
              </w:rPr>
              <w:t>Zefektívnenie zdravotníctva</w:t>
            </w:r>
          </w:p>
          <w:p w:rsidR="00DB79F5" w:rsidRPr="00411EDA" w:rsidRDefault="00DB79F5" w:rsidP="00DB79F5">
            <w:pPr>
              <w:pStyle w:val="Odsekzoznamu"/>
              <w:numPr>
                <w:ilvl w:val="0"/>
                <w:numId w:val="16"/>
              </w:numPr>
              <w:spacing w:before="120"/>
              <w:ind w:left="284" w:hanging="284"/>
              <w:rPr>
                <w:sz w:val="18"/>
                <w:szCs w:val="18"/>
              </w:rPr>
            </w:pPr>
            <w:r w:rsidRPr="00C95E85">
              <w:rPr>
                <w:sz w:val="18"/>
                <w:szCs w:val="18"/>
              </w:rPr>
              <w:t>Podpora európskych štandardov, testovanie interoperability a osvedčovanie systémov zdravotnej starostlivosti</w:t>
            </w:r>
          </w:p>
          <w:p w:rsidR="00DB79F5" w:rsidRPr="00411EDA" w:rsidRDefault="00DB79F5" w:rsidP="00DB79F5">
            <w:pPr>
              <w:pStyle w:val="Odsekzoznamu"/>
              <w:numPr>
                <w:ilvl w:val="0"/>
                <w:numId w:val="16"/>
              </w:numPr>
              <w:spacing w:before="120"/>
              <w:ind w:left="284" w:hanging="284"/>
              <w:rPr>
                <w:sz w:val="18"/>
                <w:szCs w:val="18"/>
              </w:rPr>
            </w:pPr>
            <w:r w:rsidRPr="00C95E85">
              <w:rPr>
                <w:sz w:val="18"/>
                <w:szCs w:val="18"/>
              </w:rPr>
              <w:t>Technológie asistovaného života v oblasti tele</w:t>
            </w:r>
            <w:r>
              <w:rPr>
                <w:sz w:val="18"/>
                <w:szCs w:val="18"/>
              </w:rPr>
              <w:t>-starostlivosť</w:t>
            </w:r>
            <w:r w:rsidRPr="00C95E85">
              <w:rPr>
                <w:sz w:val="18"/>
                <w:szCs w:val="18"/>
              </w:rPr>
              <w:t xml:space="preserve"> a on-line podpory sociálnych služieb </w:t>
            </w:r>
          </w:p>
          <w:p w:rsidR="00DB79F5" w:rsidRPr="00411EDA" w:rsidRDefault="00DB79F5" w:rsidP="00DB79F5">
            <w:pPr>
              <w:pStyle w:val="Odsekzoznamu"/>
              <w:numPr>
                <w:ilvl w:val="0"/>
                <w:numId w:val="16"/>
              </w:numPr>
              <w:spacing w:before="120"/>
              <w:ind w:left="284" w:hanging="284"/>
              <w:rPr>
                <w:sz w:val="18"/>
                <w:szCs w:val="18"/>
              </w:rPr>
            </w:pPr>
            <w:r w:rsidRPr="00C95E85">
              <w:rPr>
                <w:sz w:val="18"/>
                <w:szCs w:val="18"/>
              </w:rPr>
              <w:t>Budovanie systémov varovania pred nebezpečnými udalosťami</w:t>
            </w:r>
          </w:p>
          <w:p w:rsidR="00DB79F5" w:rsidRPr="00411EDA" w:rsidRDefault="00DB79F5" w:rsidP="00DB79F5">
            <w:pPr>
              <w:pStyle w:val="Odsekzoznamu"/>
              <w:numPr>
                <w:ilvl w:val="0"/>
                <w:numId w:val="16"/>
              </w:numPr>
              <w:spacing w:before="120"/>
              <w:ind w:left="284" w:hanging="284"/>
              <w:rPr>
                <w:sz w:val="18"/>
                <w:szCs w:val="18"/>
              </w:rPr>
            </w:pPr>
            <w:r w:rsidRPr="00C95E85">
              <w:rPr>
                <w:sz w:val="18"/>
                <w:szCs w:val="18"/>
              </w:rPr>
              <w:t>Podpora bezproblémových cezhraničných služieb elektronickej štátnej správy na jednotnom trhu</w:t>
            </w:r>
          </w:p>
        </w:tc>
        <w:tc>
          <w:tcPr>
            <w:tcW w:w="1600" w:type="pct"/>
            <w:vAlign w:val="center"/>
          </w:tcPr>
          <w:p w:rsidR="00DB79F5" w:rsidRPr="00411EDA" w:rsidRDefault="00DB79F5" w:rsidP="00373F09">
            <w:pPr>
              <w:pStyle w:val="Odsekzoznamu"/>
              <w:tabs>
                <w:tab w:val="left" w:pos="567"/>
                <w:tab w:val="left" w:leader="dot" w:pos="9356"/>
              </w:tabs>
              <w:spacing w:before="120" w:after="120"/>
              <w:ind w:left="0"/>
              <w:rPr>
                <w:sz w:val="18"/>
                <w:szCs w:val="18"/>
              </w:rPr>
            </w:pPr>
            <w:r w:rsidRPr="00C95E85">
              <w:rPr>
                <w:sz w:val="18"/>
                <w:szCs w:val="18"/>
              </w:rPr>
              <w:t>Zvýšenie kvality, štandardu a dostupnosti eGovernment služieb pre podnikateľov</w:t>
            </w:r>
          </w:p>
          <w:p w:rsidR="00DB79F5" w:rsidRPr="00411EDA" w:rsidRDefault="00DB79F5" w:rsidP="00373F09">
            <w:pPr>
              <w:pStyle w:val="Odsekzoznamu"/>
              <w:spacing w:before="120" w:after="120"/>
              <w:ind w:left="0"/>
              <w:rPr>
                <w:sz w:val="18"/>
                <w:szCs w:val="18"/>
              </w:rPr>
            </w:pPr>
          </w:p>
          <w:p w:rsidR="00DB79F5" w:rsidRPr="00411EDA" w:rsidRDefault="00DB79F5" w:rsidP="00373F09">
            <w:pPr>
              <w:pStyle w:val="Odsekzoznamu"/>
              <w:spacing w:before="120" w:after="120"/>
              <w:ind w:left="0"/>
              <w:rPr>
                <w:sz w:val="18"/>
                <w:szCs w:val="18"/>
              </w:rPr>
            </w:pPr>
            <w:r w:rsidRPr="00C95E85">
              <w:rPr>
                <w:sz w:val="18"/>
                <w:szCs w:val="18"/>
              </w:rPr>
              <w:t>Zvýšenie kvality, štandardu a dostupnosti eGovernment služieb pre občanov</w:t>
            </w:r>
          </w:p>
          <w:p w:rsidR="00DB79F5" w:rsidRPr="00411EDA" w:rsidRDefault="00DB79F5" w:rsidP="00373F09">
            <w:pPr>
              <w:pStyle w:val="Odsekzoznamu"/>
              <w:spacing w:before="120" w:after="120"/>
              <w:ind w:left="0"/>
              <w:rPr>
                <w:sz w:val="18"/>
                <w:szCs w:val="18"/>
              </w:rPr>
            </w:pPr>
          </w:p>
          <w:p w:rsidR="00DB79F5" w:rsidRPr="00411EDA" w:rsidRDefault="00DB79F5" w:rsidP="00373F09">
            <w:pPr>
              <w:pStyle w:val="Odsekzoznamu"/>
              <w:spacing w:before="120" w:after="120"/>
              <w:ind w:left="0"/>
              <w:rPr>
                <w:sz w:val="18"/>
                <w:szCs w:val="18"/>
              </w:rPr>
            </w:pPr>
            <w:r w:rsidRPr="00C95E85">
              <w:rPr>
                <w:sz w:val="18"/>
                <w:szCs w:val="18"/>
              </w:rPr>
              <w:t>Zlepšenie digitálnych zručností a inklúzie znevýhodnených jednotlivcov do digitálneho trhu</w:t>
            </w:r>
          </w:p>
        </w:tc>
      </w:tr>
      <w:tr w:rsidR="00DB79F5" w:rsidRPr="00DE0A8B" w:rsidTr="00373F09">
        <w:trPr>
          <w:trHeight w:val="900"/>
        </w:trPr>
        <w:tc>
          <w:tcPr>
            <w:tcW w:w="1337" w:type="pct"/>
            <w:vMerge/>
            <w:shd w:val="clear" w:color="auto" w:fill="FFFFFF" w:themeFill="background1"/>
          </w:tcPr>
          <w:p w:rsidR="00DB79F5" w:rsidRPr="00DE0A8B" w:rsidRDefault="00DB79F5" w:rsidP="00373F09">
            <w:pPr>
              <w:pStyle w:val="Odsekzoznamu"/>
              <w:spacing w:before="120" w:after="120"/>
              <w:ind w:left="0"/>
              <w:jc w:val="both"/>
              <w:rPr>
                <w:b/>
                <w:sz w:val="22"/>
                <w:szCs w:val="22"/>
              </w:rPr>
            </w:pPr>
          </w:p>
        </w:tc>
        <w:tc>
          <w:tcPr>
            <w:tcW w:w="2063" w:type="pct"/>
          </w:tcPr>
          <w:p w:rsidR="00DB79F5" w:rsidRPr="00411EDA" w:rsidRDefault="00DB79F5" w:rsidP="00DB79F5">
            <w:pPr>
              <w:pStyle w:val="Odsekzoznamu"/>
              <w:numPr>
                <w:ilvl w:val="0"/>
                <w:numId w:val="16"/>
              </w:numPr>
              <w:tabs>
                <w:tab w:val="left" w:pos="567"/>
                <w:tab w:val="left" w:leader="dot" w:pos="9356"/>
              </w:tabs>
              <w:spacing w:before="120"/>
              <w:ind w:left="275" w:hanging="275"/>
              <w:rPr>
                <w:sz w:val="18"/>
                <w:szCs w:val="18"/>
              </w:rPr>
            </w:pPr>
            <w:r w:rsidRPr="00C95E85">
              <w:rPr>
                <w:sz w:val="18"/>
                <w:szCs w:val="18"/>
              </w:rPr>
              <w:t>Podpora bezproblémových cezhraničných služieb elektronickej štátnej správy na podporu MSP</w:t>
            </w:r>
          </w:p>
        </w:tc>
        <w:tc>
          <w:tcPr>
            <w:tcW w:w="1600" w:type="pct"/>
            <w:vAlign w:val="center"/>
          </w:tcPr>
          <w:p w:rsidR="00DB79F5" w:rsidRPr="00411EDA" w:rsidRDefault="00DB79F5" w:rsidP="00373F09">
            <w:pPr>
              <w:pStyle w:val="Odsekzoznamu"/>
              <w:tabs>
                <w:tab w:val="left" w:pos="567"/>
                <w:tab w:val="left" w:leader="dot" w:pos="9356"/>
              </w:tabs>
              <w:spacing w:before="120" w:after="120"/>
              <w:ind w:left="0"/>
              <w:rPr>
                <w:sz w:val="18"/>
                <w:szCs w:val="18"/>
              </w:rPr>
            </w:pPr>
            <w:r w:rsidRPr="00C95E85">
              <w:rPr>
                <w:sz w:val="18"/>
                <w:szCs w:val="18"/>
              </w:rPr>
              <w:t xml:space="preserve">Zvýšenie inovačnej kapacity </w:t>
            </w:r>
            <w:r w:rsidR="00841ABF">
              <w:rPr>
                <w:sz w:val="18"/>
                <w:szCs w:val="18"/>
              </w:rPr>
              <w:t xml:space="preserve">najmä </w:t>
            </w:r>
            <w:r w:rsidRPr="00C95E85">
              <w:rPr>
                <w:sz w:val="18"/>
                <w:szCs w:val="18"/>
              </w:rPr>
              <w:t>malých a stredných podnikateľov v digitálnej ekonomike</w:t>
            </w:r>
          </w:p>
        </w:tc>
      </w:tr>
    </w:tbl>
    <w:p w:rsidR="00E92F9B" w:rsidRDefault="001218A8">
      <w:pPr>
        <w:pStyle w:val="Nadpis4"/>
        <w:tabs>
          <w:tab w:val="clear" w:pos="864"/>
        </w:tabs>
        <w:spacing w:before="240"/>
        <w:ind w:left="709" w:hanging="709"/>
      </w:pPr>
      <w:r w:rsidRPr="001218A8">
        <w:t>Prepojenie stratégie OPII-IS s plnením cieľov významných národných strategických dokumentov definujúcich vývoj sektora IKT</w:t>
      </w:r>
    </w:p>
    <w:p w:rsidR="00E462E1" w:rsidRPr="00C82510" w:rsidRDefault="00E462E1" w:rsidP="00E462E1">
      <w:pPr>
        <w:pStyle w:val="Odsekzoznamu"/>
        <w:spacing w:before="180" w:after="120"/>
        <w:ind w:left="0"/>
        <w:jc w:val="both"/>
        <w:rPr>
          <w:sz w:val="22"/>
          <w:szCs w:val="22"/>
          <w:u w:val="single"/>
        </w:rPr>
      </w:pPr>
      <w:r>
        <w:rPr>
          <w:sz w:val="22"/>
          <w:szCs w:val="22"/>
          <w:u w:val="single"/>
        </w:rPr>
        <w:t>Partnerská dohoda Slovenskej republiky</w:t>
      </w:r>
    </w:p>
    <w:p w:rsidR="00E462E1" w:rsidRPr="00C82510" w:rsidRDefault="00E462E1" w:rsidP="00E462E1">
      <w:pPr>
        <w:spacing w:before="120" w:after="120"/>
        <w:jc w:val="both"/>
        <w:rPr>
          <w:sz w:val="22"/>
          <w:szCs w:val="22"/>
        </w:rPr>
      </w:pPr>
      <w:r>
        <w:rPr>
          <w:sz w:val="22"/>
          <w:szCs w:val="22"/>
        </w:rPr>
        <w:t>Partnerská dohoda Slovenskej republiky (ďalej len „PD SR“) sa vzťahuje na všetku podporu z Európskych štrukturálnych a investičných fondov EÚ (ďalej len „EŠIF“) v príslušnom členskom štáte. Ide o dokument , ktorý určuje stratégiu, priority a podmienky SR na využívanie týchto fondov efektívnym a účinným spôsobom, s cieľom dosiahnuť priority stratégie Európa 2020.</w:t>
      </w:r>
    </w:p>
    <w:p w:rsidR="005413FA" w:rsidRPr="005413FA" w:rsidRDefault="001218A8" w:rsidP="00DB79F5">
      <w:pPr>
        <w:spacing w:before="120" w:after="120"/>
        <w:jc w:val="both"/>
        <w:rPr>
          <w:sz w:val="22"/>
          <w:szCs w:val="22"/>
          <w:u w:val="single"/>
        </w:rPr>
      </w:pPr>
      <w:r w:rsidRPr="001218A8">
        <w:rPr>
          <w:sz w:val="22"/>
          <w:szCs w:val="22"/>
          <w:u w:val="single"/>
        </w:rPr>
        <w:t>Strategický dokument pre oblasť rastu digitálnych služieb a oblasť infraštruktúry prístupovej siete novej generácie (2014 – 2020)</w:t>
      </w:r>
    </w:p>
    <w:p w:rsidR="00DB79F5" w:rsidRDefault="00DB79F5" w:rsidP="00DB79F5">
      <w:pPr>
        <w:spacing w:before="120" w:after="120"/>
        <w:jc w:val="both"/>
        <w:rPr>
          <w:sz w:val="22"/>
          <w:szCs w:val="22"/>
        </w:rPr>
      </w:pPr>
      <w:r w:rsidRPr="00C95E85">
        <w:rPr>
          <w:sz w:val="22"/>
          <w:szCs w:val="22"/>
        </w:rPr>
        <w:t>Na dosiahnutie dlhotrvajúcich ekonomických a sociálnych účinkov financovania pokroku je potrebné adresovať národné a regionálne potreby Slovenska. Identifikovanými oblasťami, ktoré berú do úvahy aj odporúčania Európskej komisie, sú:</w:t>
      </w:r>
    </w:p>
    <w:p w:rsidR="00DB79F5" w:rsidRDefault="00DB79F5" w:rsidP="00FE6025">
      <w:pPr>
        <w:pStyle w:val="Odsekzoznamu"/>
        <w:numPr>
          <w:ilvl w:val="0"/>
          <w:numId w:val="28"/>
        </w:numPr>
        <w:spacing w:before="120" w:after="120"/>
        <w:ind w:left="568" w:hanging="284"/>
        <w:jc w:val="both"/>
        <w:rPr>
          <w:sz w:val="22"/>
          <w:szCs w:val="22"/>
        </w:rPr>
      </w:pPr>
      <w:r w:rsidRPr="00C95E85">
        <w:rPr>
          <w:sz w:val="22"/>
          <w:szCs w:val="22"/>
        </w:rPr>
        <w:t xml:space="preserve">Zvýšenie konkurencieschopnosti regiónov: V prvom rade ide o potrebu zvýšenia konkurencieschopnosti regiónov Slovenska brzdených slabým podnikateľským prostredím, ktoré čelí neefektívnej verejnej správe. Dôsledkom sú zaostávajúce výsledky v ukazovateľoch </w:t>
      </w:r>
      <w:r w:rsidRPr="00C95E85">
        <w:rPr>
          <w:sz w:val="22"/>
          <w:szCs w:val="22"/>
        </w:rPr>
        <w:lastRenderedPageBreak/>
        <w:t xml:space="preserve">trhu s výrobkami a službami, ktoré možno zlepšiť znížením administratívnej záťaže </w:t>
      </w:r>
      <w:r w:rsidR="00D670E1">
        <w:rPr>
          <w:sz w:val="22"/>
          <w:szCs w:val="22"/>
        </w:rPr>
        <w:t>kladenej na </w:t>
      </w:r>
      <w:r w:rsidR="00A3669F">
        <w:rPr>
          <w:sz w:val="22"/>
          <w:szCs w:val="22"/>
        </w:rPr>
        <w:t>začínajúce podniky.</w:t>
      </w:r>
    </w:p>
    <w:p w:rsidR="00DB79F5" w:rsidRDefault="00DB79F5" w:rsidP="00FE6025">
      <w:pPr>
        <w:pStyle w:val="Odsekzoznamu"/>
        <w:numPr>
          <w:ilvl w:val="0"/>
          <w:numId w:val="28"/>
        </w:numPr>
        <w:spacing w:before="120" w:after="120"/>
        <w:ind w:left="568" w:hanging="284"/>
        <w:jc w:val="both"/>
        <w:rPr>
          <w:sz w:val="22"/>
          <w:szCs w:val="22"/>
        </w:rPr>
      </w:pPr>
      <w:r w:rsidRPr="00C95E85">
        <w:rPr>
          <w:sz w:val="22"/>
          <w:szCs w:val="22"/>
        </w:rPr>
        <w:t>Zvýšenie úrovne inovácií a kapacít pre moderné technologické riešenia: Slovensko má urgentnú potrebu zvýšiť úroveň inovácií a kapacít pre moderné technolog</w:t>
      </w:r>
      <w:r w:rsidR="00D670E1">
        <w:rPr>
          <w:sz w:val="22"/>
          <w:szCs w:val="22"/>
        </w:rPr>
        <w:t>ické riešenia, najmä v malých a </w:t>
      </w:r>
      <w:r w:rsidRPr="00C95E85">
        <w:rPr>
          <w:sz w:val="22"/>
          <w:szCs w:val="22"/>
        </w:rPr>
        <w:t>stredných podnikoch, a to vo všetkých regiónoch tak, aby boli o</w:t>
      </w:r>
      <w:r>
        <w:rPr>
          <w:sz w:val="22"/>
          <w:szCs w:val="22"/>
        </w:rPr>
        <w:t>dstránené regionálne disparity.</w:t>
      </w:r>
    </w:p>
    <w:p w:rsidR="00DB79F5" w:rsidRDefault="00DB79F5" w:rsidP="00FE6025">
      <w:pPr>
        <w:pStyle w:val="Odsekzoznamu"/>
        <w:numPr>
          <w:ilvl w:val="0"/>
          <w:numId w:val="28"/>
        </w:numPr>
        <w:spacing w:before="120" w:after="120"/>
        <w:ind w:left="568" w:hanging="284"/>
        <w:jc w:val="both"/>
        <w:rPr>
          <w:sz w:val="22"/>
          <w:szCs w:val="22"/>
        </w:rPr>
      </w:pPr>
      <w:r w:rsidRPr="00C95E85">
        <w:rPr>
          <w:sz w:val="22"/>
          <w:szCs w:val="22"/>
        </w:rPr>
        <w:t>Zvýšenie zamestnanosti: Dlhodobú nezamestnanosť nielen mladých ľudí na Slovensku možno riešiť prepojením vzdelávania s potrebami pracovného trhu, ako aj podporou nových kreatívnych pracovných miest pre mladých ľudí v malých a st</w:t>
      </w:r>
      <w:r w:rsidR="00D670E1">
        <w:rPr>
          <w:sz w:val="22"/>
          <w:szCs w:val="22"/>
        </w:rPr>
        <w:t>redných podnikoch pracujúcich s </w:t>
      </w:r>
      <w:r w:rsidRPr="00C95E85">
        <w:rPr>
          <w:sz w:val="22"/>
          <w:szCs w:val="22"/>
        </w:rPr>
        <w:t>najmodernejšími technológiami v oblasti IKT.</w:t>
      </w:r>
    </w:p>
    <w:p w:rsidR="00DB79F5" w:rsidRDefault="00DB79F5" w:rsidP="00FE6025">
      <w:pPr>
        <w:pStyle w:val="Odsekzoznamu"/>
        <w:numPr>
          <w:ilvl w:val="0"/>
          <w:numId w:val="28"/>
        </w:numPr>
        <w:spacing w:before="120" w:after="120"/>
        <w:ind w:left="568" w:hanging="284"/>
        <w:jc w:val="both"/>
        <w:rPr>
          <w:sz w:val="22"/>
          <w:szCs w:val="22"/>
        </w:rPr>
      </w:pPr>
      <w:r w:rsidRPr="00C95E85">
        <w:rPr>
          <w:sz w:val="22"/>
          <w:szCs w:val="22"/>
        </w:rPr>
        <w:t>Zefektívnenie využívania zdrojov: Slovensko tiež potrebuje oveľa efektívnejšie využívať svoje zdroje, ku ktorým sa podľa aktuálnych trendov zaraďujú aj dáta produkované vo verejnej správe. Vo verejnej správe je nutné zlepšiť riadenie ľudských zdrojov a zvýšiť analytické kapacity, aby bolo možné vypracovať efektívne politiky pre re</w:t>
      </w:r>
      <w:r w:rsidR="00D670E1">
        <w:rPr>
          <w:sz w:val="22"/>
          <w:szCs w:val="22"/>
        </w:rPr>
        <w:t>formu efektívnej, spoľahlivej a </w:t>
      </w:r>
      <w:r w:rsidRPr="00C95E85">
        <w:rPr>
          <w:sz w:val="22"/>
          <w:szCs w:val="22"/>
        </w:rPr>
        <w:t xml:space="preserve">otvorenej verejnej správy a pre konsolidáciu infraštruktúry. Snahou bude tiež optimalizovať proces </w:t>
      </w:r>
      <w:r>
        <w:rPr>
          <w:sz w:val="22"/>
          <w:szCs w:val="22"/>
        </w:rPr>
        <w:t>obstarávania a vymáhania práva.</w:t>
      </w:r>
    </w:p>
    <w:p w:rsidR="00DB79F5" w:rsidRDefault="00DB79F5" w:rsidP="00DB79F5">
      <w:pPr>
        <w:spacing w:before="120" w:after="120"/>
        <w:jc w:val="both"/>
        <w:rPr>
          <w:sz w:val="22"/>
          <w:szCs w:val="22"/>
        </w:rPr>
      </w:pPr>
      <w:r w:rsidRPr="00C95E85">
        <w:rPr>
          <w:sz w:val="22"/>
          <w:szCs w:val="22"/>
        </w:rPr>
        <w:t xml:space="preserve">Na základe špecifických potrieb Slovenska boli vybrané tematické ciele z celkového počtu 11 cieľov definovaných </w:t>
      </w:r>
      <w:r w:rsidR="005413FA">
        <w:rPr>
          <w:sz w:val="22"/>
          <w:szCs w:val="22"/>
        </w:rPr>
        <w:t>čl. 9</w:t>
      </w:r>
      <w:r w:rsidRPr="00C95E85">
        <w:rPr>
          <w:sz w:val="22"/>
          <w:szCs w:val="22"/>
        </w:rPr>
        <w:t>.</w:t>
      </w:r>
      <w:r>
        <w:rPr>
          <w:sz w:val="22"/>
          <w:szCs w:val="22"/>
        </w:rPr>
        <w:t xml:space="preserve"> </w:t>
      </w:r>
      <w:r w:rsidR="005413FA" w:rsidRPr="002B0858">
        <w:rPr>
          <w:sz w:val="22"/>
          <w:szCs w:val="22"/>
        </w:rPr>
        <w:t>nariadenia Európskeho parlamentu a Rady (EÚ</w:t>
      </w:r>
      <w:r w:rsidR="005413FA">
        <w:rPr>
          <w:sz w:val="22"/>
          <w:szCs w:val="22"/>
        </w:rPr>
        <w:t>)</w:t>
      </w:r>
      <w:r w:rsidR="00E420C5">
        <w:rPr>
          <w:sz w:val="22"/>
          <w:szCs w:val="22"/>
        </w:rPr>
        <w:t xml:space="preserve"> 1303/2013</w:t>
      </w:r>
      <w:r w:rsidR="005413FA">
        <w:rPr>
          <w:sz w:val="22"/>
          <w:szCs w:val="22"/>
        </w:rPr>
        <w:t>. P</w:t>
      </w:r>
      <w:r w:rsidRPr="00C95E85">
        <w:rPr>
          <w:sz w:val="22"/>
          <w:szCs w:val="22"/>
        </w:rPr>
        <w:t>rioritná os</w:t>
      </w:r>
      <w:r w:rsidR="005413FA">
        <w:rPr>
          <w:sz w:val="22"/>
          <w:szCs w:val="22"/>
        </w:rPr>
        <w:t xml:space="preserve"> 7</w:t>
      </w:r>
      <w:r w:rsidRPr="00C95E85">
        <w:rPr>
          <w:sz w:val="22"/>
          <w:szCs w:val="22"/>
        </w:rPr>
        <w:t xml:space="preserve"> Informačná spoločnosť sa venuje dosiahnutiu tematického cieľa 2: „Zlepšenie prístupu k</w:t>
      </w:r>
      <w:r>
        <w:rPr>
          <w:sz w:val="22"/>
          <w:szCs w:val="22"/>
        </w:rPr>
        <w:t> informáciám a IKT a zlepšenie ich využívania a kvality</w:t>
      </w:r>
      <w:r w:rsidRPr="00C95E85">
        <w:rPr>
          <w:sz w:val="22"/>
          <w:szCs w:val="22"/>
        </w:rPr>
        <w:t>“. Tento tematický cieľ súvisí predovšetkým s dvoma prioritami financovania:</w:t>
      </w:r>
    </w:p>
    <w:p w:rsidR="00DB79F5" w:rsidRDefault="00DB79F5" w:rsidP="00FE6025">
      <w:pPr>
        <w:pStyle w:val="Odsekzoznamu"/>
        <w:numPr>
          <w:ilvl w:val="0"/>
          <w:numId w:val="28"/>
        </w:numPr>
        <w:spacing w:before="120" w:after="120"/>
        <w:jc w:val="both"/>
        <w:rPr>
          <w:sz w:val="22"/>
          <w:szCs w:val="22"/>
        </w:rPr>
      </w:pPr>
      <w:r w:rsidRPr="00C95E85">
        <w:rPr>
          <w:sz w:val="22"/>
          <w:szCs w:val="22"/>
        </w:rPr>
        <w:t>Podnikateľské prostredie podporujúce inovácie;</w:t>
      </w:r>
    </w:p>
    <w:p w:rsidR="00DB79F5" w:rsidRDefault="00DB79F5" w:rsidP="00FE6025">
      <w:pPr>
        <w:pStyle w:val="Odsekzoznamu"/>
        <w:numPr>
          <w:ilvl w:val="0"/>
          <w:numId w:val="28"/>
        </w:numPr>
        <w:spacing w:before="120" w:after="120"/>
        <w:jc w:val="both"/>
        <w:rPr>
          <w:sz w:val="22"/>
          <w:szCs w:val="22"/>
        </w:rPr>
      </w:pPr>
      <w:r w:rsidRPr="00C95E85">
        <w:rPr>
          <w:sz w:val="22"/>
          <w:szCs w:val="22"/>
        </w:rPr>
        <w:t>Moderná a odborná verejná správa.</w:t>
      </w:r>
    </w:p>
    <w:p w:rsidR="00DB79F5" w:rsidRDefault="00DB79F5" w:rsidP="00DB79F5">
      <w:pPr>
        <w:spacing w:before="120" w:after="120"/>
        <w:jc w:val="both"/>
        <w:rPr>
          <w:sz w:val="22"/>
          <w:szCs w:val="22"/>
        </w:rPr>
      </w:pPr>
      <w:r w:rsidRPr="00C95E85">
        <w:rPr>
          <w:sz w:val="22"/>
          <w:szCs w:val="22"/>
        </w:rPr>
        <w:t>Práve budovaním širokopásmovej infraštruktúry, ktorej dostupnosť je o</w:t>
      </w:r>
      <w:r>
        <w:rPr>
          <w:sz w:val="22"/>
          <w:szCs w:val="22"/>
        </w:rPr>
        <w:t>bmedzená hlavne vo </w:t>
      </w:r>
      <w:r w:rsidRPr="00C95E85">
        <w:rPr>
          <w:sz w:val="22"/>
          <w:szCs w:val="22"/>
        </w:rPr>
        <w:t>vidieckych oblastiach, a podporou jednotného digitálneho trh</w:t>
      </w:r>
      <w:r>
        <w:rPr>
          <w:sz w:val="22"/>
          <w:szCs w:val="22"/>
        </w:rPr>
        <w:t>u je možné zapojiť populáciu do </w:t>
      </w:r>
      <w:r w:rsidRPr="00C95E85">
        <w:rPr>
          <w:sz w:val="22"/>
          <w:szCs w:val="22"/>
        </w:rPr>
        <w:t>ekonomických a spoločenských aktivít z ľubovoľného</w:t>
      </w:r>
      <w:r>
        <w:rPr>
          <w:sz w:val="22"/>
          <w:szCs w:val="22"/>
        </w:rPr>
        <w:t xml:space="preserve"> kúta krajiny. Technologickým a </w:t>
      </w:r>
      <w:r w:rsidRPr="00C95E85">
        <w:rPr>
          <w:sz w:val="22"/>
          <w:szCs w:val="22"/>
        </w:rPr>
        <w:t>organizačným zapojením väčšieho počtu občanov a podnikateľov do digitálnej ekonomiky, ktorej rozvoj je priamo podporovaný štátom, možno dosiahnuť splnenie prvej priority.</w:t>
      </w:r>
    </w:p>
    <w:p w:rsidR="00DB79F5" w:rsidRDefault="00DB79F5" w:rsidP="00DB79F5">
      <w:pPr>
        <w:spacing w:before="120" w:after="120"/>
        <w:jc w:val="both"/>
        <w:rPr>
          <w:sz w:val="22"/>
          <w:szCs w:val="22"/>
        </w:rPr>
      </w:pPr>
      <w:r w:rsidRPr="00C95E85">
        <w:rPr>
          <w:sz w:val="22"/>
          <w:szCs w:val="22"/>
        </w:rPr>
        <w:t>Na naplnenie druhej spomínanej priority má v oblasti informačnej spoločnosti zmysel riešiť samostatne interakciu s verejnosťou (vo forme služieb) a informatizáciu verejnej správy smerom dovnútra. Vynikajúcu príležitosť k tomu predstavuje prebiehajúca reforma Efektívna, spoľahlivá, otvorená, verejná správa.</w:t>
      </w:r>
    </w:p>
    <w:p w:rsidR="00DB79F5" w:rsidRDefault="00DB79F5" w:rsidP="00DB79F5">
      <w:pPr>
        <w:pStyle w:val="Odsekzoznamu"/>
        <w:spacing w:before="120" w:after="120"/>
        <w:ind w:left="0"/>
        <w:jc w:val="both"/>
        <w:rPr>
          <w:sz w:val="22"/>
          <w:szCs w:val="22"/>
        </w:rPr>
      </w:pPr>
      <w:r w:rsidRPr="00411EDA">
        <w:rPr>
          <w:sz w:val="22"/>
          <w:szCs w:val="22"/>
        </w:rPr>
        <w:t>Na základe týchto konceptov vytvorilo Slovensko stratégiu pre tematický cieľ 2 v Strategickom dokumente pre oblasť rastu digitálnych služieb a oblasť infraštruktúry prístupovej siete novej generácie (2014 – 2020). V tomto dokumente MF SR definuje investičné priority, ktoré je vhodné podporiť v rámci</w:t>
      </w:r>
      <w:r w:rsidR="005413FA">
        <w:rPr>
          <w:sz w:val="22"/>
          <w:szCs w:val="22"/>
        </w:rPr>
        <w:t xml:space="preserve"> OPII.</w:t>
      </w:r>
    </w:p>
    <w:p w:rsidR="005413FA" w:rsidRDefault="005413FA" w:rsidP="00DB79F5">
      <w:pPr>
        <w:pStyle w:val="Odsekzoznamu"/>
        <w:spacing w:before="120" w:after="120"/>
        <w:ind w:left="0"/>
        <w:jc w:val="both"/>
        <w:rPr>
          <w:sz w:val="22"/>
          <w:szCs w:val="22"/>
        </w:rPr>
      </w:pPr>
    </w:p>
    <w:p w:rsidR="005413FA" w:rsidRDefault="005413FA" w:rsidP="005413FA">
      <w:pPr>
        <w:pStyle w:val="Odsekzoznamu"/>
        <w:spacing w:before="120" w:after="120"/>
        <w:ind w:left="0"/>
        <w:jc w:val="both"/>
        <w:rPr>
          <w:sz w:val="22"/>
          <w:szCs w:val="22"/>
          <w:u w:val="single"/>
        </w:rPr>
      </w:pPr>
      <w:r w:rsidRPr="00560E77">
        <w:rPr>
          <w:sz w:val="22"/>
          <w:szCs w:val="22"/>
          <w:u w:val="single"/>
        </w:rPr>
        <w:t>Poznatkami k prosperite - Stratégia výskumu a inovácií pre inteligentnú špecializáciu Slovenskej republiky</w:t>
      </w:r>
    </w:p>
    <w:p w:rsidR="005413FA" w:rsidRDefault="005413FA" w:rsidP="005413FA">
      <w:pPr>
        <w:spacing w:before="120" w:after="120"/>
        <w:jc w:val="both"/>
        <w:rPr>
          <w:sz w:val="22"/>
          <w:szCs w:val="22"/>
        </w:rPr>
      </w:pPr>
      <w:r w:rsidRPr="00560E77">
        <w:rPr>
          <w:sz w:val="22"/>
          <w:szCs w:val="22"/>
        </w:rPr>
        <w:t>Stratégia výskumu a inovácií pre inteligentnú špecializáciu Slovenskej republiky, na základe analýzy vývoja ekonomiky Slovenskej republiky identifikuje oblasti špecializácie vychádzajúce z ukotvených tradičných hospodárskych odvetví a perspektívne oblasti špecializáci</w:t>
      </w:r>
      <w:r w:rsidR="0095191D">
        <w:rPr>
          <w:sz w:val="22"/>
          <w:szCs w:val="22"/>
        </w:rPr>
        <w:t>e z rýchlo rastúcich odvetví na </w:t>
      </w:r>
      <w:r w:rsidRPr="00560E77">
        <w:rPr>
          <w:sz w:val="22"/>
          <w:szCs w:val="22"/>
        </w:rPr>
        <w:t xml:space="preserve">Slovensku, ktoré ukazujú vysoký potenciál rozvoja pre slovenskú ekonomiku. </w:t>
      </w:r>
    </w:p>
    <w:p w:rsidR="005413FA" w:rsidRPr="00560E77" w:rsidRDefault="005413FA" w:rsidP="005413FA">
      <w:pPr>
        <w:pStyle w:val="06Normal"/>
        <w:spacing w:after="120"/>
        <w:rPr>
          <w:szCs w:val="22"/>
          <w:lang w:eastAsia="sk-SK"/>
        </w:rPr>
      </w:pPr>
      <w:r w:rsidRPr="00560E77">
        <w:rPr>
          <w:szCs w:val="22"/>
          <w:lang w:eastAsia="sk-SK"/>
        </w:rPr>
        <w:t>OPII vývoju, výskumu a inováciám pomáha nepriamo</w:t>
      </w:r>
      <w:r>
        <w:rPr>
          <w:szCs w:val="22"/>
          <w:lang w:eastAsia="sk-SK"/>
        </w:rPr>
        <w:t>,</w:t>
      </w:r>
      <w:r w:rsidRPr="00560E77" w:rsidDel="00C75724">
        <w:rPr>
          <w:szCs w:val="22"/>
          <w:lang w:eastAsia="sk-SK"/>
        </w:rPr>
        <w:t xml:space="preserve"> </w:t>
      </w:r>
      <w:r w:rsidRPr="00560E77">
        <w:rPr>
          <w:szCs w:val="22"/>
          <w:lang w:eastAsia="sk-SK"/>
        </w:rPr>
        <w:t>prost</w:t>
      </w:r>
      <w:r w:rsidR="0095191D">
        <w:rPr>
          <w:szCs w:val="22"/>
          <w:lang w:eastAsia="sk-SK"/>
        </w:rPr>
        <w:t>redníctvom vytvárania dopytu po </w:t>
      </w:r>
      <w:r w:rsidRPr="00560E77">
        <w:rPr>
          <w:szCs w:val="22"/>
          <w:lang w:eastAsia="sk-SK"/>
        </w:rPr>
        <w:t>inovatívnych riešeniach a produktoch s vysokou pridanou hodnotou, ktoré budú využívané najmä vo verejnej správe. Rozširovanie príležitostí je tak možné očakávať v nasledujúcich oblastiach:</w:t>
      </w:r>
    </w:p>
    <w:p w:rsidR="00E92F9B" w:rsidRDefault="005413FA" w:rsidP="00FE6025">
      <w:pPr>
        <w:pStyle w:val="Odsekzoznamu"/>
        <w:numPr>
          <w:ilvl w:val="0"/>
          <w:numId w:val="28"/>
        </w:numPr>
        <w:spacing w:before="120" w:after="120"/>
        <w:jc w:val="both"/>
        <w:rPr>
          <w:szCs w:val="22"/>
        </w:rPr>
      </w:pPr>
      <w:r w:rsidRPr="005413FA">
        <w:rPr>
          <w:sz w:val="22"/>
          <w:szCs w:val="22"/>
        </w:rPr>
        <w:t>vývoj a výskum aplikácií a algoritmov, schopných spracovávať veľké objemy dát na účely prediktívnych analýz a rizikových analýz;</w:t>
      </w:r>
    </w:p>
    <w:p w:rsidR="00E92F9B" w:rsidRDefault="005413FA" w:rsidP="00FE6025">
      <w:pPr>
        <w:pStyle w:val="Odsekzoznamu"/>
        <w:numPr>
          <w:ilvl w:val="0"/>
          <w:numId w:val="28"/>
        </w:numPr>
        <w:spacing w:before="120" w:after="120"/>
        <w:jc w:val="both"/>
        <w:rPr>
          <w:szCs w:val="22"/>
        </w:rPr>
      </w:pPr>
      <w:r w:rsidRPr="005413FA">
        <w:rPr>
          <w:sz w:val="22"/>
          <w:szCs w:val="22"/>
        </w:rPr>
        <w:t>vývoj systémov schopných optimalizovať rozhodovanie na základe dôkazov;</w:t>
      </w:r>
    </w:p>
    <w:p w:rsidR="00E92F9B" w:rsidRDefault="005413FA" w:rsidP="00FE6025">
      <w:pPr>
        <w:pStyle w:val="Odsekzoznamu"/>
        <w:numPr>
          <w:ilvl w:val="0"/>
          <w:numId w:val="28"/>
        </w:numPr>
        <w:spacing w:before="120" w:after="120"/>
        <w:jc w:val="both"/>
        <w:rPr>
          <w:szCs w:val="22"/>
        </w:rPr>
      </w:pPr>
      <w:r w:rsidRPr="005413FA">
        <w:rPr>
          <w:sz w:val="22"/>
          <w:szCs w:val="22"/>
        </w:rPr>
        <w:t>vývoj inteligentných a automatizovaných systémov;</w:t>
      </w:r>
    </w:p>
    <w:p w:rsidR="00E92F9B" w:rsidRDefault="005413FA" w:rsidP="00FE6025">
      <w:pPr>
        <w:pStyle w:val="Odsekzoznamu"/>
        <w:numPr>
          <w:ilvl w:val="0"/>
          <w:numId w:val="28"/>
        </w:numPr>
        <w:spacing w:before="120" w:after="120"/>
        <w:jc w:val="both"/>
        <w:rPr>
          <w:szCs w:val="22"/>
        </w:rPr>
      </w:pPr>
      <w:r w:rsidRPr="005413FA">
        <w:rPr>
          <w:sz w:val="22"/>
          <w:szCs w:val="22"/>
        </w:rPr>
        <w:t>vývoj inovatívnych mobilných riešení;</w:t>
      </w:r>
    </w:p>
    <w:p w:rsidR="00E92F9B" w:rsidRDefault="005413FA" w:rsidP="00FE6025">
      <w:pPr>
        <w:pStyle w:val="Odsekzoznamu"/>
        <w:numPr>
          <w:ilvl w:val="0"/>
          <w:numId w:val="28"/>
        </w:numPr>
        <w:spacing w:before="120" w:after="120"/>
        <w:jc w:val="both"/>
        <w:rPr>
          <w:szCs w:val="22"/>
        </w:rPr>
      </w:pPr>
      <w:r w:rsidRPr="005413FA">
        <w:rPr>
          <w:sz w:val="22"/>
          <w:szCs w:val="22"/>
        </w:rPr>
        <w:t>vývoj pokročilých bezpečnostných riešení;</w:t>
      </w:r>
    </w:p>
    <w:p w:rsidR="00E92F9B" w:rsidRDefault="005413FA" w:rsidP="00FE6025">
      <w:pPr>
        <w:pStyle w:val="Odsekzoznamu"/>
        <w:numPr>
          <w:ilvl w:val="0"/>
          <w:numId w:val="28"/>
        </w:numPr>
        <w:spacing w:before="120" w:after="120"/>
        <w:jc w:val="both"/>
        <w:rPr>
          <w:szCs w:val="22"/>
        </w:rPr>
      </w:pPr>
      <w:r w:rsidRPr="005413FA">
        <w:rPr>
          <w:sz w:val="22"/>
          <w:szCs w:val="22"/>
        </w:rPr>
        <w:lastRenderedPageBreak/>
        <w:t>nasadzovanie pokročilých cloudových technológií;</w:t>
      </w:r>
    </w:p>
    <w:p w:rsidR="00E92F9B" w:rsidRDefault="005413FA" w:rsidP="00FE6025">
      <w:pPr>
        <w:pStyle w:val="Odsekzoznamu"/>
        <w:numPr>
          <w:ilvl w:val="0"/>
          <w:numId w:val="28"/>
        </w:numPr>
        <w:spacing w:before="120" w:after="120"/>
        <w:jc w:val="both"/>
        <w:rPr>
          <w:szCs w:val="22"/>
        </w:rPr>
      </w:pPr>
      <w:r w:rsidRPr="005413FA">
        <w:rPr>
          <w:sz w:val="22"/>
          <w:szCs w:val="22"/>
        </w:rPr>
        <w:t>vývoj riešení pracujúcich s priestorovými informáciami;</w:t>
      </w:r>
    </w:p>
    <w:p w:rsidR="00E92F9B" w:rsidRDefault="005413FA" w:rsidP="00FE6025">
      <w:pPr>
        <w:pStyle w:val="Odsekzoznamu"/>
        <w:numPr>
          <w:ilvl w:val="0"/>
          <w:numId w:val="28"/>
        </w:numPr>
        <w:spacing w:before="120" w:after="120"/>
        <w:jc w:val="both"/>
        <w:rPr>
          <w:szCs w:val="22"/>
        </w:rPr>
      </w:pPr>
      <w:r w:rsidRPr="005413FA">
        <w:rPr>
          <w:sz w:val="22"/>
          <w:szCs w:val="22"/>
        </w:rPr>
        <w:t>vývoj systémov pre kolaboráciu a zdieľanie informácií.</w:t>
      </w:r>
    </w:p>
    <w:p w:rsidR="00E92F9B" w:rsidRDefault="00E92F9B">
      <w:pPr>
        <w:pStyle w:val="Odsekzoznamu"/>
        <w:spacing w:before="120" w:after="120"/>
        <w:jc w:val="both"/>
        <w:rPr>
          <w:szCs w:val="22"/>
        </w:rPr>
      </w:pPr>
    </w:p>
    <w:p w:rsidR="005413FA" w:rsidRDefault="001218A8" w:rsidP="005413FA">
      <w:pPr>
        <w:pStyle w:val="Odsekzoznamu"/>
        <w:spacing w:before="120" w:after="120"/>
        <w:ind w:left="0"/>
        <w:jc w:val="both"/>
        <w:rPr>
          <w:sz w:val="22"/>
          <w:szCs w:val="22"/>
        </w:rPr>
      </w:pPr>
      <w:r w:rsidRPr="001218A8">
        <w:rPr>
          <w:sz w:val="22"/>
          <w:szCs w:val="22"/>
        </w:rPr>
        <w:t>Ide tak o významné rozšírenie dopytu po inovatívnych riešeniach pos</w:t>
      </w:r>
      <w:r w:rsidR="0095191D">
        <w:rPr>
          <w:sz w:val="22"/>
          <w:szCs w:val="22"/>
        </w:rPr>
        <w:t>tavených na báze informačných a </w:t>
      </w:r>
      <w:r w:rsidRPr="001218A8">
        <w:rPr>
          <w:sz w:val="22"/>
          <w:szCs w:val="22"/>
        </w:rPr>
        <w:t>komunikačných technológií.</w:t>
      </w:r>
    </w:p>
    <w:p w:rsidR="00A24828" w:rsidRDefault="00A24828" w:rsidP="00A24828">
      <w:pPr>
        <w:pStyle w:val="Nadpis3"/>
      </w:pPr>
      <w:bookmarkStart w:id="7" w:name="_Toc385310674"/>
      <w:r>
        <w:t>Zdôvodnenie výberu tematických cieľov a príslušných investičných priorít</w:t>
      </w:r>
      <w:bookmarkEnd w:id="7"/>
    </w:p>
    <w:p w:rsidR="00A24828" w:rsidRDefault="00A24828" w:rsidP="00A24828">
      <w:pPr>
        <w:pStyle w:val="Tab"/>
      </w:pPr>
      <w:r>
        <w:t>Súhrnný prehľad zdôvodnenia výberu tematických cieľov a investičných priorít - Doprava</w:t>
      </w:r>
    </w:p>
    <w:tbl>
      <w:tblPr>
        <w:tblStyle w:val="Mriekatabuky"/>
        <w:tblW w:w="9072" w:type="dxa"/>
        <w:jc w:val="center"/>
        <w:tblLook w:val="04A0"/>
      </w:tblPr>
      <w:tblGrid>
        <w:gridCol w:w="2128"/>
        <w:gridCol w:w="3079"/>
        <w:gridCol w:w="3865"/>
      </w:tblGrid>
      <w:tr w:rsidR="00A24828" w:rsidTr="007F1C63">
        <w:trPr>
          <w:trHeight w:val="340"/>
          <w:jc w:val="center"/>
        </w:trPr>
        <w:tc>
          <w:tcPr>
            <w:tcW w:w="2128" w:type="dxa"/>
            <w:shd w:val="clear" w:color="auto" w:fill="C6D9F1" w:themeFill="text2" w:themeFillTint="33"/>
            <w:vAlign w:val="center"/>
          </w:tcPr>
          <w:p w:rsidR="00A24828" w:rsidRPr="0027323A" w:rsidRDefault="00A24828" w:rsidP="007F1C63">
            <w:pPr>
              <w:ind w:left="0"/>
              <w:jc w:val="center"/>
              <w:rPr>
                <w:b/>
                <w:sz w:val="18"/>
                <w:szCs w:val="18"/>
              </w:rPr>
            </w:pPr>
            <w:r w:rsidRPr="0027323A">
              <w:rPr>
                <w:b/>
                <w:sz w:val="18"/>
                <w:szCs w:val="18"/>
              </w:rPr>
              <w:t>Vybraný tematický cieľ</w:t>
            </w:r>
          </w:p>
        </w:tc>
        <w:tc>
          <w:tcPr>
            <w:tcW w:w="3079" w:type="dxa"/>
            <w:shd w:val="clear" w:color="auto" w:fill="C6D9F1" w:themeFill="text2" w:themeFillTint="33"/>
            <w:vAlign w:val="center"/>
          </w:tcPr>
          <w:p w:rsidR="00A24828" w:rsidRPr="0027323A" w:rsidRDefault="00A24828" w:rsidP="007F1C63">
            <w:pPr>
              <w:ind w:left="0"/>
              <w:jc w:val="center"/>
              <w:rPr>
                <w:b/>
                <w:sz w:val="18"/>
                <w:szCs w:val="18"/>
              </w:rPr>
            </w:pPr>
            <w:r w:rsidRPr="0027323A">
              <w:rPr>
                <w:b/>
                <w:sz w:val="18"/>
                <w:szCs w:val="18"/>
              </w:rPr>
              <w:t>Vybrané investičné priority</w:t>
            </w:r>
          </w:p>
        </w:tc>
        <w:tc>
          <w:tcPr>
            <w:tcW w:w="3865" w:type="dxa"/>
            <w:shd w:val="clear" w:color="auto" w:fill="C6D9F1" w:themeFill="text2" w:themeFillTint="33"/>
            <w:vAlign w:val="center"/>
          </w:tcPr>
          <w:p w:rsidR="00A24828" w:rsidRPr="0027323A" w:rsidRDefault="00A24828" w:rsidP="007F1C63">
            <w:pPr>
              <w:ind w:left="0"/>
              <w:jc w:val="center"/>
              <w:rPr>
                <w:b/>
                <w:sz w:val="18"/>
                <w:szCs w:val="18"/>
              </w:rPr>
            </w:pPr>
            <w:r w:rsidRPr="0027323A">
              <w:rPr>
                <w:b/>
                <w:sz w:val="18"/>
                <w:szCs w:val="18"/>
              </w:rPr>
              <w:t>Zdôvodnenie výberu</w:t>
            </w:r>
          </w:p>
        </w:tc>
      </w:tr>
      <w:tr w:rsidR="00A24828" w:rsidTr="007F1C63">
        <w:trPr>
          <w:trHeight w:val="340"/>
          <w:jc w:val="center"/>
        </w:trPr>
        <w:tc>
          <w:tcPr>
            <w:tcW w:w="2128" w:type="dxa"/>
            <w:vMerge w:val="restart"/>
            <w:vAlign w:val="center"/>
          </w:tcPr>
          <w:p w:rsidR="00A24828" w:rsidRPr="0027323A" w:rsidRDefault="00A24828" w:rsidP="007F1C63">
            <w:pPr>
              <w:ind w:left="0"/>
              <w:rPr>
                <w:sz w:val="18"/>
                <w:szCs w:val="18"/>
              </w:rPr>
            </w:pPr>
            <w:r w:rsidRPr="0027323A">
              <w:rPr>
                <w:color w:val="000000"/>
                <w:sz w:val="18"/>
                <w:szCs w:val="18"/>
              </w:rPr>
              <w:t xml:space="preserve">7 </w:t>
            </w:r>
            <w:r>
              <w:rPr>
                <w:color w:val="000000"/>
                <w:sz w:val="18"/>
                <w:szCs w:val="18"/>
              </w:rPr>
              <w:t>–</w:t>
            </w:r>
            <w:r w:rsidRPr="0027323A">
              <w:rPr>
                <w:color w:val="000000"/>
                <w:sz w:val="18"/>
                <w:szCs w:val="18"/>
              </w:rPr>
              <w:t xml:space="preserve"> podpora udržateľnej dopravy a</w:t>
            </w:r>
            <w:r>
              <w:rPr>
                <w:color w:val="000000"/>
                <w:sz w:val="18"/>
                <w:szCs w:val="18"/>
              </w:rPr>
              <w:t> </w:t>
            </w:r>
            <w:r w:rsidRPr="0027323A">
              <w:rPr>
                <w:color w:val="000000"/>
                <w:sz w:val="18"/>
                <w:szCs w:val="18"/>
              </w:rPr>
              <w:t>odstraňovanie prekážok v</w:t>
            </w:r>
            <w:r>
              <w:rPr>
                <w:color w:val="000000"/>
                <w:sz w:val="18"/>
                <w:szCs w:val="18"/>
              </w:rPr>
              <w:t> </w:t>
            </w:r>
            <w:r w:rsidRPr="0027323A">
              <w:rPr>
                <w:color w:val="000000"/>
                <w:sz w:val="18"/>
                <w:szCs w:val="18"/>
              </w:rPr>
              <w:t>kľúčových sieťových infraštruktúrach</w:t>
            </w:r>
          </w:p>
        </w:tc>
        <w:tc>
          <w:tcPr>
            <w:tcW w:w="3079" w:type="dxa"/>
            <w:vAlign w:val="center"/>
          </w:tcPr>
          <w:p w:rsidR="00A24828" w:rsidRPr="0027323A" w:rsidRDefault="00A24828" w:rsidP="007F1C63">
            <w:pPr>
              <w:ind w:left="0"/>
              <w:jc w:val="center"/>
              <w:rPr>
                <w:sz w:val="18"/>
                <w:szCs w:val="18"/>
              </w:rPr>
            </w:pPr>
            <w:r w:rsidRPr="0027323A">
              <w:rPr>
                <w:sz w:val="18"/>
                <w:szCs w:val="18"/>
              </w:rPr>
              <w:t xml:space="preserve">7a) podpora multimodálneho jednotného európskeho dopravného </w:t>
            </w:r>
            <w:r>
              <w:rPr>
                <w:sz w:val="18"/>
                <w:szCs w:val="18"/>
              </w:rPr>
              <w:t>priestoru pomocou investícií do TEN-T</w:t>
            </w:r>
          </w:p>
        </w:tc>
        <w:tc>
          <w:tcPr>
            <w:tcW w:w="3865" w:type="dxa"/>
            <w:vAlign w:val="center"/>
          </w:tcPr>
          <w:p w:rsidR="00B67201" w:rsidRDefault="00B67201" w:rsidP="00B67201">
            <w:pPr>
              <w:ind w:left="0"/>
              <w:rPr>
                <w:sz w:val="18"/>
                <w:szCs w:val="18"/>
              </w:rPr>
            </w:pPr>
            <w:r>
              <w:rPr>
                <w:sz w:val="18"/>
                <w:szCs w:val="18"/>
              </w:rPr>
              <w:t xml:space="preserve">SR disponuje nedobudovanou a technicky a kvalitatívne zastaranou infraštruktúrou, ktorá sa negatívnym spôsobom premieta </w:t>
            </w:r>
            <w:r w:rsidRPr="004F7DFD">
              <w:rPr>
                <w:sz w:val="18"/>
                <w:szCs w:val="18"/>
              </w:rPr>
              <w:t>v</w:t>
            </w:r>
            <w:r>
              <w:rPr>
                <w:sz w:val="18"/>
                <w:szCs w:val="18"/>
              </w:rPr>
              <w:t> </w:t>
            </w:r>
            <w:r w:rsidRPr="004F7DFD">
              <w:rPr>
                <w:sz w:val="18"/>
                <w:szCs w:val="18"/>
              </w:rPr>
              <w:t>oblastiach hospodárstva, životného prostredia</w:t>
            </w:r>
            <w:r>
              <w:rPr>
                <w:sz w:val="18"/>
                <w:szCs w:val="18"/>
              </w:rPr>
              <w:t>,</w:t>
            </w:r>
            <w:r w:rsidRPr="004F7DFD">
              <w:rPr>
                <w:sz w:val="18"/>
                <w:szCs w:val="18"/>
              </w:rPr>
              <w:t xml:space="preserve"> </w:t>
            </w:r>
            <w:r>
              <w:rPr>
                <w:sz w:val="18"/>
                <w:szCs w:val="18"/>
              </w:rPr>
              <w:t>t</w:t>
            </w:r>
            <w:r w:rsidRPr="004F7DFD">
              <w:rPr>
                <w:sz w:val="18"/>
                <w:szCs w:val="18"/>
              </w:rPr>
              <w:t>vor</w:t>
            </w:r>
            <w:r>
              <w:rPr>
                <w:sz w:val="18"/>
                <w:szCs w:val="18"/>
              </w:rPr>
              <w:t>í</w:t>
            </w:r>
            <w:r w:rsidRPr="004F7DFD">
              <w:rPr>
                <w:sz w:val="18"/>
                <w:szCs w:val="18"/>
              </w:rPr>
              <w:t xml:space="preserve"> pr</w:t>
            </w:r>
            <w:r>
              <w:rPr>
                <w:sz w:val="18"/>
                <w:szCs w:val="18"/>
              </w:rPr>
              <w:t>ekážku v mobilite obyvateľstva a </w:t>
            </w:r>
            <w:r w:rsidRPr="004F7DFD">
              <w:rPr>
                <w:sz w:val="18"/>
                <w:szCs w:val="18"/>
              </w:rPr>
              <w:t>znižuj</w:t>
            </w:r>
            <w:r>
              <w:rPr>
                <w:sz w:val="18"/>
                <w:szCs w:val="18"/>
              </w:rPr>
              <w:t>e</w:t>
            </w:r>
            <w:r w:rsidRPr="004F7DFD">
              <w:rPr>
                <w:sz w:val="18"/>
                <w:szCs w:val="18"/>
              </w:rPr>
              <w:t xml:space="preserve"> atraktivitu územia z</w:t>
            </w:r>
            <w:r>
              <w:rPr>
                <w:sz w:val="18"/>
                <w:szCs w:val="18"/>
              </w:rPr>
              <w:t> </w:t>
            </w:r>
            <w:r w:rsidRPr="004F7DFD">
              <w:rPr>
                <w:sz w:val="18"/>
                <w:szCs w:val="18"/>
              </w:rPr>
              <w:t xml:space="preserve">pohľadu </w:t>
            </w:r>
            <w:r>
              <w:rPr>
                <w:sz w:val="18"/>
                <w:szCs w:val="18"/>
              </w:rPr>
              <w:t xml:space="preserve">cestovného ruchu </w:t>
            </w:r>
            <w:r w:rsidRPr="004F7DFD">
              <w:rPr>
                <w:sz w:val="18"/>
                <w:szCs w:val="18"/>
              </w:rPr>
              <w:t>a</w:t>
            </w:r>
            <w:r>
              <w:rPr>
                <w:sz w:val="18"/>
                <w:szCs w:val="18"/>
              </w:rPr>
              <w:t> </w:t>
            </w:r>
            <w:r w:rsidRPr="004F7DFD">
              <w:rPr>
                <w:sz w:val="18"/>
                <w:szCs w:val="18"/>
              </w:rPr>
              <w:t>prílevu investícií.</w:t>
            </w:r>
            <w:r>
              <w:rPr>
                <w:sz w:val="18"/>
                <w:szCs w:val="18"/>
              </w:rPr>
              <w:t xml:space="preserve"> Cieľom SR je prispieť k homogenizácii siete TEN-T, zabezpečeniu </w:t>
            </w:r>
            <w:r w:rsidRPr="004F7DFD">
              <w:rPr>
                <w:sz w:val="18"/>
                <w:szCs w:val="18"/>
              </w:rPr>
              <w:t>plynulého fungova</w:t>
            </w:r>
            <w:r>
              <w:rPr>
                <w:sz w:val="18"/>
                <w:szCs w:val="18"/>
              </w:rPr>
              <w:t>nia vnútorného trhu a posilneniu</w:t>
            </w:r>
            <w:r w:rsidRPr="004F7DFD">
              <w:rPr>
                <w:sz w:val="18"/>
                <w:szCs w:val="18"/>
              </w:rPr>
              <w:t xml:space="preserve"> hospodárskej, sociálnej a</w:t>
            </w:r>
            <w:r>
              <w:rPr>
                <w:sz w:val="18"/>
                <w:szCs w:val="18"/>
              </w:rPr>
              <w:t> </w:t>
            </w:r>
            <w:r w:rsidRPr="004F7DFD">
              <w:rPr>
                <w:sz w:val="18"/>
                <w:szCs w:val="18"/>
              </w:rPr>
              <w:t>územnej súdržnosti.</w:t>
            </w:r>
          </w:p>
          <w:p w:rsidR="00B67201" w:rsidRDefault="00B67201" w:rsidP="00B67201">
            <w:pPr>
              <w:ind w:left="0"/>
              <w:rPr>
                <w:b/>
                <w:sz w:val="18"/>
                <w:szCs w:val="18"/>
              </w:rPr>
            </w:pPr>
          </w:p>
          <w:p w:rsidR="00B67201" w:rsidRDefault="00B67201" w:rsidP="00B67201">
            <w:pPr>
              <w:ind w:left="0"/>
              <w:rPr>
                <w:b/>
                <w:sz w:val="18"/>
                <w:szCs w:val="18"/>
              </w:rPr>
            </w:pPr>
            <w:r w:rsidRPr="00C0629B">
              <w:rPr>
                <w:b/>
                <w:sz w:val="18"/>
                <w:szCs w:val="18"/>
              </w:rPr>
              <w:t xml:space="preserve">Stratégia Európa 2020 </w:t>
            </w:r>
          </w:p>
          <w:p w:rsidR="00B67201" w:rsidRDefault="00361192" w:rsidP="00B67201">
            <w:pPr>
              <w:pStyle w:val="Odsekzoznamu"/>
              <w:numPr>
                <w:ilvl w:val="0"/>
                <w:numId w:val="28"/>
              </w:numPr>
              <w:spacing w:before="40" w:after="120"/>
              <w:ind w:left="356" w:hanging="210"/>
              <w:rPr>
                <w:sz w:val="18"/>
                <w:szCs w:val="20"/>
                <w:lang w:eastAsia="cs-CZ"/>
              </w:rPr>
            </w:pPr>
            <w:r>
              <w:rPr>
                <w:sz w:val="18"/>
                <w:szCs w:val="20"/>
                <w:lang w:eastAsia="cs-CZ"/>
              </w:rPr>
              <w:t>s</w:t>
            </w:r>
            <w:r w:rsidR="00B67201" w:rsidRPr="00C0629B">
              <w:rPr>
                <w:sz w:val="18"/>
                <w:szCs w:val="20"/>
                <w:lang w:eastAsia="cs-CZ"/>
              </w:rPr>
              <w:t>úvislosť s prioritou „Udržateľný rast: podpora ekologickejšieho a konkurencieschopnejšieho hospodárstva, ktor</w:t>
            </w:r>
            <w:r w:rsidR="00B67201">
              <w:rPr>
                <w:sz w:val="18"/>
                <w:szCs w:val="20"/>
                <w:lang w:eastAsia="cs-CZ"/>
              </w:rPr>
              <w:t>é efektívnejšie využíva zdroje“;</w:t>
            </w:r>
          </w:p>
          <w:p w:rsidR="00B67201" w:rsidRDefault="00B67201" w:rsidP="00B67201">
            <w:pPr>
              <w:ind w:left="0"/>
              <w:rPr>
                <w:sz w:val="18"/>
                <w:szCs w:val="18"/>
              </w:rPr>
            </w:pPr>
            <w:r w:rsidRPr="00C0629B">
              <w:rPr>
                <w:b/>
                <w:sz w:val="18"/>
                <w:szCs w:val="18"/>
              </w:rPr>
              <w:t>Biela kniha – Plán jednotného európskeho dopravného priestoru</w:t>
            </w:r>
          </w:p>
          <w:p w:rsidR="00B67201" w:rsidRDefault="00361192" w:rsidP="00B67201">
            <w:pPr>
              <w:pStyle w:val="Odsekzoznamu"/>
              <w:numPr>
                <w:ilvl w:val="0"/>
                <w:numId w:val="28"/>
              </w:numPr>
              <w:spacing w:before="40" w:after="120"/>
              <w:ind w:left="356" w:hanging="210"/>
              <w:rPr>
                <w:sz w:val="18"/>
                <w:szCs w:val="20"/>
                <w:lang w:eastAsia="cs-CZ"/>
              </w:rPr>
            </w:pPr>
            <w:r>
              <w:rPr>
                <w:sz w:val="18"/>
                <w:szCs w:val="20"/>
                <w:lang w:eastAsia="cs-CZ"/>
              </w:rPr>
              <w:t>j</w:t>
            </w:r>
            <w:r w:rsidR="00B67201" w:rsidRPr="00C0629B">
              <w:rPr>
                <w:sz w:val="18"/>
                <w:szCs w:val="20"/>
                <w:lang w:eastAsia="cs-CZ"/>
              </w:rPr>
              <w:t>edným z hlavných cieľov Bielej knihy je sprevádzkovať do r.2030 v celej EÚ plne funkčnú multimodálnu základnú sieť TEN-T, a previesť 30% cestnej nákladnej dopravy nad 300 km na iný druh dopravy, napr. železničnú;</w:t>
            </w:r>
          </w:p>
          <w:p w:rsidR="00B67201" w:rsidRDefault="00B67201" w:rsidP="00B67201">
            <w:pPr>
              <w:ind w:left="0"/>
              <w:rPr>
                <w:b/>
                <w:sz w:val="18"/>
                <w:szCs w:val="18"/>
              </w:rPr>
            </w:pPr>
            <w:r w:rsidRPr="00C0629B">
              <w:rPr>
                <w:b/>
                <w:sz w:val="18"/>
                <w:szCs w:val="18"/>
              </w:rPr>
              <w:t>Nariadenie Európskeho parlamentu a Rady EÚ č. 1315/2013 z 11.12.2013 o usmerneniach EÚ pre rozvoj transeurópskej dopravnej siete</w:t>
            </w:r>
          </w:p>
          <w:p w:rsidR="00B67201" w:rsidRDefault="00361192" w:rsidP="00B67201">
            <w:pPr>
              <w:pStyle w:val="Odsekzoznamu"/>
              <w:numPr>
                <w:ilvl w:val="0"/>
                <w:numId w:val="28"/>
              </w:numPr>
              <w:spacing w:before="40" w:after="120"/>
              <w:ind w:left="356" w:hanging="210"/>
              <w:rPr>
                <w:sz w:val="18"/>
                <w:szCs w:val="20"/>
                <w:lang w:eastAsia="cs-CZ"/>
              </w:rPr>
            </w:pPr>
            <w:r>
              <w:rPr>
                <w:sz w:val="18"/>
                <w:szCs w:val="20"/>
                <w:lang w:eastAsia="cs-CZ"/>
              </w:rPr>
              <w:t>n</w:t>
            </w:r>
            <w:r w:rsidR="00B67201" w:rsidRPr="00C0629B">
              <w:rPr>
                <w:sz w:val="18"/>
                <w:szCs w:val="20"/>
                <w:lang w:eastAsia="cs-CZ"/>
              </w:rPr>
              <w:t>ariadenie stanovuje usmernenia pre rozvoj TEN-T siete, a predpokladá ukončenie budovania základnej siete do roku 2030 prostredníctvom vytvorenia novej, ako aj zásadnej modernizácie a obnovy už existujúcej infraštruktúry;</w:t>
            </w:r>
          </w:p>
          <w:p w:rsidR="00B67201" w:rsidRDefault="00B67201" w:rsidP="00B67201">
            <w:pPr>
              <w:ind w:left="0"/>
              <w:rPr>
                <w:b/>
                <w:sz w:val="18"/>
                <w:szCs w:val="18"/>
              </w:rPr>
            </w:pPr>
            <w:r w:rsidRPr="00C0629B">
              <w:rPr>
                <w:b/>
                <w:sz w:val="18"/>
                <w:szCs w:val="18"/>
              </w:rPr>
              <w:t>Partnerská dohoda Slovenskej republiky</w:t>
            </w:r>
          </w:p>
          <w:p w:rsidR="00B67201" w:rsidRDefault="00B67201" w:rsidP="00B67201">
            <w:pPr>
              <w:rPr>
                <w:b/>
                <w:sz w:val="18"/>
                <w:szCs w:val="18"/>
              </w:rPr>
            </w:pPr>
          </w:p>
          <w:p w:rsidR="00B67201" w:rsidRDefault="00B67201" w:rsidP="00B67201">
            <w:pPr>
              <w:ind w:left="0"/>
              <w:rPr>
                <w:b/>
                <w:sz w:val="18"/>
                <w:szCs w:val="18"/>
              </w:rPr>
            </w:pPr>
            <w:r w:rsidRPr="00C0629B">
              <w:rPr>
                <w:b/>
                <w:sz w:val="18"/>
                <w:szCs w:val="18"/>
              </w:rPr>
              <w:t>Pozičný dokument Komisie k vypracovaniu partnerskej dohody a programov na Slovensku na roky 2014-2020</w:t>
            </w:r>
          </w:p>
          <w:p w:rsidR="00B67201" w:rsidRDefault="00361192" w:rsidP="00B67201">
            <w:pPr>
              <w:pStyle w:val="Odsekzoznamu"/>
              <w:numPr>
                <w:ilvl w:val="0"/>
                <w:numId w:val="28"/>
              </w:numPr>
              <w:spacing w:before="40" w:after="120"/>
              <w:ind w:left="356" w:hanging="210"/>
              <w:rPr>
                <w:sz w:val="18"/>
                <w:szCs w:val="20"/>
                <w:lang w:eastAsia="cs-CZ"/>
              </w:rPr>
            </w:pPr>
            <w:r>
              <w:rPr>
                <w:sz w:val="18"/>
                <w:szCs w:val="20"/>
                <w:lang w:eastAsia="cs-CZ"/>
              </w:rPr>
              <w:t>i</w:t>
            </w:r>
            <w:r w:rsidR="00B67201" w:rsidRPr="00C0629B">
              <w:rPr>
                <w:sz w:val="18"/>
                <w:szCs w:val="20"/>
                <w:lang w:eastAsia="cs-CZ"/>
              </w:rPr>
              <w:t>nvestície do dopravnej infraštruktúry zamerané na TEN-T sieť s cieľom zlepšiť dostupnosť a udržateľné druhy dopravy pre hospodársky rast a tvorbu pracovných miest</w:t>
            </w:r>
            <w:r w:rsidR="00B67201">
              <w:rPr>
                <w:sz w:val="18"/>
                <w:szCs w:val="20"/>
                <w:lang w:eastAsia="cs-CZ"/>
              </w:rPr>
              <w:t>.</w:t>
            </w:r>
          </w:p>
          <w:p w:rsidR="00B67201" w:rsidRDefault="00B67201" w:rsidP="00B67201">
            <w:pPr>
              <w:ind w:left="0"/>
              <w:rPr>
                <w:sz w:val="18"/>
                <w:szCs w:val="18"/>
              </w:rPr>
            </w:pPr>
            <w:r w:rsidRPr="00C0629B">
              <w:rPr>
                <w:b/>
                <w:sz w:val="18"/>
                <w:szCs w:val="18"/>
              </w:rPr>
              <w:t>Národný program</w:t>
            </w:r>
            <w:r w:rsidRPr="00C0629B">
              <w:rPr>
                <w:sz w:val="18"/>
                <w:szCs w:val="18"/>
              </w:rPr>
              <w:t xml:space="preserve"> </w:t>
            </w:r>
            <w:r w:rsidRPr="00C0629B">
              <w:rPr>
                <w:b/>
                <w:sz w:val="18"/>
                <w:szCs w:val="18"/>
              </w:rPr>
              <w:t>reforiem</w:t>
            </w:r>
            <w:r w:rsidRPr="00C0629B">
              <w:rPr>
                <w:sz w:val="18"/>
                <w:szCs w:val="18"/>
              </w:rPr>
              <w:t xml:space="preserve"> </w:t>
            </w:r>
          </w:p>
          <w:p w:rsidR="00B67201" w:rsidRDefault="00361192" w:rsidP="00B67201">
            <w:pPr>
              <w:pStyle w:val="Odsekzoznamu"/>
              <w:numPr>
                <w:ilvl w:val="0"/>
                <w:numId w:val="28"/>
              </w:numPr>
              <w:spacing w:before="40" w:after="120"/>
              <w:ind w:left="356" w:hanging="210"/>
              <w:rPr>
                <w:sz w:val="18"/>
                <w:szCs w:val="20"/>
                <w:lang w:eastAsia="cs-CZ"/>
              </w:rPr>
            </w:pPr>
            <w:r>
              <w:rPr>
                <w:sz w:val="18"/>
                <w:szCs w:val="20"/>
                <w:lang w:eastAsia="cs-CZ"/>
              </w:rPr>
              <w:t>j</w:t>
            </w:r>
            <w:r w:rsidR="00B67201" w:rsidRPr="00C0629B">
              <w:rPr>
                <w:sz w:val="18"/>
                <w:szCs w:val="20"/>
                <w:lang w:eastAsia="cs-CZ"/>
              </w:rPr>
              <w:t xml:space="preserve">edným zo základných cieľov NPR pre politiku súdržnosti je „Základná infraštruktúra“ pre zabezpečenie podmienok pre udržateľný a vyvážený rozvoj a rast </w:t>
            </w:r>
            <w:r w:rsidR="00B67201">
              <w:rPr>
                <w:sz w:val="18"/>
                <w:szCs w:val="20"/>
                <w:lang w:eastAsia="cs-CZ"/>
              </w:rPr>
              <w:t>zamestnanosti.</w:t>
            </w:r>
          </w:p>
          <w:p w:rsidR="00A24828" w:rsidRDefault="00B67201" w:rsidP="00B67201">
            <w:pPr>
              <w:ind w:left="0"/>
              <w:rPr>
                <w:b/>
                <w:sz w:val="18"/>
                <w:szCs w:val="18"/>
              </w:rPr>
            </w:pPr>
            <w:r w:rsidRPr="00C0629B">
              <w:rPr>
                <w:b/>
                <w:sz w:val="18"/>
                <w:szCs w:val="18"/>
              </w:rPr>
              <w:t>Strategický plán rozvoja dopravnej infraštruktúry SR do roku 2020</w:t>
            </w:r>
            <w:r>
              <w:rPr>
                <w:b/>
                <w:sz w:val="18"/>
                <w:szCs w:val="18"/>
              </w:rPr>
              <w:t xml:space="preserve">, </w:t>
            </w:r>
            <w:r w:rsidRPr="00C0629B">
              <w:rPr>
                <w:b/>
                <w:sz w:val="18"/>
                <w:szCs w:val="18"/>
              </w:rPr>
              <w:t>Stratégia</w:t>
            </w:r>
            <w:r>
              <w:rPr>
                <w:b/>
                <w:sz w:val="18"/>
                <w:szCs w:val="18"/>
              </w:rPr>
              <w:t xml:space="preserve"> </w:t>
            </w:r>
            <w:r>
              <w:rPr>
                <w:b/>
                <w:sz w:val="18"/>
                <w:szCs w:val="18"/>
              </w:rPr>
              <w:lastRenderedPageBreak/>
              <w:t>rozvoja verejnej osobnej a nemotorovej dopravy SR do roku 2020</w:t>
            </w:r>
          </w:p>
          <w:p w:rsidR="00361192" w:rsidRPr="00B67201" w:rsidRDefault="00361192" w:rsidP="00361192">
            <w:pPr>
              <w:pStyle w:val="Odsekzoznamu"/>
              <w:numPr>
                <w:ilvl w:val="0"/>
                <w:numId w:val="28"/>
              </w:numPr>
              <w:spacing w:before="40"/>
              <w:ind w:left="356" w:hanging="210"/>
              <w:rPr>
                <w:b/>
                <w:sz w:val="18"/>
                <w:szCs w:val="18"/>
              </w:rPr>
            </w:pPr>
            <w:r>
              <w:rPr>
                <w:sz w:val="18"/>
                <w:szCs w:val="20"/>
                <w:lang w:eastAsia="cs-CZ"/>
              </w:rPr>
              <w:t>strategické dokumenty identifikujúce priority v sektore do roku 2020</w:t>
            </w:r>
            <w:r w:rsidRPr="00C0629B">
              <w:rPr>
                <w:sz w:val="18"/>
                <w:szCs w:val="20"/>
                <w:lang w:eastAsia="cs-CZ"/>
              </w:rPr>
              <w:t>.</w:t>
            </w:r>
          </w:p>
        </w:tc>
      </w:tr>
      <w:tr w:rsidR="00A24828" w:rsidTr="007F1C63">
        <w:trPr>
          <w:trHeight w:val="340"/>
          <w:jc w:val="center"/>
        </w:trPr>
        <w:tc>
          <w:tcPr>
            <w:tcW w:w="2128" w:type="dxa"/>
            <w:vMerge/>
            <w:vAlign w:val="center"/>
          </w:tcPr>
          <w:p w:rsidR="00A24828" w:rsidRPr="0027323A" w:rsidRDefault="00A24828" w:rsidP="007F1C63">
            <w:pPr>
              <w:rPr>
                <w:color w:val="000000"/>
                <w:sz w:val="18"/>
                <w:szCs w:val="18"/>
              </w:rPr>
            </w:pPr>
          </w:p>
        </w:tc>
        <w:tc>
          <w:tcPr>
            <w:tcW w:w="3079" w:type="dxa"/>
            <w:vAlign w:val="center"/>
          </w:tcPr>
          <w:p w:rsidR="00A24828" w:rsidRPr="0027323A" w:rsidRDefault="00A24828" w:rsidP="007F1C63">
            <w:pPr>
              <w:ind w:left="0"/>
              <w:jc w:val="center"/>
              <w:rPr>
                <w:sz w:val="18"/>
                <w:szCs w:val="18"/>
              </w:rPr>
            </w:pPr>
            <w:r w:rsidRPr="0027323A">
              <w:rPr>
                <w:sz w:val="18"/>
                <w:szCs w:val="18"/>
              </w:rPr>
              <w:t xml:space="preserve">7b) posilnenie regionálnej mobility </w:t>
            </w:r>
            <w:r>
              <w:rPr>
                <w:sz w:val="18"/>
                <w:szCs w:val="18"/>
              </w:rPr>
              <w:t>prepojením sekundárnych a terciálnych uzlov s infraštruktúrou TEN-T vrátane multimodálnych uzlov</w:t>
            </w:r>
          </w:p>
        </w:tc>
        <w:tc>
          <w:tcPr>
            <w:tcW w:w="3865" w:type="dxa"/>
            <w:vAlign w:val="center"/>
          </w:tcPr>
          <w:p w:rsidR="00B67201" w:rsidRDefault="00B67201" w:rsidP="00B67201">
            <w:pPr>
              <w:ind w:left="0"/>
              <w:rPr>
                <w:b/>
                <w:sz w:val="18"/>
                <w:szCs w:val="18"/>
              </w:rPr>
            </w:pPr>
            <w:r>
              <w:rPr>
                <w:sz w:val="18"/>
                <w:szCs w:val="18"/>
              </w:rPr>
              <w:t>Cieľom výberu investičnej priority je dosiahnuť komplementaritu s intervenciami do nadnárodnej a národnej dopravnej infraštruktúry, umožniť prístup na sieť TEN-T a zabezpečiť kvalitné spojenia medzi regiónmi, medzi regionálnymi centrami, regionálnymi centrami a hlavným mestom, resp. krajskými sídlami.</w:t>
            </w:r>
          </w:p>
          <w:p w:rsidR="00B67201" w:rsidRDefault="00B67201" w:rsidP="00B67201">
            <w:pPr>
              <w:ind w:left="0"/>
              <w:rPr>
                <w:b/>
                <w:sz w:val="18"/>
                <w:szCs w:val="18"/>
              </w:rPr>
            </w:pPr>
          </w:p>
          <w:p w:rsidR="00B67201" w:rsidRDefault="00B67201" w:rsidP="00B67201">
            <w:pPr>
              <w:ind w:left="0"/>
              <w:rPr>
                <w:b/>
                <w:sz w:val="18"/>
                <w:szCs w:val="18"/>
              </w:rPr>
            </w:pPr>
            <w:r w:rsidRPr="00C0629B">
              <w:rPr>
                <w:b/>
                <w:sz w:val="18"/>
                <w:szCs w:val="18"/>
              </w:rPr>
              <w:t xml:space="preserve">Stratégia Európa 2020 </w:t>
            </w:r>
          </w:p>
          <w:p w:rsidR="00B67201" w:rsidRDefault="00361192" w:rsidP="00B67201">
            <w:pPr>
              <w:pStyle w:val="Odsekzoznamu"/>
              <w:numPr>
                <w:ilvl w:val="0"/>
                <w:numId w:val="28"/>
              </w:numPr>
              <w:spacing w:before="40" w:after="120"/>
              <w:ind w:left="356" w:hanging="210"/>
              <w:rPr>
                <w:sz w:val="18"/>
                <w:szCs w:val="20"/>
                <w:lang w:eastAsia="cs-CZ"/>
              </w:rPr>
            </w:pPr>
            <w:r>
              <w:rPr>
                <w:sz w:val="18"/>
                <w:szCs w:val="20"/>
                <w:lang w:eastAsia="cs-CZ"/>
              </w:rPr>
              <w:t>s</w:t>
            </w:r>
            <w:r w:rsidR="00B67201" w:rsidRPr="00C0629B">
              <w:rPr>
                <w:sz w:val="18"/>
                <w:szCs w:val="20"/>
                <w:lang w:eastAsia="cs-CZ"/>
              </w:rPr>
              <w:t>úvislosť s prioritou „Udržateľný rast: podpora ekologickejšieho a konkurencieschopnejšieho hospodárstva, ktor</w:t>
            </w:r>
            <w:r w:rsidR="00B67201">
              <w:rPr>
                <w:sz w:val="18"/>
                <w:szCs w:val="20"/>
                <w:lang w:eastAsia="cs-CZ"/>
              </w:rPr>
              <w:t>é efektívnejšie využíva zdroje“</w:t>
            </w:r>
            <w:r>
              <w:rPr>
                <w:sz w:val="18"/>
                <w:szCs w:val="20"/>
                <w:lang w:eastAsia="cs-CZ"/>
              </w:rPr>
              <w:t>;</w:t>
            </w:r>
          </w:p>
          <w:p w:rsidR="00B67201" w:rsidRDefault="00B67201" w:rsidP="00B67201">
            <w:pPr>
              <w:ind w:left="0"/>
              <w:rPr>
                <w:b/>
                <w:sz w:val="18"/>
                <w:szCs w:val="18"/>
              </w:rPr>
            </w:pPr>
            <w:r w:rsidRPr="00C0629B">
              <w:rPr>
                <w:b/>
                <w:sz w:val="18"/>
                <w:szCs w:val="18"/>
              </w:rPr>
              <w:t>Partnerská dohoda Slovenskej republiky</w:t>
            </w:r>
          </w:p>
          <w:p w:rsidR="00B67201" w:rsidRDefault="00B67201" w:rsidP="00B67201">
            <w:pPr>
              <w:rPr>
                <w:b/>
                <w:sz w:val="18"/>
                <w:szCs w:val="18"/>
              </w:rPr>
            </w:pPr>
          </w:p>
          <w:p w:rsidR="00B67201" w:rsidRDefault="00B67201" w:rsidP="00B67201">
            <w:pPr>
              <w:ind w:left="0"/>
              <w:rPr>
                <w:b/>
                <w:sz w:val="18"/>
                <w:szCs w:val="18"/>
              </w:rPr>
            </w:pPr>
            <w:r w:rsidRPr="00C0629B">
              <w:rPr>
                <w:b/>
                <w:sz w:val="18"/>
                <w:szCs w:val="18"/>
              </w:rPr>
              <w:t>Pozičný dokument Komisie k vypracovaniu partnerskej dohody a programov na Slovensku na roky 2014-2020</w:t>
            </w:r>
          </w:p>
          <w:p w:rsidR="00B67201" w:rsidRDefault="00361192" w:rsidP="00B67201">
            <w:pPr>
              <w:pStyle w:val="Odsekzoznamu"/>
              <w:numPr>
                <w:ilvl w:val="0"/>
                <w:numId w:val="28"/>
              </w:numPr>
              <w:spacing w:before="40" w:after="120"/>
              <w:ind w:left="356" w:hanging="210"/>
              <w:rPr>
                <w:sz w:val="18"/>
                <w:szCs w:val="20"/>
                <w:lang w:eastAsia="cs-CZ"/>
              </w:rPr>
            </w:pPr>
            <w:r>
              <w:rPr>
                <w:sz w:val="18"/>
                <w:szCs w:val="20"/>
                <w:lang w:eastAsia="cs-CZ"/>
              </w:rPr>
              <w:t>p</w:t>
            </w:r>
            <w:r w:rsidR="00B67201" w:rsidRPr="00C0629B">
              <w:rPr>
                <w:sz w:val="18"/>
                <w:szCs w:val="20"/>
                <w:lang w:eastAsia="cs-CZ"/>
              </w:rPr>
              <w:t>rioritizáciu investícií do kľúčovej dopravy pripájajúcej sekundárne a terciá</w:t>
            </w:r>
            <w:r>
              <w:rPr>
                <w:sz w:val="18"/>
                <w:szCs w:val="20"/>
                <w:lang w:eastAsia="cs-CZ"/>
              </w:rPr>
              <w:t>lne uzly k infraštruktúre TEN-T;</w:t>
            </w:r>
          </w:p>
          <w:p w:rsidR="00A24828" w:rsidRDefault="00B67201" w:rsidP="00B67201">
            <w:pPr>
              <w:ind w:left="0"/>
              <w:rPr>
                <w:b/>
                <w:sz w:val="18"/>
                <w:szCs w:val="18"/>
              </w:rPr>
            </w:pPr>
            <w:r w:rsidRPr="00C0629B">
              <w:rPr>
                <w:b/>
                <w:sz w:val="18"/>
                <w:szCs w:val="18"/>
              </w:rPr>
              <w:t>Strategický plán rozvoja dopravnej infraštruktúry SR do roku 2020</w:t>
            </w:r>
            <w:r>
              <w:rPr>
                <w:b/>
                <w:sz w:val="18"/>
                <w:szCs w:val="18"/>
              </w:rPr>
              <w:t xml:space="preserve">, </w:t>
            </w:r>
            <w:r w:rsidRPr="00C0629B">
              <w:rPr>
                <w:b/>
                <w:sz w:val="18"/>
                <w:szCs w:val="18"/>
              </w:rPr>
              <w:t>Stratégia</w:t>
            </w:r>
            <w:r>
              <w:rPr>
                <w:b/>
                <w:sz w:val="18"/>
                <w:szCs w:val="18"/>
              </w:rPr>
              <w:t xml:space="preserve"> rozvoja verejnej osobnej a nemotorovej dopravy SR do roku 2020</w:t>
            </w:r>
          </w:p>
          <w:p w:rsidR="00B67201" w:rsidRPr="00B67201" w:rsidRDefault="00B67201" w:rsidP="00361192">
            <w:pPr>
              <w:pStyle w:val="Odsekzoznamu"/>
              <w:numPr>
                <w:ilvl w:val="0"/>
                <w:numId w:val="28"/>
              </w:numPr>
              <w:spacing w:before="40"/>
              <w:ind w:left="356" w:hanging="210"/>
              <w:rPr>
                <w:sz w:val="18"/>
                <w:szCs w:val="20"/>
                <w:lang w:eastAsia="cs-CZ"/>
              </w:rPr>
            </w:pPr>
            <w:r>
              <w:rPr>
                <w:sz w:val="18"/>
                <w:szCs w:val="20"/>
                <w:lang w:eastAsia="cs-CZ"/>
              </w:rPr>
              <w:t>strategické dokumenty identifikujúce priority v sektore do roku 2020</w:t>
            </w:r>
            <w:r w:rsidRPr="00C0629B">
              <w:rPr>
                <w:sz w:val="18"/>
                <w:szCs w:val="20"/>
                <w:lang w:eastAsia="cs-CZ"/>
              </w:rPr>
              <w:t>.</w:t>
            </w:r>
          </w:p>
        </w:tc>
      </w:tr>
      <w:tr w:rsidR="00A24828" w:rsidTr="007F1C63">
        <w:trPr>
          <w:trHeight w:val="340"/>
          <w:jc w:val="center"/>
        </w:trPr>
        <w:tc>
          <w:tcPr>
            <w:tcW w:w="2128" w:type="dxa"/>
            <w:vMerge/>
            <w:vAlign w:val="center"/>
          </w:tcPr>
          <w:p w:rsidR="00A24828" w:rsidRPr="0027323A" w:rsidRDefault="00A24828" w:rsidP="007F1C63">
            <w:pPr>
              <w:rPr>
                <w:color w:val="000000"/>
                <w:sz w:val="18"/>
                <w:szCs w:val="18"/>
              </w:rPr>
            </w:pPr>
          </w:p>
        </w:tc>
        <w:tc>
          <w:tcPr>
            <w:tcW w:w="3079" w:type="dxa"/>
            <w:vAlign w:val="center"/>
          </w:tcPr>
          <w:p w:rsidR="00A24828" w:rsidRPr="0027323A" w:rsidRDefault="00A24828" w:rsidP="007F1C63">
            <w:pPr>
              <w:ind w:left="0"/>
              <w:jc w:val="center"/>
              <w:rPr>
                <w:sz w:val="18"/>
                <w:szCs w:val="18"/>
              </w:rPr>
            </w:pPr>
            <w:r>
              <w:rPr>
                <w:sz w:val="18"/>
                <w:szCs w:val="18"/>
              </w:rPr>
              <w:t>7c) vývoj a zlepšovanie</w:t>
            </w:r>
            <w:r w:rsidRPr="0027323A">
              <w:rPr>
                <w:sz w:val="18"/>
                <w:szCs w:val="18"/>
              </w:rPr>
              <w:t xml:space="preserve"> ekologicky priaznivých</w:t>
            </w:r>
            <w:r>
              <w:rPr>
                <w:sz w:val="18"/>
                <w:szCs w:val="18"/>
              </w:rPr>
              <w:t xml:space="preserve"> (a to aj nehlučných)</w:t>
            </w:r>
            <w:r w:rsidRPr="0027323A">
              <w:rPr>
                <w:sz w:val="18"/>
                <w:szCs w:val="18"/>
              </w:rPr>
              <w:t xml:space="preserve"> a</w:t>
            </w:r>
            <w:r>
              <w:rPr>
                <w:sz w:val="18"/>
                <w:szCs w:val="18"/>
              </w:rPr>
              <w:t> </w:t>
            </w:r>
            <w:r w:rsidRPr="0027323A">
              <w:rPr>
                <w:sz w:val="18"/>
                <w:szCs w:val="18"/>
              </w:rPr>
              <w:t>nízko</w:t>
            </w:r>
            <w:r>
              <w:rPr>
                <w:sz w:val="18"/>
                <w:szCs w:val="18"/>
              </w:rPr>
              <w:t>uhlíkových dopravných systémov vrátane vnútrozemských vodných ciest a námornej pre</w:t>
            </w:r>
            <w:r w:rsidRPr="0027323A">
              <w:rPr>
                <w:sz w:val="18"/>
                <w:szCs w:val="18"/>
              </w:rPr>
              <w:t>pravy, pr</w:t>
            </w:r>
            <w:r>
              <w:rPr>
                <w:sz w:val="18"/>
                <w:szCs w:val="18"/>
              </w:rPr>
              <w:t>ístavov, multimodálnych spojení a letiskovej infraštruktúry na podporu udržateľnej regionálnej a miestnej mobility</w:t>
            </w:r>
          </w:p>
        </w:tc>
        <w:tc>
          <w:tcPr>
            <w:tcW w:w="3865" w:type="dxa"/>
            <w:vAlign w:val="center"/>
          </w:tcPr>
          <w:p w:rsidR="00A24828" w:rsidRDefault="00A24828" w:rsidP="00361192">
            <w:pPr>
              <w:ind w:left="0"/>
              <w:rPr>
                <w:sz w:val="18"/>
                <w:szCs w:val="18"/>
              </w:rPr>
            </w:pPr>
            <w:r>
              <w:rPr>
                <w:sz w:val="18"/>
                <w:szCs w:val="18"/>
              </w:rPr>
              <w:t>V rámci tejto investičnej priority sa bude SR zameriavať najmä na realizáciu projektov smerujúcich k podpore udržateľnej mestskej mobility, ktorá si predovšetkým vo veľkých sídelno-urbanistických zónach, s enormne rastúcim podielom individuálneho automobilizmu, resp. zastaraných neefektívnych systémov, vyžaduje intervenčný zásah. Obnovou a modernizáciou mobilného parku verejnej osobnej dopravy a podporou budovania infraštruktúry pre integrované systémy je možné prispieť k cieľom Stratégie EÚ 2020 v oblasti znižovania emisií skleníkových plynov a zvyšovania energetickej efektívnosti/podielu obnoviteľných zdrojov.</w:t>
            </w:r>
          </w:p>
          <w:p w:rsidR="00361192" w:rsidRDefault="00361192" w:rsidP="00361192">
            <w:pPr>
              <w:ind w:left="0"/>
              <w:rPr>
                <w:sz w:val="18"/>
                <w:szCs w:val="18"/>
              </w:rPr>
            </w:pPr>
          </w:p>
          <w:p w:rsidR="00361192" w:rsidRDefault="00361192" w:rsidP="00361192">
            <w:pPr>
              <w:ind w:left="0"/>
              <w:rPr>
                <w:b/>
                <w:sz w:val="18"/>
                <w:szCs w:val="18"/>
              </w:rPr>
            </w:pPr>
            <w:r w:rsidRPr="00C0629B">
              <w:rPr>
                <w:b/>
                <w:sz w:val="18"/>
                <w:szCs w:val="18"/>
              </w:rPr>
              <w:t xml:space="preserve">Stratégia Európa 2020 </w:t>
            </w:r>
          </w:p>
          <w:p w:rsidR="00361192" w:rsidRDefault="00361192" w:rsidP="00361192">
            <w:pPr>
              <w:pStyle w:val="Odsekzoznamu"/>
              <w:numPr>
                <w:ilvl w:val="0"/>
                <w:numId w:val="28"/>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ktoré efektívnejšie využíva zdroje“</w:t>
            </w:r>
            <w:r>
              <w:rPr>
                <w:sz w:val="18"/>
                <w:szCs w:val="20"/>
                <w:lang w:eastAsia="cs-CZ"/>
              </w:rPr>
              <w:t>.</w:t>
            </w:r>
          </w:p>
          <w:p w:rsidR="00361192" w:rsidRDefault="00361192" w:rsidP="00361192">
            <w:pPr>
              <w:ind w:left="0"/>
              <w:rPr>
                <w:b/>
                <w:sz w:val="18"/>
                <w:szCs w:val="18"/>
              </w:rPr>
            </w:pPr>
            <w:r w:rsidRPr="00C0629B">
              <w:rPr>
                <w:b/>
                <w:sz w:val="18"/>
                <w:szCs w:val="18"/>
              </w:rPr>
              <w:t>Partnerská dohoda Slovenskej republiky</w:t>
            </w:r>
          </w:p>
          <w:p w:rsidR="00361192" w:rsidRDefault="00361192" w:rsidP="00361192">
            <w:pPr>
              <w:rPr>
                <w:b/>
                <w:sz w:val="18"/>
                <w:szCs w:val="18"/>
              </w:rPr>
            </w:pPr>
          </w:p>
          <w:p w:rsidR="00361192" w:rsidRDefault="00361192" w:rsidP="00361192">
            <w:pPr>
              <w:ind w:left="0"/>
              <w:rPr>
                <w:b/>
                <w:sz w:val="18"/>
                <w:szCs w:val="18"/>
              </w:rPr>
            </w:pPr>
            <w:r w:rsidRPr="00C0629B">
              <w:rPr>
                <w:b/>
                <w:sz w:val="18"/>
                <w:szCs w:val="18"/>
              </w:rPr>
              <w:t>Pozičný dokument Komisie k vypracovaniu partnerskej dohody a programov na Slovensku na roky 2014-2020</w:t>
            </w:r>
          </w:p>
          <w:p w:rsidR="00361192" w:rsidRDefault="00361192" w:rsidP="00361192">
            <w:pPr>
              <w:pStyle w:val="Odsekzoznamu"/>
              <w:numPr>
                <w:ilvl w:val="0"/>
                <w:numId w:val="28"/>
              </w:numPr>
              <w:spacing w:before="40" w:after="120"/>
              <w:ind w:left="356" w:hanging="210"/>
              <w:rPr>
                <w:sz w:val="18"/>
                <w:szCs w:val="20"/>
                <w:lang w:eastAsia="cs-CZ"/>
              </w:rPr>
            </w:pPr>
            <w:r>
              <w:rPr>
                <w:sz w:val="18"/>
                <w:szCs w:val="20"/>
                <w:lang w:eastAsia="cs-CZ"/>
              </w:rPr>
              <w:t>u</w:t>
            </w:r>
            <w:r w:rsidRPr="00C0629B">
              <w:rPr>
                <w:sz w:val="18"/>
                <w:szCs w:val="20"/>
                <w:lang w:eastAsia="cs-CZ"/>
              </w:rPr>
              <w:t xml:space="preserve">držateľné plány mestskej dopravy pre hlavné mestské centrá </w:t>
            </w:r>
          </w:p>
          <w:p w:rsidR="00361192" w:rsidRDefault="00361192" w:rsidP="00361192">
            <w:pPr>
              <w:pStyle w:val="Odsekzoznamu"/>
              <w:numPr>
                <w:ilvl w:val="0"/>
                <w:numId w:val="28"/>
              </w:numPr>
              <w:spacing w:before="40" w:after="120"/>
              <w:ind w:left="356" w:hanging="210"/>
              <w:rPr>
                <w:sz w:val="18"/>
                <w:szCs w:val="20"/>
                <w:lang w:eastAsia="cs-CZ"/>
              </w:rPr>
            </w:pPr>
            <w:r>
              <w:rPr>
                <w:sz w:val="18"/>
                <w:szCs w:val="20"/>
                <w:lang w:eastAsia="cs-CZ"/>
              </w:rPr>
              <w:t>i</w:t>
            </w:r>
            <w:r w:rsidRPr="00C0629B">
              <w:rPr>
                <w:sz w:val="18"/>
                <w:szCs w:val="20"/>
                <w:lang w:eastAsia="cs-CZ"/>
              </w:rPr>
              <w:t>nvestičných priorít v čistej mestskej doprave vrátane električiek, vlakov, ekologických autobusov.</w:t>
            </w:r>
          </w:p>
          <w:p w:rsidR="00361192" w:rsidRDefault="00361192" w:rsidP="00361192">
            <w:pPr>
              <w:ind w:left="0"/>
              <w:rPr>
                <w:b/>
                <w:sz w:val="18"/>
                <w:szCs w:val="18"/>
              </w:rPr>
            </w:pPr>
            <w:r w:rsidRPr="00C0629B">
              <w:rPr>
                <w:b/>
                <w:sz w:val="18"/>
                <w:szCs w:val="18"/>
              </w:rPr>
              <w:t>Národný program reforiem</w:t>
            </w:r>
          </w:p>
          <w:p w:rsidR="00361192" w:rsidRDefault="00361192" w:rsidP="00361192">
            <w:pPr>
              <w:pStyle w:val="Odsekzoznamu"/>
              <w:numPr>
                <w:ilvl w:val="0"/>
                <w:numId w:val="28"/>
              </w:numPr>
              <w:spacing w:before="40" w:after="120"/>
              <w:ind w:left="356" w:hanging="210"/>
              <w:rPr>
                <w:sz w:val="18"/>
                <w:szCs w:val="20"/>
                <w:lang w:eastAsia="cs-CZ"/>
              </w:rPr>
            </w:pPr>
            <w:r>
              <w:rPr>
                <w:sz w:val="18"/>
                <w:szCs w:val="20"/>
                <w:lang w:eastAsia="cs-CZ"/>
              </w:rPr>
              <w:t>p</w:t>
            </w:r>
            <w:r w:rsidRPr="00C0629B">
              <w:rPr>
                <w:sz w:val="18"/>
                <w:szCs w:val="20"/>
                <w:lang w:eastAsia="cs-CZ"/>
              </w:rPr>
              <w:t xml:space="preserve">riority v oblasti verejnej osobnej dopravy </w:t>
            </w:r>
            <w:r w:rsidRPr="00C0629B">
              <w:rPr>
                <w:sz w:val="18"/>
                <w:szCs w:val="20"/>
                <w:lang w:eastAsia="cs-CZ"/>
              </w:rPr>
              <w:lastRenderedPageBreak/>
              <w:t>a mestskej mobility;</w:t>
            </w:r>
          </w:p>
          <w:p w:rsidR="00361192" w:rsidRDefault="00361192" w:rsidP="00361192">
            <w:pPr>
              <w:ind w:left="0"/>
              <w:rPr>
                <w:b/>
                <w:sz w:val="18"/>
                <w:szCs w:val="18"/>
              </w:rPr>
            </w:pPr>
            <w:r w:rsidRPr="00C0629B">
              <w:rPr>
                <w:b/>
                <w:sz w:val="18"/>
                <w:szCs w:val="18"/>
              </w:rPr>
              <w:t>Strategický plán rozvoja dopravnej infraštruktúry SR do roku 2020</w:t>
            </w:r>
            <w:r>
              <w:rPr>
                <w:b/>
                <w:sz w:val="18"/>
                <w:szCs w:val="18"/>
              </w:rPr>
              <w:t xml:space="preserve">, </w:t>
            </w:r>
            <w:r w:rsidRPr="00C0629B">
              <w:rPr>
                <w:b/>
                <w:sz w:val="18"/>
                <w:szCs w:val="18"/>
              </w:rPr>
              <w:t>Stratégia rozvoja verejnej osobnej a nemotorovej dopravy SR do roku 2020</w:t>
            </w:r>
          </w:p>
          <w:p w:rsidR="00361192" w:rsidRPr="00361192" w:rsidRDefault="00361192" w:rsidP="00361192">
            <w:pPr>
              <w:pStyle w:val="Odsekzoznamu"/>
              <w:numPr>
                <w:ilvl w:val="0"/>
                <w:numId w:val="28"/>
              </w:numPr>
              <w:spacing w:before="40"/>
              <w:ind w:left="356" w:hanging="210"/>
              <w:rPr>
                <w:sz w:val="18"/>
                <w:szCs w:val="20"/>
                <w:lang w:eastAsia="cs-CZ"/>
              </w:rPr>
            </w:pPr>
            <w:r w:rsidRPr="00361192">
              <w:rPr>
                <w:sz w:val="18"/>
                <w:szCs w:val="20"/>
                <w:lang w:eastAsia="cs-CZ"/>
              </w:rPr>
              <w:t>strategické dokumenty identifikujúce priority v sektore do roku 2020.</w:t>
            </w:r>
          </w:p>
        </w:tc>
      </w:tr>
      <w:tr w:rsidR="00A24828" w:rsidTr="007F1C63">
        <w:trPr>
          <w:trHeight w:val="340"/>
          <w:jc w:val="center"/>
        </w:trPr>
        <w:tc>
          <w:tcPr>
            <w:tcW w:w="2128" w:type="dxa"/>
            <w:vMerge/>
            <w:vAlign w:val="center"/>
          </w:tcPr>
          <w:p w:rsidR="00A24828" w:rsidRPr="0027323A" w:rsidRDefault="00A24828" w:rsidP="007F1C63">
            <w:pPr>
              <w:rPr>
                <w:color w:val="000000"/>
                <w:sz w:val="18"/>
                <w:szCs w:val="18"/>
              </w:rPr>
            </w:pPr>
          </w:p>
        </w:tc>
        <w:tc>
          <w:tcPr>
            <w:tcW w:w="3079" w:type="dxa"/>
            <w:vAlign w:val="center"/>
          </w:tcPr>
          <w:p w:rsidR="00A24828" w:rsidRPr="0027323A" w:rsidRDefault="00A24828" w:rsidP="007F1C63">
            <w:pPr>
              <w:ind w:left="0"/>
              <w:jc w:val="center"/>
              <w:rPr>
                <w:sz w:val="18"/>
                <w:szCs w:val="18"/>
              </w:rPr>
            </w:pPr>
            <w:r>
              <w:rPr>
                <w:sz w:val="18"/>
                <w:szCs w:val="18"/>
              </w:rPr>
              <w:t>7</w:t>
            </w:r>
            <w:r w:rsidRPr="0027323A">
              <w:rPr>
                <w:sz w:val="18"/>
                <w:szCs w:val="18"/>
              </w:rPr>
              <w:t xml:space="preserve">d) </w:t>
            </w:r>
            <w:r>
              <w:rPr>
                <w:sz w:val="18"/>
                <w:szCs w:val="18"/>
              </w:rPr>
              <w:t>vývoj a modernizácia komplexných, interoperabilných železničných systémov</w:t>
            </w:r>
            <w:r w:rsidRPr="0027323A">
              <w:rPr>
                <w:sz w:val="18"/>
                <w:szCs w:val="18"/>
              </w:rPr>
              <w:t xml:space="preserve"> vysokej kvality</w:t>
            </w:r>
            <w:r>
              <w:rPr>
                <w:sz w:val="18"/>
                <w:szCs w:val="18"/>
              </w:rPr>
              <w:t xml:space="preserve"> a podpora opatrení na znižovanie hluku</w:t>
            </w:r>
          </w:p>
        </w:tc>
        <w:tc>
          <w:tcPr>
            <w:tcW w:w="3865" w:type="dxa"/>
            <w:vAlign w:val="center"/>
          </w:tcPr>
          <w:p w:rsidR="00A24828" w:rsidRDefault="00A24828" w:rsidP="00361192">
            <w:pPr>
              <w:ind w:left="0"/>
              <w:rPr>
                <w:sz w:val="18"/>
                <w:szCs w:val="18"/>
              </w:rPr>
            </w:pPr>
            <w:r>
              <w:rPr>
                <w:sz w:val="18"/>
                <w:szCs w:val="18"/>
              </w:rPr>
              <w:t>Cieľom SR je zvýšiť konkurencieschopnosť železničnej dopravy – vytvoriť kvalitný, komplexný a interoperabilný systém – prostredníctvom investícií do infraštruktúry, mobilného parku, integráciou rôznych typov dopravy (intermodálna doprava).</w:t>
            </w:r>
          </w:p>
          <w:p w:rsidR="00361192" w:rsidRDefault="00361192" w:rsidP="00361192">
            <w:pPr>
              <w:ind w:left="0"/>
              <w:rPr>
                <w:b/>
                <w:sz w:val="18"/>
                <w:szCs w:val="18"/>
              </w:rPr>
            </w:pPr>
            <w:r w:rsidRPr="00C0629B">
              <w:rPr>
                <w:b/>
                <w:sz w:val="18"/>
                <w:szCs w:val="18"/>
              </w:rPr>
              <w:t xml:space="preserve">Stratégia Európa 2020 </w:t>
            </w:r>
          </w:p>
          <w:p w:rsidR="00361192" w:rsidRDefault="00361192" w:rsidP="00361192">
            <w:pPr>
              <w:pStyle w:val="Odsekzoznamu"/>
              <w:numPr>
                <w:ilvl w:val="0"/>
                <w:numId w:val="28"/>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w:t>
            </w:r>
            <w:r>
              <w:rPr>
                <w:sz w:val="18"/>
                <w:szCs w:val="20"/>
                <w:lang w:eastAsia="cs-CZ"/>
              </w:rPr>
              <w:t>é efektívnejšie využíva zdroje“.</w:t>
            </w:r>
          </w:p>
          <w:p w:rsidR="00361192" w:rsidRDefault="00361192" w:rsidP="00361192">
            <w:pPr>
              <w:tabs>
                <w:tab w:val="left" w:pos="567"/>
                <w:tab w:val="left" w:leader="dot" w:pos="9356"/>
              </w:tabs>
              <w:ind w:left="0"/>
              <w:rPr>
                <w:sz w:val="18"/>
                <w:szCs w:val="18"/>
              </w:rPr>
            </w:pPr>
            <w:r w:rsidRPr="00C0629B">
              <w:rPr>
                <w:b/>
                <w:sz w:val="18"/>
                <w:szCs w:val="18"/>
              </w:rPr>
              <w:t>Biela kniha – Plán jednotného európskeho dopravného priestoru</w:t>
            </w:r>
          </w:p>
          <w:p w:rsidR="00361192" w:rsidRDefault="00361192" w:rsidP="00361192">
            <w:pPr>
              <w:pStyle w:val="Odsekzoznamu"/>
              <w:numPr>
                <w:ilvl w:val="0"/>
                <w:numId w:val="28"/>
              </w:numPr>
              <w:spacing w:before="40" w:after="120"/>
              <w:ind w:left="356" w:hanging="210"/>
              <w:rPr>
                <w:sz w:val="18"/>
                <w:szCs w:val="20"/>
                <w:lang w:eastAsia="cs-CZ"/>
              </w:rPr>
            </w:pPr>
            <w:r>
              <w:rPr>
                <w:sz w:val="18"/>
                <w:szCs w:val="20"/>
                <w:lang w:eastAsia="cs-CZ"/>
              </w:rPr>
              <w:t>z</w:t>
            </w:r>
            <w:r w:rsidRPr="00C0629B">
              <w:rPr>
                <w:sz w:val="18"/>
                <w:szCs w:val="20"/>
                <w:lang w:eastAsia="cs-CZ"/>
              </w:rPr>
              <w:t>avádzanie inteligentných systémov mobility – európsky systém riadenia železničnej dopravy (ERTMS) a železničné informačné systémy s cieľom zabezpečiť úplnú interoperabilitu.</w:t>
            </w:r>
          </w:p>
          <w:p w:rsidR="00361192" w:rsidRDefault="00361192" w:rsidP="00361192">
            <w:pPr>
              <w:ind w:left="0"/>
              <w:rPr>
                <w:b/>
                <w:sz w:val="18"/>
                <w:szCs w:val="18"/>
              </w:rPr>
            </w:pPr>
            <w:r w:rsidRPr="00C0629B">
              <w:rPr>
                <w:b/>
                <w:sz w:val="18"/>
                <w:szCs w:val="18"/>
              </w:rPr>
              <w:t>Partnerská dohoda Slovenskej republiky.</w:t>
            </w:r>
          </w:p>
          <w:p w:rsidR="00361192" w:rsidRDefault="00361192" w:rsidP="00361192">
            <w:pPr>
              <w:rPr>
                <w:b/>
                <w:sz w:val="18"/>
                <w:szCs w:val="18"/>
              </w:rPr>
            </w:pPr>
          </w:p>
          <w:p w:rsidR="00361192" w:rsidRDefault="00361192" w:rsidP="00361192">
            <w:pPr>
              <w:ind w:left="0"/>
              <w:rPr>
                <w:b/>
                <w:sz w:val="18"/>
                <w:szCs w:val="18"/>
              </w:rPr>
            </w:pPr>
            <w:r w:rsidRPr="00C0629B">
              <w:rPr>
                <w:b/>
                <w:sz w:val="18"/>
                <w:szCs w:val="18"/>
              </w:rPr>
              <w:t>Pozičný dokument Komisie k vypracovaniu partnerskej dohody a programov na Slovensku na roky 2014-2020</w:t>
            </w:r>
          </w:p>
          <w:p w:rsidR="00361192" w:rsidRDefault="00361192" w:rsidP="00361192">
            <w:pPr>
              <w:pStyle w:val="Odsekzoznamu"/>
              <w:numPr>
                <w:ilvl w:val="0"/>
                <w:numId w:val="28"/>
              </w:numPr>
              <w:spacing w:before="40" w:after="120"/>
              <w:ind w:left="356" w:hanging="210"/>
              <w:rPr>
                <w:sz w:val="18"/>
                <w:szCs w:val="18"/>
              </w:rPr>
            </w:pPr>
            <w:r>
              <w:rPr>
                <w:sz w:val="18"/>
                <w:szCs w:val="18"/>
              </w:rPr>
              <w:t>podpora opatrení na zvyšovanie konkurencieschopnosti železničnej dopravy, dôraz na techn</w:t>
            </w:r>
            <w:r w:rsidRPr="000E7FD2">
              <w:rPr>
                <w:sz w:val="18"/>
                <w:szCs w:val="18"/>
              </w:rPr>
              <w:t>ickú harmonizáciu a interop</w:t>
            </w:r>
            <w:r>
              <w:rPr>
                <w:sz w:val="18"/>
                <w:szCs w:val="18"/>
              </w:rPr>
              <w:t>erabilitu medzi systémami.</w:t>
            </w:r>
          </w:p>
          <w:p w:rsidR="00361192" w:rsidRDefault="00361192" w:rsidP="00361192">
            <w:pPr>
              <w:ind w:left="0"/>
              <w:rPr>
                <w:sz w:val="18"/>
                <w:szCs w:val="18"/>
              </w:rPr>
            </w:pPr>
            <w:r w:rsidRPr="00C0629B">
              <w:rPr>
                <w:b/>
                <w:sz w:val="18"/>
                <w:szCs w:val="18"/>
              </w:rPr>
              <w:t>Národný program</w:t>
            </w:r>
            <w:r w:rsidRPr="00C0629B">
              <w:rPr>
                <w:sz w:val="18"/>
                <w:szCs w:val="18"/>
              </w:rPr>
              <w:t xml:space="preserve"> </w:t>
            </w:r>
            <w:r w:rsidRPr="00C0629B">
              <w:rPr>
                <w:b/>
                <w:sz w:val="18"/>
                <w:szCs w:val="18"/>
              </w:rPr>
              <w:t>reforiem</w:t>
            </w:r>
            <w:r w:rsidRPr="00C0629B">
              <w:rPr>
                <w:sz w:val="18"/>
                <w:szCs w:val="18"/>
              </w:rPr>
              <w:t xml:space="preserve"> </w:t>
            </w:r>
          </w:p>
          <w:p w:rsidR="00361192" w:rsidRDefault="00361192" w:rsidP="00361192">
            <w:pPr>
              <w:pStyle w:val="Odsekzoznamu"/>
              <w:numPr>
                <w:ilvl w:val="0"/>
                <w:numId w:val="28"/>
              </w:numPr>
              <w:spacing w:before="40" w:after="120"/>
              <w:ind w:left="356" w:hanging="210"/>
              <w:rPr>
                <w:sz w:val="18"/>
                <w:szCs w:val="18"/>
              </w:rPr>
            </w:pPr>
            <w:r>
              <w:rPr>
                <w:sz w:val="18"/>
                <w:szCs w:val="18"/>
              </w:rPr>
              <w:t>jedným zo základných cieľov NPR pre politiku súdržnosti je „Základná infraštruktúra“ pre zabezpečenie podmienok pre udržateľný a vyvážený rozvoj a rast zamestnanosti – modernizácia železničných koridorov, obnova parku železničných koľajových vozidiel</w:t>
            </w:r>
          </w:p>
          <w:p w:rsidR="00361192" w:rsidRDefault="00361192" w:rsidP="00361192">
            <w:pPr>
              <w:ind w:left="0"/>
              <w:rPr>
                <w:b/>
                <w:sz w:val="18"/>
                <w:szCs w:val="18"/>
              </w:rPr>
            </w:pPr>
            <w:r w:rsidRPr="00C0629B">
              <w:rPr>
                <w:b/>
                <w:sz w:val="18"/>
                <w:szCs w:val="18"/>
              </w:rPr>
              <w:t>Strategický plán rozvoja dopravnej infraštruktúry SR do roku 2020</w:t>
            </w:r>
          </w:p>
          <w:p w:rsidR="00361192" w:rsidRDefault="00361192" w:rsidP="00361192">
            <w:pPr>
              <w:pStyle w:val="Odsekzoznamu"/>
              <w:numPr>
                <w:ilvl w:val="0"/>
                <w:numId w:val="28"/>
              </w:numPr>
              <w:spacing w:before="40" w:after="120"/>
              <w:ind w:left="356" w:hanging="210"/>
              <w:rPr>
                <w:sz w:val="18"/>
                <w:szCs w:val="18"/>
              </w:rPr>
            </w:pPr>
            <w:r>
              <w:rPr>
                <w:sz w:val="18"/>
                <w:szCs w:val="18"/>
              </w:rPr>
              <w:t>moderná a bezpečná</w:t>
            </w:r>
            <w:r w:rsidRPr="009604BA">
              <w:rPr>
                <w:sz w:val="18"/>
                <w:szCs w:val="18"/>
              </w:rPr>
              <w:t xml:space="preserve"> železničn</w:t>
            </w:r>
            <w:r>
              <w:rPr>
                <w:sz w:val="18"/>
                <w:szCs w:val="18"/>
              </w:rPr>
              <w:t>á infraštruktúra</w:t>
            </w:r>
          </w:p>
          <w:p w:rsidR="00361192" w:rsidRDefault="00361192" w:rsidP="00361192">
            <w:pPr>
              <w:pStyle w:val="Odsekzoznamu"/>
              <w:numPr>
                <w:ilvl w:val="0"/>
                <w:numId w:val="28"/>
              </w:numPr>
              <w:spacing w:before="40" w:after="120"/>
              <w:ind w:left="356" w:hanging="210"/>
              <w:rPr>
                <w:sz w:val="18"/>
                <w:szCs w:val="18"/>
              </w:rPr>
            </w:pPr>
            <w:r>
              <w:rPr>
                <w:sz w:val="18"/>
                <w:szCs w:val="18"/>
              </w:rPr>
              <w:t>z</w:t>
            </w:r>
            <w:r w:rsidRPr="009604BA">
              <w:rPr>
                <w:sz w:val="18"/>
                <w:szCs w:val="18"/>
              </w:rPr>
              <w:t>aistenie prevádzkyschopnosti a zvýšenie bezpečnosti a spoľahlivosti železničnej dop</w:t>
            </w:r>
            <w:r>
              <w:rPr>
                <w:sz w:val="18"/>
                <w:szCs w:val="18"/>
              </w:rPr>
              <w:t>ravy. Ď</w:t>
            </w:r>
          </w:p>
          <w:p w:rsidR="00361192" w:rsidRPr="0027323A" w:rsidRDefault="00361192" w:rsidP="00361192">
            <w:pPr>
              <w:pStyle w:val="Odsekzoznamu"/>
              <w:numPr>
                <w:ilvl w:val="0"/>
                <w:numId w:val="28"/>
              </w:numPr>
              <w:spacing w:before="40"/>
              <w:ind w:left="356" w:hanging="210"/>
              <w:rPr>
                <w:sz w:val="18"/>
                <w:szCs w:val="18"/>
              </w:rPr>
            </w:pPr>
            <w:r>
              <w:rPr>
                <w:sz w:val="18"/>
                <w:szCs w:val="18"/>
              </w:rPr>
              <w:t>z</w:t>
            </w:r>
            <w:r w:rsidRPr="00361192">
              <w:rPr>
                <w:sz w:val="18"/>
                <w:szCs w:val="18"/>
              </w:rPr>
              <w:t>abezpečenie komfortnej osobnej dopravy s dôrazom na zásadné zlepšenie parametrov osobnej dopravy.</w:t>
            </w:r>
          </w:p>
        </w:tc>
      </w:tr>
    </w:tbl>
    <w:p w:rsidR="00DB79F5" w:rsidRDefault="00DB79F5" w:rsidP="0095191D">
      <w:pPr>
        <w:pStyle w:val="Tab"/>
        <w:tabs>
          <w:tab w:val="clear" w:pos="0"/>
          <w:tab w:val="clear" w:pos="709"/>
        </w:tabs>
        <w:ind w:left="709" w:hanging="709"/>
      </w:pPr>
      <w:r w:rsidRPr="00C95E85">
        <w:t>Súhrnný prehľad zdôvodnenia výberu tematických cieľov a investičných priorít</w:t>
      </w:r>
      <w:r w:rsidR="00A24828">
        <w:t xml:space="preserve"> – Informačná spoločnosť</w:t>
      </w:r>
    </w:p>
    <w:tbl>
      <w:tblPr>
        <w:tblStyle w:val="Mriekatabuky"/>
        <w:tblW w:w="9072" w:type="dxa"/>
        <w:jc w:val="center"/>
        <w:tblLook w:val="04A0"/>
      </w:tblPr>
      <w:tblGrid>
        <w:gridCol w:w="2128"/>
        <w:gridCol w:w="3079"/>
        <w:gridCol w:w="3865"/>
      </w:tblGrid>
      <w:tr w:rsidR="00A24828" w:rsidRPr="00411EDA" w:rsidTr="007F1C63">
        <w:trPr>
          <w:trHeight w:val="340"/>
          <w:jc w:val="center"/>
        </w:trPr>
        <w:tc>
          <w:tcPr>
            <w:tcW w:w="2128" w:type="dxa"/>
            <w:shd w:val="clear" w:color="auto" w:fill="C6D9F1" w:themeFill="text2" w:themeFillTint="33"/>
            <w:vAlign w:val="center"/>
          </w:tcPr>
          <w:p w:rsidR="00A24828" w:rsidRPr="00411EDA" w:rsidRDefault="00A24828" w:rsidP="007F1C63">
            <w:pPr>
              <w:ind w:left="0"/>
              <w:jc w:val="both"/>
              <w:rPr>
                <w:rFonts w:ascii="Arial" w:eastAsia="Calibri" w:hAnsi="Arial" w:cs="Arial"/>
                <w:b/>
                <w:sz w:val="18"/>
                <w:szCs w:val="18"/>
                <w:lang w:eastAsia="en-US"/>
              </w:rPr>
            </w:pPr>
            <w:r w:rsidRPr="00C95E85">
              <w:rPr>
                <w:rFonts w:eastAsia="Calibri"/>
                <w:b/>
                <w:sz w:val="18"/>
                <w:szCs w:val="18"/>
                <w:lang w:eastAsia="en-US"/>
              </w:rPr>
              <w:t>Vybraný tematický cieľ</w:t>
            </w:r>
          </w:p>
        </w:tc>
        <w:tc>
          <w:tcPr>
            <w:tcW w:w="3079" w:type="dxa"/>
            <w:shd w:val="clear" w:color="auto" w:fill="C6D9F1" w:themeFill="text2" w:themeFillTint="33"/>
            <w:vAlign w:val="center"/>
          </w:tcPr>
          <w:p w:rsidR="00A24828" w:rsidRPr="00411EDA" w:rsidRDefault="00A24828" w:rsidP="007F1C63">
            <w:pPr>
              <w:ind w:left="0"/>
              <w:jc w:val="both"/>
              <w:rPr>
                <w:rFonts w:ascii="Arial" w:eastAsia="Calibri" w:hAnsi="Arial" w:cs="Arial"/>
                <w:b/>
                <w:sz w:val="18"/>
                <w:szCs w:val="18"/>
                <w:lang w:eastAsia="en-US"/>
              </w:rPr>
            </w:pPr>
            <w:r w:rsidRPr="00C95E85">
              <w:rPr>
                <w:rFonts w:eastAsia="Calibri"/>
                <w:b/>
                <w:sz w:val="18"/>
                <w:szCs w:val="18"/>
                <w:lang w:eastAsia="en-US"/>
              </w:rPr>
              <w:t>Vybrané investičné priority</w:t>
            </w:r>
          </w:p>
        </w:tc>
        <w:tc>
          <w:tcPr>
            <w:tcW w:w="3865" w:type="dxa"/>
            <w:shd w:val="clear" w:color="auto" w:fill="C6D9F1" w:themeFill="text2" w:themeFillTint="33"/>
            <w:vAlign w:val="center"/>
          </w:tcPr>
          <w:p w:rsidR="00A24828" w:rsidRPr="00411EDA" w:rsidRDefault="00A24828" w:rsidP="007F1C63">
            <w:pPr>
              <w:ind w:left="0"/>
              <w:rPr>
                <w:b/>
                <w:sz w:val="18"/>
                <w:szCs w:val="18"/>
              </w:rPr>
            </w:pPr>
            <w:r w:rsidRPr="00C95E85">
              <w:rPr>
                <w:b/>
                <w:sz w:val="18"/>
                <w:szCs w:val="18"/>
              </w:rPr>
              <w:t>Zdôvodnenie výberu</w:t>
            </w:r>
          </w:p>
        </w:tc>
      </w:tr>
      <w:tr w:rsidR="00A24828" w:rsidRPr="00411EDA" w:rsidTr="007F1C63">
        <w:trPr>
          <w:trHeight w:val="340"/>
          <w:jc w:val="center"/>
        </w:trPr>
        <w:tc>
          <w:tcPr>
            <w:tcW w:w="2128" w:type="dxa"/>
            <w:vMerge w:val="restart"/>
            <w:vAlign w:val="center"/>
          </w:tcPr>
          <w:p w:rsidR="00A24828" w:rsidRPr="00411EDA" w:rsidRDefault="00A24828" w:rsidP="007F1C63">
            <w:pPr>
              <w:ind w:left="0"/>
              <w:rPr>
                <w:color w:val="000000"/>
                <w:sz w:val="18"/>
                <w:szCs w:val="18"/>
              </w:rPr>
            </w:pPr>
            <w:r w:rsidRPr="00411EDA">
              <w:rPr>
                <w:color w:val="000000"/>
                <w:sz w:val="18"/>
                <w:szCs w:val="18"/>
              </w:rPr>
              <w:t>2. Zlepšenie prístupu k inform</w:t>
            </w:r>
            <w:r>
              <w:rPr>
                <w:color w:val="000000"/>
                <w:sz w:val="18"/>
                <w:szCs w:val="18"/>
              </w:rPr>
              <w:t xml:space="preserve">áciám a IKT a zlepšenie ich </w:t>
            </w:r>
            <w:r w:rsidRPr="00411EDA">
              <w:rPr>
                <w:color w:val="000000"/>
                <w:sz w:val="18"/>
                <w:szCs w:val="18"/>
              </w:rPr>
              <w:t>využívania a kvality</w:t>
            </w:r>
          </w:p>
        </w:tc>
        <w:tc>
          <w:tcPr>
            <w:tcW w:w="3079" w:type="dxa"/>
            <w:vAlign w:val="center"/>
          </w:tcPr>
          <w:p w:rsidR="00A24828" w:rsidRPr="00411EDA" w:rsidRDefault="00A24828" w:rsidP="007F1C63">
            <w:pPr>
              <w:ind w:left="0"/>
              <w:jc w:val="center"/>
              <w:rPr>
                <w:sz w:val="18"/>
                <w:szCs w:val="18"/>
              </w:rPr>
            </w:pPr>
            <w:r w:rsidRPr="00411EDA">
              <w:rPr>
                <w:sz w:val="18"/>
                <w:szCs w:val="18"/>
              </w:rPr>
              <w:t>2</w:t>
            </w:r>
            <w:r>
              <w:rPr>
                <w:sz w:val="18"/>
                <w:szCs w:val="18"/>
              </w:rPr>
              <w:t>(a</w:t>
            </w:r>
            <w:r w:rsidRPr="00411EDA">
              <w:rPr>
                <w:sz w:val="18"/>
                <w:szCs w:val="18"/>
              </w:rPr>
              <w:t xml:space="preserve">) </w:t>
            </w:r>
            <w:r w:rsidRPr="000A6050">
              <w:rPr>
                <w:sz w:val="18"/>
                <w:szCs w:val="18"/>
              </w:rPr>
              <w:t>Rozšírenie širokopásmového pripojenia a zavádzanie vysokorýchlostných sietí a podpora zavádzania nastupujúcich technológií a sietí pre digitálne hospodárstvo</w:t>
            </w:r>
            <w:r>
              <w:rPr>
                <w:sz w:val="18"/>
                <w:szCs w:val="18"/>
              </w:rPr>
              <w:t xml:space="preserve"> </w:t>
            </w:r>
          </w:p>
        </w:tc>
        <w:tc>
          <w:tcPr>
            <w:tcW w:w="3865" w:type="dxa"/>
            <w:vAlign w:val="center"/>
          </w:tcPr>
          <w:p w:rsidR="00A24828" w:rsidRDefault="00A24828" w:rsidP="007F1C63">
            <w:pPr>
              <w:ind w:left="0"/>
              <w:jc w:val="both"/>
              <w:rPr>
                <w:b/>
                <w:sz w:val="18"/>
                <w:szCs w:val="18"/>
              </w:rPr>
            </w:pPr>
            <w:r w:rsidRPr="00080D48">
              <w:rPr>
                <w:b/>
                <w:sz w:val="18"/>
                <w:szCs w:val="18"/>
              </w:rPr>
              <w:t>Pozičný dokument Komisie k vypracovaniu</w:t>
            </w:r>
          </w:p>
          <w:p w:rsidR="00A24828" w:rsidRDefault="00A24828" w:rsidP="007F1C63">
            <w:pPr>
              <w:ind w:left="0"/>
              <w:rPr>
                <w:sz w:val="18"/>
                <w:szCs w:val="18"/>
              </w:rPr>
            </w:pPr>
            <w:r w:rsidRPr="00080D48">
              <w:rPr>
                <w:b/>
                <w:sz w:val="18"/>
                <w:szCs w:val="18"/>
              </w:rPr>
              <w:t>Partnerskej dohody a programov na Slovensku na roky 2014 - 2020</w:t>
            </w:r>
          </w:p>
          <w:p w:rsidR="00A24828" w:rsidRDefault="00A24828" w:rsidP="00FE6025">
            <w:pPr>
              <w:pStyle w:val="Odsekzoznamu"/>
              <w:numPr>
                <w:ilvl w:val="0"/>
                <w:numId w:val="28"/>
              </w:numPr>
              <w:spacing w:before="40" w:after="120"/>
              <w:ind w:left="356" w:hanging="210"/>
              <w:rPr>
                <w:sz w:val="18"/>
                <w:szCs w:val="20"/>
                <w:lang w:eastAsia="cs-CZ"/>
              </w:rPr>
            </w:pPr>
            <w:r w:rsidRPr="00C95E85">
              <w:rPr>
                <w:sz w:val="18"/>
                <w:szCs w:val="20"/>
                <w:lang w:eastAsia="cs-CZ"/>
              </w:rPr>
              <w:t>Budovanie elektronického hospodárstva</w:t>
            </w:r>
            <w:r w:rsidR="00500DC2">
              <w:rPr>
                <w:sz w:val="18"/>
                <w:szCs w:val="20"/>
                <w:lang w:eastAsia="cs-CZ"/>
              </w:rPr>
              <w:t>.</w:t>
            </w:r>
          </w:p>
          <w:p w:rsidR="00A24828" w:rsidRDefault="00A24828" w:rsidP="00FE6025">
            <w:pPr>
              <w:pStyle w:val="Odsekzoznamu"/>
              <w:numPr>
                <w:ilvl w:val="0"/>
                <w:numId w:val="28"/>
              </w:numPr>
              <w:spacing w:before="40" w:after="120"/>
              <w:ind w:left="356" w:hanging="210"/>
              <w:rPr>
                <w:sz w:val="18"/>
                <w:szCs w:val="20"/>
                <w:lang w:eastAsia="cs-CZ"/>
              </w:rPr>
            </w:pPr>
            <w:r w:rsidRPr="00C95E85">
              <w:rPr>
                <w:sz w:val="18"/>
                <w:szCs w:val="20"/>
                <w:lang w:eastAsia="cs-CZ"/>
              </w:rPr>
              <w:t>Zavádzanie IKT</w:t>
            </w:r>
            <w:r w:rsidR="00500DC2">
              <w:rPr>
                <w:sz w:val="18"/>
                <w:szCs w:val="20"/>
                <w:lang w:eastAsia="cs-CZ"/>
              </w:rPr>
              <w:t>.</w:t>
            </w:r>
          </w:p>
          <w:p w:rsidR="00A24828" w:rsidRDefault="00A24828" w:rsidP="00FE6025">
            <w:pPr>
              <w:pStyle w:val="Odsekzoznamu"/>
              <w:numPr>
                <w:ilvl w:val="0"/>
                <w:numId w:val="28"/>
              </w:numPr>
              <w:spacing w:before="40" w:after="120"/>
              <w:ind w:left="356" w:hanging="210"/>
              <w:jc w:val="both"/>
              <w:rPr>
                <w:sz w:val="18"/>
                <w:szCs w:val="20"/>
                <w:lang w:eastAsia="cs-CZ"/>
              </w:rPr>
            </w:pPr>
            <w:r w:rsidRPr="00C95E85">
              <w:rPr>
                <w:sz w:val="18"/>
                <w:szCs w:val="20"/>
                <w:lang w:eastAsia="cs-CZ"/>
              </w:rPr>
              <w:t xml:space="preserve">Podpora prístupu k širokopásmovému </w:t>
            </w:r>
            <w:r w:rsidRPr="00C95E85">
              <w:rPr>
                <w:sz w:val="18"/>
                <w:szCs w:val="20"/>
                <w:lang w:eastAsia="cs-CZ"/>
              </w:rPr>
              <w:lastRenderedPageBreak/>
              <w:t>internetu v oblastiach zlyhania trhu</w:t>
            </w:r>
            <w:r w:rsidR="00500DC2">
              <w:rPr>
                <w:sz w:val="18"/>
                <w:szCs w:val="20"/>
                <w:lang w:eastAsia="cs-CZ"/>
              </w:rPr>
              <w:t>.</w:t>
            </w:r>
          </w:p>
          <w:p w:rsidR="00A24828" w:rsidRPr="0084030E" w:rsidRDefault="00A24828" w:rsidP="00FE6025">
            <w:pPr>
              <w:pStyle w:val="Odsekzoznamu"/>
              <w:numPr>
                <w:ilvl w:val="0"/>
                <w:numId w:val="28"/>
              </w:numPr>
              <w:spacing w:before="40" w:after="120"/>
              <w:ind w:left="356" w:hanging="210"/>
              <w:rPr>
                <w:sz w:val="18"/>
                <w:szCs w:val="20"/>
                <w:lang w:eastAsia="cs-CZ"/>
              </w:rPr>
            </w:pPr>
            <w:r w:rsidRPr="0084030E">
              <w:rPr>
                <w:sz w:val="18"/>
                <w:szCs w:val="20"/>
                <w:lang w:eastAsia="cs-CZ"/>
              </w:rPr>
              <w:t>Zlepšenie ekonomického prostredia vo vidieckych oblastiach vrátane súvisiacej infraštruktúry</w:t>
            </w:r>
            <w:r>
              <w:rPr>
                <w:sz w:val="18"/>
                <w:szCs w:val="20"/>
                <w:lang w:eastAsia="cs-CZ"/>
              </w:rPr>
              <w:t>.</w:t>
            </w:r>
          </w:p>
          <w:p w:rsidR="00A24828" w:rsidRPr="00411EDA" w:rsidRDefault="00A24828" w:rsidP="007F1C63">
            <w:pPr>
              <w:ind w:left="0"/>
              <w:rPr>
                <w:sz w:val="18"/>
                <w:szCs w:val="18"/>
              </w:rPr>
            </w:pPr>
            <w:r w:rsidRPr="00411EDA">
              <w:rPr>
                <w:b/>
                <w:sz w:val="18"/>
                <w:szCs w:val="18"/>
              </w:rPr>
              <w:t>Národný program reforiem</w:t>
            </w:r>
          </w:p>
          <w:p w:rsidR="00A24828" w:rsidRDefault="00A24828" w:rsidP="00FE6025">
            <w:pPr>
              <w:pStyle w:val="Odsekzoznamu"/>
              <w:numPr>
                <w:ilvl w:val="0"/>
                <w:numId w:val="28"/>
              </w:numPr>
              <w:spacing w:before="40" w:after="120"/>
              <w:ind w:left="356" w:hanging="210"/>
              <w:rPr>
                <w:sz w:val="18"/>
                <w:szCs w:val="20"/>
                <w:lang w:eastAsia="cs-CZ"/>
              </w:rPr>
            </w:pPr>
            <w:r w:rsidRPr="00C95E85">
              <w:rPr>
                <w:sz w:val="18"/>
                <w:szCs w:val="20"/>
                <w:lang w:eastAsia="cs-CZ"/>
              </w:rPr>
              <w:t xml:space="preserve">Rozvoj širokopásmového </w:t>
            </w:r>
            <w:r>
              <w:rPr>
                <w:sz w:val="18"/>
                <w:szCs w:val="20"/>
                <w:lang w:eastAsia="cs-CZ"/>
              </w:rPr>
              <w:t>pripojenia</w:t>
            </w:r>
            <w:r w:rsidRPr="00C95E85">
              <w:rPr>
                <w:sz w:val="18"/>
                <w:szCs w:val="20"/>
                <w:lang w:eastAsia="cs-CZ"/>
              </w:rPr>
              <w:t xml:space="preserve"> k</w:t>
            </w:r>
            <w:r>
              <w:rPr>
                <w:sz w:val="18"/>
                <w:szCs w:val="20"/>
                <w:lang w:eastAsia="cs-CZ"/>
              </w:rPr>
              <w:t> </w:t>
            </w:r>
            <w:r w:rsidRPr="00C95E85">
              <w:rPr>
                <w:sz w:val="18"/>
                <w:szCs w:val="20"/>
                <w:lang w:eastAsia="cs-CZ"/>
              </w:rPr>
              <w:t>internetu</w:t>
            </w:r>
            <w:r>
              <w:rPr>
                <w:sz w:val="18"/>
                <w:szCs w:val="20"/>
                <w:lang w:eastAsia="cs-CZ"/>
              </w:rPr>
              <w:t>.</w:t>
            </w:r>
          </w:p>
          <w:p w:rsidR="00A24828" w:rsidRPr="00411EDA" w:rsidRDefault="00A24828" w:rsidP="007F1C63">
            <w:pPr>
              <w:spacing w:before="40"/>
              <w:ind w:left="-4"/>
              <w:jc w:val="both"/>
              <w:rPr>
                <w:sz w:val="18"/>
                <w:szCs w:val="18"/>
                <w:lang w:eastAsia="cs-CZ"/>
              </w:rPr>
            </w:pPr>
            <w:r w:rsidRPr="00411EDA">
              <w:rPr>
                <w:b/>
                <w:sz w:val="18"/>
                <w:szCs w:val="18"/>
                <w:lang w:eastAsia="cs-CZ"/>
              </w:rPr>
              <w:t>Analýza súčasného stavu</w:t>
            </w:r>
          </w:p>
          <w:p w:rsidR="00A24828" w:rsidRPr="0084030E" w:rsidRDefault="00A24828" w:rsidP="00FE6025">
            <w:pPr>
              <w:pStyle w:val="Odsekzoznamu"/>
              <w:numPr>
                <w:ilvl w:val="0"/>
                <w:numId w:val="28"/>
              </w:numPr>
              <w:spacing w:before="40" w:after="120"/>
              <w:ind w:left="356" w:hanging="210"/>
              <w:rPr>
                <w:sz w:val="18"/>
                <w:szCs w:val="20"/>
                <w:lang w:eastAsia="cs-CZ"/>
              </w:rPr>
            </w:pPr>
            <w:r w:rsidRPr="00C95E85">
              <w:rPr>
                <w:sz w:val="18"/>
                <w:szCs w:val="20"/>
                <w:lang w:eastAsia="cs-CZ"/>
              </w:rPr>
              <w:t xml:space="preserve">Potreba investícií do územia, v ktorom nie je možné využiť </w:t>
            </w:r>
            <w:r>
              <w:rPr>
                <w:sz w:val="18"/>
                <w:szCs w:val="20"/>
                <w:lang w:eastAsia="cs-CZ"/>
              </w:rPr>
              <w:t>pripojenia</w:t>
            </w:r>
            <w:r w:rsidRPr="00C95E85">
              <w:rPr>
                <w:sz w:val="18"/>
                <w:szCs w:val="20"/>
                <w:lang w:eastAsia="cs-CZ"/>
              </w:rPr>
              <w:t xml:space="preserve"> s rýchlosťou aspoň 30 Mbit/s</w:t>
            </w:r>
            <w:r w:rsidRPr="0084030E">
              <w:rPr>
                <w:sz w:val="18"/>
                <w:szCs w:val="20"/>
                <w:lang w:eastAsia="cs-CZ"/>
              </w:rPr>
              <w:t xml:space="preserve"> (cieľ pokryť všetky domácnosti vyplýva z Digitálnej agendy pre Európu.)</w:t>
            </w:r>
            <w:r w:rsidR="00500DC2">
              <w:rPr>
                <w:sz w:val="18"/>
                <w:szCs w:val="20"/>
                <w:lang w:eastAsia="cs-CZ"/>
              </w:rPr>
              <w:t>.</w:t>
            </w:r>
          </w:p>
          <w:p w:rsidR="00A24828" w:rsidRDefault="00A24828" w:rsidP="00FE6025">
            <w:pPr>
              <w:pStyle w:val="Odsekzoznamu"/>
              <w:numPr>
                <w:ilvl w:val="0"/>
                <w:numId w:val="28"/>
              </w:numPr>
              <w:spacing w:before="40" w:after="120"/>
              <w:ind w:left="356" w:hanging="210"/>
              <w:jc w:val="both"/>
              <w:rPr>
                <w:sz w:val="18"/>
                <w:szCs w:val="20"/>
                <w:lang w:eastAsia="cs-CZ"/>
              </w:rPr>
            </w:pPr>
            <w:r>
              <w:rPr>
                <w:sz w:val="18"/>
                <w:szCs w:val="20"/>
                <w:lang w:eastAsia="cs-CZ"/>
              </w:rPr>
              <w:t>Odhliadnuc od satelitného pripojenia, n</w:t>
            </w:r>
            <w:r w:rsidRPr="00C95E85">
              <w:rPr>
                <w:sz w:val="18"/>
                <w:szCs w:val="20"/>
                <w:lang w:eastAsia="cs-CZ"/>
              </w:rPr>
              <w:t>a Slovensku ešte stále nie je zabezpečené pokrytie celej populácie ani základným širokopásmovým pripojením</w:t>
            </w:r>
            <w:r>
              <w:rPr>
                <w:sz w:val="18"/>
                <w:szCs w:val="20"/>
                <w:lang w:eastAsia="cs-CZ"/>
              </w:rPr>
              <w:t>.</w:t>
            </w:r>
          </w:p>
          <w:p w:rsidR="00A24828" w:rsidRPr="00411EDA" w:rsidRDefault="00A24828" w:rsidP="007F1C63">
            <w:pPr>
              <w:spacing w:before="40"/>
              <w:ind w:left="-4"/>
              <w:jc w:val="both"/>
              <w:rPr>
                <w:b/>
                <w:sz w:val="18"/>
                <w:szCs w:val="20"/>
                <w:lang w:eastAsia="cs-CZ"/>
              </w:rPr>
            </w:pPr>
            <w:r w:rsidRPr="00411EDA">
              <w:rPr>
                <w:b/>
                <w:sz w:val="18"/>
                <w:szCs w:val="20"/>
                <w:lang w:eastAsia="cs-CZ"/>
              </w:rPr>
              <w:t>Príležitosti</w:t>
            </w:r>
          </w:p>
          <w:p w:rsidR="00A24828" w:rsidRDefault="00A24828" w:rsidP="00FE6025">
            <w:pPr>
              <w:pStyle w:val="Odsekzoznamu"/>
              <w:numPr>
                <w:ilvl w:val="0"/>
                <w:numId w:val="28"/>
              </w:numPr>
              <w:spacing w:before="40" w:after="120"/>
              <w:ind w:left="356" w:hanging="210"/>
              <w:jc w:val="both"/>
              <w:rPr>
                <w:sz w:val="18"/>
                <w:szCs w:val="20"/>
                <w:lang w:eastAsia="cs-CZ"/>
              </w:rPr>
            </w:pPr>
            <w:r w:rsidRPr="00C95E85">
              <w:rPr>
                <w:sz w:val="18"/>
                <w:szCs w:val="20"/>
                <w:lang w:eastAsia="cs-CZ"/>
              </w:rPr>
              <w:t>Spoľahlivé a rýchle širokopásmové pripojenie je predpokladom pre rýchly rozvoj informačnej spoločnosti.</w:t>
            </w:r>
          </w:p>
        </w:tc>
      </w:tr>
      <w:tr w:rsidR="00A24828" w:rsidRPr="00411EDA" w:rsidTr="007F1C63">
        <w:trPr>
          <w:trHeight w:val="340"/>
          <w:jc w:val="center"/>
        </w:trPr>
        <w:tc>
          <w:tcPr>
            <w:tcW w:w="2128" w:type="dxa"/>
            <w:vMerge/>
            <w:vAlign w:val="center"/>
          </w:tcPr>
          <w:p w:rsidR="00A24828" w:rsidRPr="00411EDA" w:rsidRDefault="00A24828" w:rsidP="007F1C63">
            <w:pPr>
              <w:ind w:left="0"/>
              <w:rPr>
                <w:color w:val="000000"/>
                <w:sz w:val="18"/>
                <w:szCs w:val="18"/>
              </w:rPr>
            </w:pPr>
          </w:p>
        </w:tc>
        <w:tc>
          <w:tcPr>
            <w:tcW w:w="3079" w:type="dxa"/>
            <w:vAlign w:val="center"/>
          </w:tcPr>
          <w:p w:rsidR="00A24828" w:rsidRPr="00411EDA" w:rsidRDefault="00A24828" w:rsidP="007F1C63">
            <w:pPr>
              <w:ind w:left="0"/>
              <w:jc w:val="center"/>
              <w:rPr>
                <w:sz w:val="18"/>
                <w:szCs w:val="18"/>
              </w:rPr>
            </w:pPr>
            <w:r w:rsidRPr="00560E77">
              <w:rPr>
                <w:sz w:val="18"/>
                <w:szCs w:val="18"/>
              </w:rPr>
              <w:t>2(b): Vývoj produktov a služieb IKT, elektronického obchodu a posilnenia dopytu po IKT</w:t>
            </w:r>
          </w:p>
        </w:tc>
        <w:tc>
          <w:tcPr>
            <w:tcW w:w="3865" w:type="dxa"/>
            <w:vAlign w:val="center"/>
          </w:tcPr>
          <w:p w:rsidR="00A24828" w:rsidRPr="00411EDA" w:rsidRDefault="00A24828" w:rsidP="007F1C63">
            <w:pPr>
              <w:ind w:left="0"/>
              <w:rPr>
                <w:sz w:val="18"/>
                <w:szCs w:val="18"/>
              </w:rPr>
            </w:pPr>
            <w:r w:rsidRPr="00411EDA">
              <w:rPr>
                <w:b/>
                <w:sz w:val="18"/>
                <w:szCs w:val="18"/>
              </w:rPr>
              <w:t>Špecifické odporúčanie Rady pre SR</w:t>
            </w:r>
            <w:r w:rsidRPr="00411EDA">
              <w:rPr>
                <w:sz w:val="18"/>
                <w:szCs w:val="18"/>
              </w:rPr>
              <w:t xml:space="preserve"> </w:t>
            </w:r>
          </w:p>
          <w:p w:rsidR="00A24828" w:rsidRDefault="00A24828" w:rsidP="00FE6025">
            <w:pPr>
              <w:pStyle w:val="Odsekzoznamu"/>
              <w:numPr>
                <w:ilvl w:val="0"/>
                <w:numId w:val="28"/>
              </w:numPr>
              <w:spacing w:before="120" w:after="120"/>
              <w:ind w:left="356" w:hanging="210"/>
              <w:rPr>
                <w:b/>
                <w:sz w:val="18"/>
                <w:szCs w:val="18"/>
                <w:lang w:eastAsia="cs-CZ"/>
              </w:rPr>
            </w:pPr>
            <w:r w:rsidRPr="00C95E85">
              <w:rPr>
                <w:sz w:val="18"/>
                <w:szCs w:val="20"/>
                <w:lang w:eastAsia="cs-CZ"/>
              </w:rPr>
              <w:t>Podpora priaznivého podnikateľského prostredia</w:t>
            </w:r>
            <w:r w:rsidR="00500DC2">
              <w:rPr>
                <w:sz w:val="18"/>
                <w:szCs w:val="20"/>
                <w:lang w:eastAsia="cs-CZ"/>
              </w:rPr>
              <w:t>.</w:t>
            </w:r>
          </w:p>
          <w:p w:rsidR="00A24828" w:rsidRDefault="00A24828" w:rsidP="007F1C63">
            <w:pPr>
              <w:spacing w:before="120" w:after="120"/>
              <w:ind w:left="0"/>
              <w:jc w:val="both"/>
              <w:rPr>
                <w:b/>
                <w:sz w:val="18"/>
                <w:szCs w:val="18"/>
                <w:lang w:eastAsia="cs-CZ"/>
              </w:rPr>
            </w:pPr>
            <w:r w:rsidRPr="00D8346D">
              <w:rPr>
                <w:b/>
                <w:sz w:val="18"/>
                <w:szCs w:val="18"/>
                <w:lang w:eastAsia="cs-CZ"/>
              </w:rPr>
              <w:t>Národný program reforiem</w:t>
            </w:r>
          </w:p>
          <w:p w:rsidR="00A24828" w:rsidRPr="00560E77" w:rsidRDefault="00A24828" w:rsidP="00FE6025">
            <w:pPr>
              <w:pStyle w:val="Odsekzoznamu"/>
              <w:numPr>
                <w:ilvl w:val="0"/>
                <w:numId w:val="28"/>
              </w:numPr>
              <w:spacing w:before="120" w:after="120"/>
              <w:ind w:left="356" w:hanging="283"/>
              <w:jc w:val="both"/>
              <w:rPr>
                <w:b/>
                <w:sz w:val="18"/>
                <w:szCs w:val="18"/>
                <w:lang w:eastAsia="cs-CZ"/>
              </w:rPr>
            </w:pPr>
            <w:r>
              <w:rPr>
                <w:sz w:val="18"/>
                <w:szCs w:val="18"/>
                <w:lang w:eastAsia="cs-CZ"/>
              </w:rPr>
              <w:t xml:space="preserve">Zvýšenie inovačnej schopnosti </w:t>
            </w:r>
            <w:r w:rsidRPr="00560E77">
              <w:rPr>
                <w:sz w:val="18"/>
                <w:szCs w:val="18"/>
                <w:lang w:eastAsia="cs-CZ"/>
              </w:rPr>
              <w:t>MSP</w:t>
            </w:r>
            <w:r w:rsidR="00500DC2">
              <w:rPr>
                <w:sz w:val="18"/>
                <w:szCs w:val="18"/>
                <w:lang w:eastAsia="cs-CZ"/>
              </w:rPr>
              <w:t>.</w:t>
            </w:r>
          </w:p>
          <w:p w:rsidR="00A24828" w:rsidRPr="00560E77" w:rsidRDefault="00A24828" w:rsidP="007F1C63">
            <w:pPr>
              <w:ind w:left="0"/>
              <w:rPr>
                <w:b/>
                <w:sz w:val="18"/>
                <w:szCs w:val="18"/>
              </w:rPr>
            </w:pPr>
            <w:r w:rsidRPr="00560E77">
              <w:rPr>
                <w:b/>
                <w:sz w:val="18"/>
                <w:szCs w:val="18"/>
              </w:rPr>
              <w:t>Analýza súčasného stavu</w:t>
            </w:r>
          </w:p>
          <w:p w:rsidR="00A24828" w:rsidRPr="001B2076" w:rsidRDefault="00A24828" w:rsidP="00FE6025">
            <w:pPr>
              <w:pStyle w:val="Odsekzoznamu"/>
              <w:numPr>
                <w:ilvl w:val="0"/>
                <w:numId w:val="28"/>
              </w:numPr>
              <w:spacing w:before="40" w:after="120"/>
              <w:ind w:left="356" w:hanging="210"/>
              <w:jc w:val="both"/>
              <w:rPr>
                <w:sz w:val="18"/>
                <w:szCs w:val="20"/>
                <w:lang w:eastAsia="cs-CZ"/>
              </w:rPr>
            </w:pPr>
            <w:r w:rsidRPr="00560E77">
              <w:rPr>
                <w:sz w:val="18"/>
                <w:szCs w:val="20"/>
                <w:lang w:eastAsia="cs-CZ"/>
              </w:rPr>
              <w:t>Nedostatočná inovačná kapacit</w:t>
            </w:r>
            <w:r w:rsidR="00A77C61">
              <w:rPr>
                <w:sz w:val="18"/>
                <w:szCs w:val="20"/>
                <w:lang w:eastAsia="cs-CZ"/>
              </w:rPr>
              <w:t>a</w:t>
            </w:r>
            <w:r w:rsidRPr="00560E77">
              <w:rPr>
                <w:sz w:val="18"/>
                <w:szCs w:val="20"/>
                <w:lang w:eastAsia="cs-CZ"/>
              </w:rPr>
              <w:t xml:space="preserve"> slovenskej ekonomiky ovplyvnená slabým podnikateľským pros</w:t>
            </w:r>
            <w:r>
              <w:rPr>
                <w:sz w:val="18"/>
                <w:szCs w:val="20"/>
                <w:lang w:eastAsia="cs-CZ"/>
              </w:rPr>
              <w:t>t</w:t>
            </w:r>
            <w:r w:rsidRPr="00560E77">
              <w:rPr>
                <w:sz w:val="18"/>
                <w:szCs w:val="20"/>
                <w:lang w:eastAsia="cs-CZ"/>
              </w:rPr>
              <w:t xml:space="preserve">redím a nedostatočne rozvinutým systémom výskumu a inovácií. </w:t>
            </w:r>
          </w:p>
          <w:p w:rsidR="00A24828" w:rsidRPr="00560E77" w:rsidRDefault="00A24828" w:rsidP="00FE6025">
            <w:pPr>
              <w:pStyle w:val="Odsekzoznamu"/>
              <w:numPr>
                <w:ilvl w:val="0"/>
                <w:numId w:val="28"/>
              </w:numPr>
              <w:spacing w:before="40" w:after="120"/>
              <w:ind w:left="356" w:hanging="210"/>
              <w:jc w:val="both"/>
              <w:rPr>
                <w:sz w:val="18"/>
                <w:szCs w:val="20"/>
                <w:lang w:eastAsia="cs-CZ"/>
              </w:rPr>
            </w:pPr>
            <w:r w:rsidRPr="00560E77">
              <w:rPr>
                <w:sz w:val="18"/>
                <w:szCs w:val="20"/>
                <w:lang w:eastAsia="cs-CZ"/>
              </w:rPr>
              <w:t>Chýbajúce možnosti zdieľania existujúcich riešení a technologických platforiem verejnej správy s MSP.</w:t>
            </w:r>
          </w:p>
          <w:p w:rsidR="00A24828" w:rsidRPr="00411EDA" w:rsidRDefault="00A24828" w:rsidP="007F1C63">
            <w:pPr>
              <w:ind w:left="0"/>
              <w:rPr>
                <w:sz w:val="18"/>
                <w:szCs w:val="18"/>
              </w:rPr>
            </w:pPr>
            <w:r w:rsidRPr="007A5A21">
              <w:rPr>
                <w:b/>
                <w:sz w:val="18"/>
                <w:szCs w:val="18"/>
              </w:rPr>
              <w:t>Príležitosti</w:t>
            </w:r>
          </w:p>
          <w:p w:rsidR="00A24828" w:rsidRPr="00A53B89" w:rsidRDefault="00A24828" w:rsidP="00FE6025">
            <w:pPr>
              <w:pStyle w:val="Odsekzoznamu"/>
              <w:numPr>
                <w:ilvl w:val="0"/>
                <w:numId w:val="28"/>
              </w:numPr>
              <w:spacing w:before="40" w:after="120"/>
              <w:ind w:left="356" w:hanging="210"/>
              <w:jc w:val="both"/>
              <w:rPr>
                <w:sz w:val="18"/>
                <w:szCs w:val="18"/>
                <w:lang w:eastAsia="cs-CZ"/>
              </w:rPr>
            </w:pPr>
            <w:r w:rsidRPr="00560E77">
              <w:rPr>
                <w:sz w:val="18"/>
                <w:szCs w:val="20"/>
                <w:lang w:eastAsia="cs-CZ"/>
              </w:rPr>
              <w:t xml:space="preserve">Vytvorenie dopytu po inovatívnych riešeniach v oblastiach ako mobilný government, dátové analýzy a pod., ktoré sú vhodné pre riešenie prostredníctvom služieb MSP. </w:t>
            </w:r>
          </w:p>
          <w:p w:rsidR="00A24828" w:rsidRDefault="00A24828" w:rsidP="00FE6025">
            <w:pPr>
              <w:pStyle w:val="Odsekzoznamu"/>
              <w:numPr>
                <w:ilvl w:val="0"/>
                <w:numId w:val="28"/>
              </w:numPr>
              <w:spacing w:before="40" w:after="120"/>
              <w:ind w:left="356" w:hanging="210"/>
              <w:jc w:val="both"/>
              <w:rPr>
                <w:sz w:val="18"/>
                <w:szCs w:val="18"/>
                <w:lang w:eastAsia="cs-CZ"/>
              </w:rPr>
            </w:pPr>
            <w:r w:rsidRPr="00560E77">
              <w:rPr>
                <w:sz w:val="18"/>
                <w:szCs w:val="20"/>
                <w:lang w:eastAsia="cs-CZ"/>
              </w:rPr>
              <w:t>Poskytnutie IKT infraštruktúry na škálovanie podnikania a inovácií v poskytovaní služieb prostredníctvom zdieľaných služieb verejnej správy.</w:t>
            </w:r>
          </w:p>
        </w:tc>
      </w:tr>
      <w:tr w:rsidR="00A24828" w:rsidRPr="00411EDA" w:rsidTr="007F1C63">
        <w:trPr>
          <w:trHeight w:val="340"/>
          <w:jc w:val="center"/>
        </w:trPr>
        <w:tc>
          <w:tcPr>
            <w:tcW w:w="2128" w:type="dxa"/>
            <w:vMerge/>
            <w:vAlign w:val="center"/>
          </w:tcPr>
          <w:p w:rsidR="00A24828" w:rsidRPr="00411EDA" w:rsidRDefault="00A24828" w:rsidP="007F1C63">
            <w:pPr>
              <w:ind w:left="0"/>
              <w:rPr>
                <w:color w:val="000000"/>
                <w:sz w:val="18"/>
                <w:szCs w:val="18"/>
              </w:rPr>
            </w:pPr>
          </w:p>
        </w:tc>
        <w:tc>
          <w:tcPr>
            <w:tcW w:w="3079" w:type="dxa"/>
            <w:vAlign w:val="center"/>
          </w:tcPr>
          <w:p w:rsidR="00A24828" w:rsidRPr="00411EDA" w:rsidRDefault="00A24828" w:rsidP="007F1C63">
            <w:pPr>
              <w:ind w:left="0"/>
              <w:jc w:val="center"/>
              <w:rPr>
                <w:sz w:val="18"/>
                <w:szCs w:val="18"/>
              </w:rPr>
            </w:pPr>
            <w:r w:rsidRPr="00411EDA">
              <w:rPr>
                <w:sz w:val="18"/>
                <w:szCs w:val="18"/>
              </w:rPr>
              <w:t>2(</w:t>
            </w:r>
            <w:r>
              <w:rPr>
                <w:sz w:val="18"/>
                <w:szCs w:val="18"/>
              </w:rPr>
              <w:t>c</w:t>
            </w:r>
            <w:r w:rsidRPr="00411EDA">
              <w:rPr>
                <w:sz w:val="18"/>
                <w:szCs w:val="18"/>
              </w:rPr>
              <w:t xml:space="preserve">): </w:t>
            </w:r>
            <w:r w:rsidRPr="000A6050">
              <w:rPr>
                <w:sz w:val="18"/>
                <w:szCs w:val="18"/>
              </w:rPr>
              <w:t>Posilnenie aplikácií IKT v rámci elektronickej štátnej správy, elektronického vzdelávania, elektronickej inklúzie, elektronickej kultúry a elektronického zdravotníctva</w:t>
            </w:r>
          </w:p>
        </w:tc>
        <w:tc>
          <w:tcPr>
            <w:tcW w:w="3865" w:type="dxa"/>
            <w:vAlign w:val="center"/>
          </w:tcPr>
          <w:p w:rsidR="00A24828" w:rsidRPr="00411EDA" w:rsidRDefault="00A24828" w:rsidP="007F1C63">
            <w:pPr>
              <w:ind w:left="0"/>
              <w:rPr>
                <w:sz w:val="18"/>
                <w:szCs w:val="18"/>
              </w:rPr>
            </w:pPr>
            <w:r w:rsidRPr="00411EDA">
              <w:rPr>
                <w:b/>
                <w:sz w:val="18"/>
                <w:szCs w:val="18"/>
              </w:rPr>
              <w:t>Špecifické odporúčanie Rady pre SR</w:t>
            </w:r>
            <w:r w:rsidRPr="00411EDA">
              <w:rPr>
                <w:sz w:val="18"/>
                <w:szCs w:val="18"/>
              </w:rPr>
              <w:t xml:space="preserve"> </w:t>
            </w:r>
          </w:p>
          <w:p w:rsidR="00A24828" w:rsidRDefault="00A24828" w:rsidP="00FE6025">
            <w:pPr>
              <w:pStyle w:val="Odsekzoznamu"/>
              <w:numPr>
                <w:ilvl w:val="0"/>
                <w:numId w:val="28"/>
              </w:numPr>
              <w:spacing w:before="40" w:after="120"/>
              <w:ind w:left="356" w:hanging="210"/>
              <w:jc w:val="both"/>
              <w:rPr>
                <w:sz w:val="18"/>
                <w:szCs w:val="20"/>
                <w:lang w:eastAsia="cs-CZ"/>
              </w:rPr>
            </w:pPr>
            <w:r w:rsidRPr="00C95E85">
              <w:rPr>
                <w:sz w:val="18"/>
                <w:szCs w:val="20"/>
                <w:lang w:eastAsia="cs-CZ"/>
              </w:rPr>
              <w:t xml:space="preserve">Uskutočnenie reformy </w:t>
            </w:r>
            <w:r w:rsidR="00500DC2">
              <w:rPr>
                <w:sz w:val="18"/>
                <w:szCs w:val="20"/>
                <w:lang w:eastAsia="cs-CZ"/>
              </w:rPr>
              <w:t>VS.</w:t>
            </w:r>
          </w:p>
          <w:p w:rsidR="00A24828" w:rsidRDefault="00A24828" w:rsidP="00FE6025">
            <w:pPr>
              <w:pStyle w:val="Odsekzoznamu"/>
              <w:numPr>
                <w:ilvl w:val="0"/>
                <w:numId w:val="28"/>
              </w:numPr>
              <w:spacing w:before="40" w:after="120"/>
              <w:ind w:left="356" w:hanging="210"/>
              <w:jc w:val="both"/>
              <w:rPr>
                <w:sz w:val="18"/>
                <w:szCs w:val="20"/>
                <w:lang w:eastAsia="cs-CZ"/>
              </w:rPr>
            </w:pPr>
            <w:r w:rsidRPr="00C95E85">
              <w:rPr>
                <w:sz w:val="18"/>
                <w:szCs w:val="20"/>
                <w:lang w:eastAsia="cs-CZ"/>
              </w:rPr>
              <w:t>Zlepšenie kvality verejných služieb</w:t>
            </w:r>
            <w:r w:rsidR="00500DC2">
              <w:rPr>
                <w:sz w:val="18"/>
                <w:szCs w:val="20"/>
                <w:lang w:eastAsia="cs-CZ"/>
              </w:rPr>
              <w:t>.</w:t>
            </w:r>
          </w:p>
          <w:p w:rsidR="00A24828" w:rsidRPr="00411EDA" w:rsidRDefault="00A24828" w:rsidP="007F1C63">
            <w:pPr>
              <w:ind w:left="0"/>
              <w:rPr>
                <w:b/>
                <w:sz w:val="18"/>
                <w:szCs w:val="18"/>
              </w:rPr>
            </w:pPr>
            <w:r w:rsidRPr="00411EDA">
              <w:rPr>
                <w:b/>
                <w:sz w:val="18"/>
                <w:szCs w:val="18"/>
              </w:rPr>
              <w:t>Národný program reforiem</w:t>
            </w:r>
          </w:p>
          <w:p w:rsidR="00A24828" w:rsidRDefault="00A24828" w:rsidP="00FE6025">
            <w:pPr>
              <w:pStyle w:val="Odsekzoznamu"/>
              <w:numPr>
                <w:ilvl w:val="0"/>
                <w:numId w:val="28"/>
              </w:numPr>
              <w:spacing w:before="40" w:after="120"/>
              <w:ind w:left="356" w:hanging="210"/>
              <w:jc w:val="both"/>
              <w:rPr>
                <w:sz w:val="18"/>
                <w:szCs w:val="20"/>
                <w:lang w:eastAsia="cs-CZ"/>
              </w:rPr>
            </w:pPr>
            <w:r w:rsidRPr="00C95E85">
              <w:rPr>
                <w:sz w:val="18"/>
                <w:szCs w:val="20"/>
                <w:lang w:eastAsia="cs-CZ"/>
              </w:rPr>
              <w:t>Znižovanie administratívneho zaťaženia firiem a</w:t>
            </w:r>
            <w:r w:rsidR="00500DC2">
              <w:rPr>
                <w:sz w:val="18"/>
                <w:szCs w:val="20"/>
                <w:lang w:eastAsia="cs-CZ"/>
              </w:rPr>
              <w:t> </w:t>
            </w:r>
            <w:r w:rsidRPr="00C95E85">
              <w:rPr>
                <w:sz w:val="18"/>
                <w:szCs w:val="20"/>
                <w:lang w:eastAsia="cs-CZ"/>
              </w:rPr>
              <w:t>občanov</w:t>
            </w:r>
            <w:r w:rsidR="00500DC2">
              <w:rPr>
                <w:sz w:val="18"/>
                <w:szCs w:val="20"/>
                <w:lang w:eastAsia="cs-CZ"/>
              </w:rPr>
              <w:t>.</w:t>
            </w:r>
          </w:p>
          <w:p w:rsidR="00A24828" w:rsidRPr="00500DC2" w:rsidRDefault="00A24828" w:rsidP="00FE6025">
            <w:pPr>
              <w:pStyle w:val="Odsekzoznamu"/>
              <w:numPr>
                <w:ilvl w:val="0"/>
                <w:numId w:val="28"/>
              </w:numPr>
              <w:spacing w:before="40" w:after="120"/>
              <w:ind w:left="356" w:hanging="210"/>
              <w:jc w:val="both"/>
              <w:rPr>
                <w:sz w:val="18"/>
                <w:szCs w:val="20"/>
                <w:lang w:eastAsia="cs-CZ"/>
              </w:rPr>
            </w:pPr>
            <w:r w:rsidRPr="00500DC2">
              <w:rPr>
                <w:sz w:val="18"/>
                <w:szCs w:val="20"/>
                <w:lang w:eastAsia="cs-CZ"/>
              </w:rPr>
              <w:t>Prehlbovanie vzdelania</w:t>
            </w:r>
            <w:r w:rsidR="00500DC2">
              <w:rPr>
                <w:sz w:val="18"/>
                <w:szCs w:val="20"/>
                <w:lang w:eastAsia="cs-CZ"/>
              </w:rPr>
              <w:t xml:space="preserve">, </w:t>
            </w:r>
            <w:r w:rsidRPr="00500DC2">
              <w:rPr>
                <w:sz w:val="18"/>
                <w:szCs w:val="20"/>
                <w:lang w:eastAsia="cs-CZ"/>
              </w:rPr>
              <w:t>zručností</w:t>
            </w:r>
            <w:r w:rsidR="00500DC2" w:rsidRPr="00500DC2">
              <w:rPr>
                <w:sz w:val="18"/>
                <w:szCs w:val="20"/>
                <w:lang w:eastAsia="cs-CZ"/>
              </w:rPr>
              <w:t xml:space="preserve"> a </w:t>
            </w:r>
            <w:r w:rsidR="00500DC2">
              <w:rPr>
                <w:sz w:val="18"/>
                <w:szCs w:val="20"/>
                <w:lang w:eastAsia="cs-CZ"/>
              </w:rPr>
              <w:t>r</w:t>
            </w:r>
            <w:r w:rsidRPr="00500DC2">
              <w:rPr>
                <w:sz w:val="18"/>
                <w:szCs w:val="20"/>
                <w:lang w:eastAsia="cs-CZ"/>
              </w:rPr>
              <w:t>ozvoj životných podmienok osôb so zdravotným postihnutím</w:t>
            </w:r>
            <w:r w:rsidR="00500DC2">
              <w:rPr>
                <w:sz w:val="18"/>
                <w:szCs w:val="20"/>
                <w:lang w:eastAsia="cs-CZ"/>
              </w:rPr>
              <w:t>.</w:t>
            </w:r>
          </w:p>
          <w:p w:rsidR="00A24828" w:rsidRPr="00500DC2" w:rsidRDefault="00A24828" w:rsidP="00FE6025">
            <w:pPr>
              <w:pStyle w:val="Odsekzoznamu"/>
              <w:numPr>
                <w:ilvl w:val="0"/>
                <w:numId w:val="28"/>
              </w:numPr>
              <w:spacing w:before="40" w:after="120"/>
              <w:ind w:left="356" w:hanging="210"/>
              <w:jc w:val="both"/>
              <w:rPr>
                <w:sz w:val="18"/>
                <w:szCs w:val="20"/>
                <w:lang w:eastAsia="cs-CZ"/>
              </w:rPr>
            </w:pPr>
            <w:r w:rsidRPr="00500DC2">
              <w:rPr>
                <w:sz w:val="18"/>
                <w:szCs w:val="20"/>
                <w:lang w:eastAsia="cs-CZ"/>
              </w:rPr>
              <w:t>Modernizácia kontaktu s občanom a</w:t>
            </w:r>
            <w:r w:rsidR="00500DC2" w:rsidRPr="00500DC2">
              <w:rPr>
                <w:sz w:val="18"/>
                <w:szCs w:val="20"/>
                <w:lang w:eastAsia="cs-CZ"/>
              </w:rPr>
              <w:t> </w:t>
            </w:r>
            <w:r w:rsidRPr="00500DC2">
              <w:rPr>
                <w:sz w:val="18"/>
                <w:szCs w:val="20"/>
                <w:lang w:eastAsia="cs-CZ"/>
              </w:rPr>
              <w:t>podnikateľom</w:t>
            </w:r>
            <w:r w:rsidR="00500DC2" w:rsidRPr="00500DC2">
              <w:rPr>
                <w:sz w:val="18"/>
                <w:szCs w:val="20"/>
                <w:lang w:eastAsia="cs-CZ"/>
              </w:rPr>
              <w:t xml:space="preserve"> a </w:t>
            </w:r>
            <w:r w:rsidR="00500DC2">
              <w:rPr>
                <w:sz w:val="18"/>
                <w:szCs w:val="20"/>
                <w:lang w:eastAsia="cs-CZ"/>
              </w:rPr>
              <w:t>z</w:t>
            </w:r>
            <w:r w:rsidR="00500DC2" w:rsidRPr="00500DC2">
              <w:rPr>
                <w:sz w:val="18"/>
                <w:szCs w:val="20"/>
                <w:lang w:eastAsia="cs-CZ"/>
              </w:rPr>
              <w:t>efektívnenie výkonu a z</w:t>
            </w:r>
            <w:r w:rsidRPr="00500DC2">
              <w:rPr>
                <w:sz w:val="18"/>
                <w:szCs w:val="20"/>
                <w:lang w:eastAsia="cs-CZ"/>
              </w:rPr>
              <w:t xml:space="preserve">vyšovanie transparentnosti </w:t>
            </w:r>
            <w:r w:rsidR="00500DC2" w:rsidRPr="00500DC2">
              <w:rPr>
                <w:sz w:val="18"/>
                <w:szCs w:val="20"/>
                <w:lang w:eastAsia="cs-CZ"/>
              </w:rPr>
              <w:t>VS</w:t>
            </w:r>
            <w:r w:rsidR="00500DC2">
              <w:rPr>
                <w:sz w:val="18"/>
                <w:szCs w:val="20"/>
                <w:lang w:eastAsia="cs-CZ"/>
              </w:rPr>
              <w:t>.</w:t>
            </w:r>
          </w:p>
          <w:p w:rsidR="00A24828" w:rsidRDefault="00A24828" w:rsidP="00FE6025">
            <w:pPr>
              <w:pStyle w:val="Odsekzoznamu"/>
              <w:numPr>
                <w:ilvl w:val="0"/>
                <w:numId w:val="28"/>
              </w:numPr>
              <w:spacing w:before="40" w:after="120"/>
              <w:ind w:left="356" w:hanging="210"/>
              <w:jc w:val="both"/>
              <w:rPr>
                <w:sz w:val="18"/>
                <w:szCs w:val="20"/>
                <w:lang w:eastAsia="cs-CZ"/>
              </w:rPr>
            </w:pPr>
            <w:r w:rsidRPr="00C95E85">
              <w:rPr>
                <w:sz w:val="18"/>
                <w:szCs w:val="20"/>
                <w:lang w:eastAsia="cs-CZ"/>
              </w:rPr>
              <w:t>Vybudovanie výkonnej a bezpečnej IKT infraštruktúry</w:t>
            </w:r>
            <w:r w:rsidR="00500DC2">
              <w:rPr>
                <w:sz w:val="18"/>
                <w:szCs w:val="20"/>
                <w:lang w:eastAsia="cs-CZ"/>
              </w:rPr>
              <w:t>.</w:t>
            </w:r>
          </w:p>
          <w:p w:rsidR="00A24828" w:rsidRDefault="00A24828" w:rsidP="00FE6025">
            <w:pPr>
              <w:pStyle w:val="Odsekzoznamu"/>
              <w:numPr>
                <w:ilvl w:val="0"/>
                <w:numId w:val="28"/>
              </w:numPr>
              <w:spacing w:before="40" w:after="120"/>
              <w:ind w:left="356" w:hanging="210"/>
              <w:jc w:val="both"/>
              <w:rPr>
                <w:sz w:val="18"/>
                <w:szCs w:val="20"/>
                <w:lang w:eastAsia="cs-CZ"/>
              </w:rPr>
            </w:pPr>
            <w:r w:rsidRPr="00C95E85">
              <w:rPr>
                <w:sz w:val="18"/>
                <w:szCs w:val="20"/>
                <w:lang w:eastAsia="cs-CZ"/>
              </w:rPr>
              <w:t>Zabezpečenie informačnej bezpečnosti</w:t>
            </w:r>
            <w:r>
              <w:rPr>
                <w:sz w:val="18"/>
                <w:szCs w:val="20"/>
                <w:lang w:eastAsia="cs-CZ"/>
              </w:rPr>
              <w:t>.</w:t>
            </w:r>
          </w:p>
          <w:p w:rsidR="00A24828" w:rsidRPr="00411EDA" w:rsidRDefault="00A24828" w:rsidP="007F1C63">
            <w:pPr>
              <w:spacing w:before="40"/>
              <w:ind w:left="0"/>
              <w:jc w:val="both"/>
              <w:rPr>
                <w:sz w:val="18"/>
                <w:szCs w:val="20"/>
                <w:lang w:eastAsia="cs-CZ"/>
              </w:rPr>
            </w:pPr>
            <w:r w:rsidRPr="00411EDA">
              <w:rPr>
                <w:b/>
                <w:sz w:val="18"/>
                <w:szCs w:val="18"/>
                <w:lang w:eastAsia="cs-CZ"/>
              </w:rPr>
              <w:t>Analýza súčasného stavu</w:t>
            </w:r>
          </w:p>
          <w:p w:rsidR="00A24828" w:rsidRDefault="00A24828" w:rsidP="00FE6025">
            <w:pPr>
              <w:pStyle w:val="Odsekzoznamu"/>
              <w:numPr>
                <w:ilvl w:val="0"/>
                <w:numId w:val="28"/>
              </w:numPr>
              <w:spacing w:before="40" w:after="120"/>
              <w:ind w:left="356" w:hanging="210"/>
              <w:jc w:val="both"/>
              <w:rPr>
                <w:sz w:val="18"/>
                <w:szCs w:val="20"/>
                <w:lang w:eastAsia="cs-CZ"/>
              </w:rPr>
            </w:pPr>
            <w:r w:rsidRPr="00C95E85">
              <w:rPr>
                <w:sz w:val="18"/>
                <w:szCs w:val="20"/>
                <w:lang w:eastAsia="cs-CZ"/>
              </w:rPr>
              <w:lastRenderedPageBreak/>
              <w:t>Súčasný stav elektronických služieb neposkytuje občanom a podnikateľom dostatočne komfortné riešenie</w:t>
            </w:r>
            <w:r w:rsidR="00500DC2">
              <w:rPr>
                <w:sz w:val="18"/>
                <w:szCs w:val="20"/>
                <w:lang w:eastAsia="cs-CZ"/>
              </w:rPr>
              <w:t>.</w:t>
            </w:r>
          </w:p>
          <w:p w:rsidR="00A24828" w:rsidRDefault="00A24828" w:rsidP="00FE6025">
            <w:pPr>
              <w:pStyle w:val="Odsekzoznamu"/>
              <w:numPr>
                <w:ilvl w:val="0"/>
                <w:numId w:val="28"/>
              </w:numPr>
              <w:spacing w:before="40" w:after="120"/>
              <w:ind w:left="356" w:hanging="210"/>
              <w:jc w:val="both"/>
              <w:rPr>
                <w:sz w:val="18"/>
                <w:szCs w:val="20"/>
                <w:lang w:eastAsia="cs-CZ"/>
              </w:rPr>
            </w:pPr>
            <w:r w:rsidRPr="00C95E85">
              <w:rPr>
                <w:sz w:val="18"/>
                <w:szCs w:val="20"/>
                <w:lang w:eastAsia="cs-CZ"/>
              </w:rPr>
              <w:t>Nevyužíva sa plný potenciál šetrenia zdrojov</w:t>
            </w:r>
            <w:r w:rsidR="00500DC2">
              <w:rPr>
                <w:sz w:val="18"/>
                <w:szCs w:val="20"/>
                <w:lang w:eastAsia="cs-CZ"/>
              </w:rPr>
              <w:t>.</w:t>
            </w:r>
          </w:p>
          <w:p w:rsidR="00A24828" w:rsidRDefault="00A24828" w:rsidP="00FE6025">
            <w:pPr>
              <w:pStyle w:val="Odsekzoznamu"/>
              <w:numPr>
                <w:ilvl w:val="0"/>
                <w:numId w:val="28"/>
              </w:numPr>
              <w:spacing w:before="40" w:after="120"/>
              <w:ind w:left="356" w:hanging="210"/>
              <w:jc w:val="both"/>
              <w:rPr>
                <w:sz w:val="18"/>
                <w:szCs w:val="20"/>
                <w:lang w:eastAsia="cs-CZ"/>
              </w:rPr>
            </w:pPr>
            <w:r w:rsidRPr="00C95E85">
              <w:rPr>
                <w:sz w:val="18"/>
                <w:szCs w:val="20"/>
                <w:lang w:eastAsia="cs-CZ"/>
              </w:rPr>
              <w:t xml:space="preserve">Potreba znižovania rozpočtu inštitúcií </w:t>
            </w:r>
            <w:r w:rsidR="00500DC2">
              <w:rPr>
                <w:sz w:val="18"/>
                <w:szCs w:val="20"/>
                <w:lang w:eastAsia="cs-CZ"/>
              </w:rPr>
              <w:t>VS.</w:t>
            </w:r>
          </w:p>
          <w:p w:rsidR="00A24828" w:rsidRDefault="00A24828" w:rsidP="00FE6025">
            <w:pPr>
              <w:pStyle w:val="Odsekzoznamu"/>
              <w:numPr>
                <w:ilvl w:val="0"/>
                <w:numId w:val="28"/>
              </w:numPr>
              <w:spacing w:before="40" w:after="120"/>
              <w:ind w:left="356" w:hanging="210"/>
              <w:jc w:val="both"/>
              <w:rPr>
                <w:sz w:val="18"/>
                <w:szCs w:val="20"/>
                <w:lang w:eastAsia="cs-CZ"/>
              </w:rPr>
            </w:pPr>
            <w:r w:rsidRPr="00C95E85">
              <w:rPr>
                <w:sz w:val="18"/>
                <w:szCs w:val="20"/>
                <w:lang w:eastAsia="cs-CZ"/>
              </w:rPr>
              <w:t xml:space="preserve">Potreba poskytovať služby </w:t>
            </w:r>
            <w:r w:rsidR="00500DC2">
              <w:rPr>
                <w:sz w:val="18"/>
                <w:szCs w:val="20"/>
                <w:lang w:eastAsia="cs-CZ"/>
              </w:rPr>
              <w:t>VS</w:t>
            </w:r>
            <w:r w:rsidRPr="00C95E85">
              <w:rPr>
                <w:sz w:val="18"/>
                <w:szCs w:val="20"/>
                <w:lang w:eastAsia="cs-CZ"/>
              </w:rPr>
              <w:t xml:space="preserve"> v oveľa vyššom štandarde</w:t>
            </w:r>
            <w:r w:rsidR="00500DC2">
              <w:rPr>
                <w:sz w:val="18"/>
                <w:szCs w:val="20"/>
                <w:lang w:eastAsia="cs-CZ"/>
              </w:rPr>
              <w:t>.</w:t>
            </w:r>
          </w:p>
          <w:p w:rsidR="00A24828" w:rsidRDefault="00A24828" w:rsidP="007F1C63">
            <w:pPr>
              <w:ind w:left="0"/>
              <w:rPr>
                <w:b/>
                <w:sz w:val="18"/>
                <w:szCs w:val="18"/>
              </w:rPr>
            </w:pPr>
            <w:r w:rsidRPr="00411EDA">
              <w:rPr>
                <w:b/>
                <w:sz w:val="18"/>
                <w:szCs w:val="18"/>
              </w:rPr>
              <w:t>Príležitosti</w:t>
            </w:r>
          </w:p>
          <w:p w:rsidR="00A24828" w:rsidRDefault="00A24828" w:rsidP="00FE6025">
            <w:pPr>
              <w:pStyle w:val="Odsekzoznamu"/>
              <w:numPr>
                <w:ilvl w:val="0"/>
                <w:numId w:val="28"/>
              </w:numPr>
              <w:spacing w:before="40" w:after="120"/>
              <w:ind w:left="356" w:hanging="210"/>
              <w:jc w:val="both"/>
              <w:rPr>
                <w:sz w:val="18"/>
                <w:szCs w:val="20"/>
                <w:lang w:eastAsia="cs-CZ"/>
              </w:rPr>
            </w:pPr>
            <w:r w:rsidRPr="00C95E85">
              <w:rPr>
                <w:sz w:val="18"/>
                <w:szCs w:val="20"/>
                <w:lang w:eastAsia="cs-CZ"/>
              </w:rPr>
              <w:t>Existuje priestor na zefektívnenie prevádzky informačných systémov vrátane znižovania energetickej náročnosti</w:t>
            </w:r>
            <w:r>
              <w:rPr>
                <w:sz w:val="18"/>
                <w:szCs w:val="20"/>
                <w:lang w:eastAsia="cs-CZ"/>
              </w:rPr>
              <w:t>.</w:t>
            </w:r>
          </w:p>
          <w:p w:rsidR="00A24828" w:rsidRDefault="00A24828" w:rsidP="00FE6025">
            <w:pPr>
              <w:pStyle w:val="Odsekzoznamu"/>
              <w:numPr>
                <w:ilvl w:val="0"/>
                <w:numId w:val="28"/>
              </w:numPr>
              <w:spacing w:before="40" w:after="120"/>
              <w:ind w:left="356" w:hanging="210"/>
              <w:jc w:val="both"/>
              <w:rPr>
                <w:sz w:val="18"/>
                <w:szCs w:val="20"/>
                <w:lang w:eastAsia="cs-CZ"/>
              </w:rPr>
            </w:pPr>
            <w:r w:rsidRPr="00C95E85">
              <w:rPr>
                <w:sz w:val="18"/>
                <w:szCs w:val="20"/>
                <w:lang w:eastAsia="cs-CZ"/>
              </w:rPr>
              <w:t>Pri</w:t>
            </w:r>
            <w:r w:rsidR="00500DC2">
              <w:rPr>
                <w:sz w:val="18"/>
                <w:szCs w:val="20"/>
                <w:lang w:eastAsia="cs-CZ"/>
              </w:rPr>
              <w:t xml:space="preserve">chádzajú nové technológie </w:t>
            </w:r>
            <w:r w:rsidRPr="00C95E85">
              <w:rPr>
                <w:sz w:val="18"/>
                <w:szCs w:val="20"/>
                <w:lang w:eastAsia="cs-CZ"/>
              </w:rPr>
              <w:t>(inteligentné</w:t>
            </w:r>
            <w:r>
              <w:rPr>
                <w:sz w:val="18"/>
                <w:szCs w:val="20"/>
                <w:lang w:eastAsia="cs-CZ"/>
              </w:rPr>
              <w:t xml:space="preserve"> zariadenia</w:t>
            </w:r>
            <w:r w:rsidR="00500DC2">
              <w:rPr>
                <w:sz w:val="18"/>
                <w:szCs w:val="20"/>
                <w:lang w:eastAsia="cs-CZ"/>
              </w:rPr>
              <w:t xml:space="preserve">, </w:t>
            </w:r>
            <w:r w:rsidRPr="00C95E85">
              <w:rPr>
                <w:sz w:val="18"/>
                <w:szCs w:val="20"/>
                <w:lang w:eastAsia="cs-CZ"/>
              </w:rPr>
              <w:t>a pod</w:t>
            </w:r>
            <w:r w:rsidR="00500DC2">
              <w:rPr>
                <w:sz w:val="18"/>
                <w:szCs w:val="20"/>
                <w:lang w:eastAsia="cs-CZ"/>
              </w:rPr>
              <w:t>.</w:t>
            </w:r>
            <w:r w:rsidRPr="00C95E85">
              <w:rPr>
                <w:sz w:val="18"/>
                <w:szCs w:val="20"/>
                <w:lang w:eastAsia="cs-CZ"/>
              </w:rPr>
              <w:t>), stávajúce sa každodennou súčasťou života občanov a</w:t>
            </w:r>
            <w:r>
              <w:rPr>
                <w:sz w:val="18"/>
                <w:szCs w:val="20"/>
                <w:lang w:eastAsia="cs-CZ"/>
              </w:rPr>
              <w:t> </w:t>
            </w:r>
            <w:r w:rsidRPr="00C95E85">
              <w:rPr>
                <w:sz w:val="18"/>
                <w:szCs w:val="20"/>
                <w:lang w:eastAsia="cs-CZ"/>
              </w:rPr>
              <w:t>podnikateľov</w:t>
            </w:r>
            <w:r>
              <w:rPr>
                <w:sz w:val="18"/>
                <w:szCs w:val="20"/>
                <w:lang w:eastAsia="cs-CZ"/>
              </w:rPr>
              <w:t>.</w:t>
            </w:r>
          </w:p>
        </w:tc>
      </w:tr>
    </w:tbl>
    <w:p w:rsidR="00A46625" w:rsidRDefault="00A46625" w:rsidP="001A218B">
      <w:pPr>
        <w:pStyle w:val="Nadpis2"/>
        <w:tabs>
          <w:tab w:val="num" w:pos="851"/>
        </w:tabs>
        <w:spacing w:before="240" w:after="120"/>
      </w:pPr>
      <w:bookmarkStart w:id="8" w:name="_Toc383612625"/>
      <w:bookmarkStart w:id="9" w:name="_Toc383612647"/>
      <w:bookmarkStart w:id="10" w:name="_Toc383612663"/>
      <w:bookmarkStart w:id="11" w:name="_Toc383209122"/>
      <w:bookmarkStart w:id="12" w:name="_Toc383236534"/>
      <w:bookmarkStart w:id="13" w:name="_Toc385310675"/>
      <w:bookmarkEnd w:id="8"/>
      <w:bookmarkEnd w:id="9"/>
      <w:bookmarkEnd w:id="10"/>
      <w:r>
        <w:lastRenderedPageBreak/>
        <w:t>Zdôvodnenie finančnej alokácie OP</w:t>
      </w:r>
      <w:bookmarkEnd w:id="11"/>
      <w:bookmarkEnd w:id="12"/>
      <w:bookmarkEnd w:id="13"/>
    </w:p>
    <w:p w:rsidR="001A218B" w:rsidRDefault="001A218B" w:rsidP="00740654">
      <w:pPr>
        <w:pStyle w:val="Nadpis4"/>
      </w:pPr>
      <w:r>
        <w:t>Doprava</w:t>
      </w:r>
    </w:p>
    <w:p w:rsidR="001A218B" w:rsidRPr="003B3423" w:rsidRDefault="001A218B" w:rsidP="001A218B">
      <w:pPr>
        <w:jc w:val="both"/>
        <w:rPr>
          <w:rStyle w:val="FontStyle51"/>
        </w:rPr>
      </w:pPr>
      <w:r>
        <w:rPr>
          <w:rStyle w:val="FontStyle51"/>
        </w:rPr>
        <w:t>Na</w:t>
      </w:r>
      <w:r w:rsidRPr="00D53A3E">
        <w:rPr>
          <w:rStyle w:val="FontStyle51"/>
        </w:rPr>
        <w:t xml:space="preserve"> realizáciu projektov v</w:t>
      </w:r>
      <w:r>
        <w:rPr>
          <w:rStyle w:val="FontStyle51"/>
        </w:rPr>
        <w:t> </w:t>
      </w:r>
      <w:r w:rsidRPr="00D53A3E">
        <w:rPr>
          <w:rStyle w:val="FontStyle51"/>
        </w:rPr>
        <w:t>rámci O</w:t>
      </w:r>
      <w:r>
        <w:rPr>
          <w:rStyle w:val="FontStyle51"/>
        </w:rPr>
        <w:t xml:space="preserve">peračného programu Doprava 2007 – 2013 bolo </w:t>
      </w:r>
      <w:r w:rsidRPr="00D53A3E">
        <w:rPr>
          <w:rStyle w:val="FontStyle51"/>
        </w:rPr>
        <w:t xml:space="preserve">vyčlenených </w:t>
      </w:r>
      <w:r>
        <w:rPr>
          <w:rStyle w:val="FontStyle51"/>
        </w:rPr>
        <w:t>3,16 </w:t>
      </w:r>
      <w:r w:rsidRPr="00D53A3E">
        <w:rPr>
          <w:rStyle w:val="FontStyle51"/>
        </w:rPr>
        <w:t xml:space="preserve">mld. </w:t>
      </w:r>
      <w:r>
        <w:rPr>
          <w:rStyle w:val="FontStyle51"/>
        </w:rPr>
        <w:t>EUR</w:t>
      </w:r>
      <w:r w:rsidRPr="00D53A3E">
        <w:rPr>
          <w:rStyle w:val="FontStyle51"/>
        </w:rPr>
        <w:t>, čo</w:t>
      </w:r>
      <w:r>
        <w:rPr>
          <w:rStyle w:val="FontStyle51"/>
        </w:rPr>
        <w:t xml:space="preserve"> bolo najviac zo všetkých programov</w:t>
      </w:r>
      <w:r w:rsidRPr="00D53A3E">
        <w:rPr>
          <w:rStyle w:val="FontStyle51"/>
        </w:rPr>
        <w:t xml:space="preserve"> </w:t>
      </w:r>
      <w:r>
        <w:rPr>
          <w:rStyle w:val="FontStyle51"/>
        </w:rPr>
        <w:t xml:space="preserve">Národného strategického referenčného rámca SR </w:t>
      </w:r>
      <w:r w:rsidRPr="00D53A3E">
        <w:rPr>
          <w:rStyle w:val="FontStyle51"/>
        </w:rPr>
        <w:t>2007 – 2013.</w:t>
      </w:r>
      <w:r>
        <w:rPr>
          <w:rStyle w:val="FontStyle51"/>
        </w:rPr>
        <w:t xml:space="preserve"> Obdobnú ambíciu – získať rozhodujúcu časť zdrojov na implementáciu rozvojových zámerov v oblasti</w:t>
      </w:r>
      <w:r w:rsidRPr="00D53A3E">
        <w:rPr>
          <w:rStyle w:val="FontStyle51"/>
        </w:rPr>
        <w:t> dopravnej infraštruktúry a</w:t>
      </w:r>
      <w:r>
        <w:rPr>
          <w:rStyle w:val="FontStyle51"/>
        </w:rPr>
        <w:t> na </w:t>
      </w:r>
      <w:r w:rsidRPr="00D53A3E">
        <w:rPr>
          <w:rStyle w:val="FontStyle51"/>
        </w:rPr>
        <w:t>podporu verejnej osobnej dopravy</w:t>
      </w:r>
      <w:r>
        <w:rPr>
          <w:rStyle w:val="FontStyle51"/>
        </w:rPr>
        <w:t xml:space="preserve"> malo MDVRR SR aj pri negociáciách o rozdelení národnej alokácie </w:t>
      </w:r>
      <w:r w:rsidRPr="00E57693">
        <w:rPr>
          <w:rStyle w:val="FontStyle51"/>
        </w:rPr>
        <w:t>na obdobie rokov</w:t>
      </w:r>
      <w:r>
        <w:rPr>
          <w:rStyle w:val="FontStyle51"/>
        </w:rPr>
        <w:t xml:space="preserve"> 2014 – 2020</w:t>
      </w:r>
      <w:r w:rsidRPr="00D53A3E">
        <w:rPr>
          <w:rStyle w:val="FontStyle51"/>
        </w:rPr>
        <w:t>.</w:t>
      </w:r>
      <w:r>
        <w:rPr>
          <w:rStyle w:val="FontStyle51"/>
        </w:rPr>
        <w:t xml:space="preserve"> </w:t>
      </w:r>
      <w:r w:rsidRPr="00D53A3E">
        <w:rPr>
          <w:rStyle w:val="FontStyle51"/>
        </w:rPr>
        <w:t xml:space="preserve">Základná argumentačná báza </w:t>
      </w:r>
      <w:r>
        <w:rPr>
          <w:rStyle w:val="FontStyle51"/>
        </w:rPr>
        <w:t>vo </w:t>
      </w:r>
      <w:r w:rsidRPr="00D53A3E">
        <w:rPr>
          <w:rStyle w:val="FontStyle51"/>
        </w:rPr>
        <w:t>vzťahu k</w:t>
      </w:r>
      <w:r>
        <w:rPr>
          <w:rStyle w:val="FontStyle51"/>
        </w:rPr>
        <w:t> </w:t>
      </w:r>
      <w:r w:rsidRPr="00D53A3E">
        <w:rPr>
          <w:rStyle w:val="FontStyle51"/>
        </w:rPr>
        <w:t xml:space="preserve">partnerom, či už na národnej úrovni alebo </w:t>
      </w:r>
      <w:r>
        <w:rPr>
          <w:rStyle w:val="FontStyle51"/>
        </w:rPr>
        <w:t>vo vzťahu ku</w:t>
      </w:r>
      <w:r w:rsidRPr="00D53A3E">
        <w:rPr>
          <w:rStyle w:val="FontStyle51"/>
        </w:rPr>
        <w:t xml:space="preserve"> K</w:t>
      </w:r>
      <w:r>
        <w:rPr>
          <w:rStyle w:val="FontStyle51"/>
        </w:rPr>
        <w:t>omisii</w:t>
      </w:r>
      <w:r w:rsidRPr="00D53A3E">
        <w:rPr>
          <w:rStyle w:val="FontStyle51"/>
        </w:rPr>
        <w:t xml:space="preserve">, </w:t>
      </w:r>
      <w:r>
        <w:rPr>
          <w:rStyle w:val="FontStyle51"/>
        </w:rPr>
        <w:t>vychádzala najmä zo </w:t>
      </w:r>
      <w:r w:rsidRPr="00D53A3E">
        <w:rPr>
          <w:rStyle w:val="FontStyle51"/>
        </w:rPr>
        <w:t>skutkov</w:t>
      </w:r>
      <w:r>
        <w:rPr>
          <w:rStyle w:val="FontStyle51"/>
        </w:rPr>
        <w:t>ého stavu</w:t>
      </w:r>
      <w:r w:rsidRPr="00D53A3E">
        <w:rPr>
          <w:rStyle w:val="FontStyle51"/>
        </w:rPr>
        <w:t xml:space="preserve"> v</w:t>
      </w:r>
      <w:r>
        <w:rPr>
          <w:rStyle w:val="FontStyle51"/>
        </w:rPr>
        <w:t> </w:t>
      </w:r>
      <w:r w:rsidRPr="00D53A3E">
        <w:rPr>
          <w:rStyle w:val="FontStyle51"/>
        </w:rPr>
        <w:t xml:space="preserve">oblasti dopravnej infraštruktúry </w:t>
      </w:r>
      <w:r>
        <w:rPr>
          <w:rStyle w:val="FontStyle51"/>
        </w:rPr>
        <w:t>SR</w:t>
      </w:r>
      <w:r w:rsidRPr="00D53A3E">
        <w:rPr>
          <w:rStyle w:val="FontStyle51"/>
        </w:rPr>
        <w:t xml:space="preserve"> (nedobudovaná a</w:t>
      </w:r>
      <w:r>
        <w:rPr>
          <w:rStyle w:val="FontStyle51"/>
        </w:rPr>
        <w:t> </w:t>
      </w:r>
      <w:r w:rsidRPr="00D53A3E">
        <w:rPr>
          <w:rStyle w:val="FontStyle51"/>
        </w:rPr>
        <w:t xml:space="preserve">zastaraná </w:t>
      </w:r>
      <w:r>
        <w:rPr>
          <w:rStyle w:val="FontStyle51"/>
        </w:rPr>
        <w:t xml:space="preserve">sieť). Z ďalších argumentov je možné spomenúť </w:t>
      </w:r>
      <w:r w:rsidRPr="00D53A3E">
        <w:rPr>
          <w:rStyle w:val="FontStyle51"/>
        </w:rPr>
        <w:t>existujúc</w:t>
      </w:r>
      <w:r>
        <w:rPr>
          <w:rStyle w:val="FontStyle51"/>
        </w:rPr>
        <w:t>e</w:t>
      </w:r>
      <w:r w:rsidRPr="00D53A3E">
        <w:rPr>
          <w:rStyle w:val="FontStyle51"/>
        </w:rPr>
        <w:t xml:space="preserve"> medzinárodn</w:t>
      </w:r>
      <w:r>
        <w:rPr>
          <w:rStyle w:val="FontStyle51"/>
        </w:rPr>
        <w:t>é</w:t>
      </w:r>
      <w:r w:rsidRPr="00D53A3E">
        <w:rPr>
          <w:rStyle w:val="FontStyle51"/>
        </w:rPr>
        <w:t xml:space="preserve"> záväzk</w:t>
      </w:r>
      <w:r>
        <w:rPr>
          <w:rStyle w:val="FontStyle51"/>
        </w:rPr>
        <w:t xml:space="preserve">y, ktoré vyplývajú </w:t>
      </w:r>
      <w:r w:rsidRPr="00D53A3E">
        <w:rPr>
          <w:rStyle w:val="FontStyle51"/>
        </w:rPr>
        <w:t xml:space="preserve">SR vo vzťahu </w:t>
      </w:r>
      <w:r>
        <w:rPr>
          <w:rStyle w:val="FontStyle51"/>
        </w:rPr>
        <w:t>k </w:t>
      </w:r>
      <w:r w:rsidRPr="00D53A3E">
        <w:rPr>
          <w:rStyle w:val="FontStyle51"/>
        </w:rPr>
        <w:t xml:space="preserve">budovaniu TEN-T, ako aj </w:t>
      </w:r>
      <w:r>
        <w:rPr>
          <w:rStyle w:val="FontStyle51"/>
        </w:rPr>
        <w:t>všeobecný potenciál</w:t>
      </w:r>
      <w:r w:rsidRPr="00D53A3E">
        <w:rPr>
          <w:rStyle w:val="FontStyle51"/>
        </w:rPr>
        <w:t>, ktorý sa</w:t>
      </w:r>
      <w:r>
        <w:rPr>
          <w:rStyle w:val="FontStyle51"/>
        </w:rPr>
        <w:t xml:space="preserve"> investíciami do d</w:t>
      </w:r>
      <w:r w:rsidRPr="00D53A3E">
        <w:rPr>
          <w:rStyle w:val="FontStyle51"/>
        </w:rPr>
        <w:t xml:space="preserve">opravnej infraštruktúry </w:t>
      </w:r>
      <w:r>
        <w:rPr>
          <w:rStyle w:val="FontStyle51"/>
        </w:rPr>
        <w:t xml:space="preserve">a súvisiacich </w:t>
      </w:r>
      <w:r w:rsidRPr="00D53A3E">
        <w:rPr>
          <w:rStyle w:val="FontStyle51"/>
        </w:rPr>
        <w:t xml:space="preserve">služieb môže prejaviť na hospodárskom raste </w:t>
      </w:r>
      <w:r>
        <w:rPr>
          <w:rStyle w:val="FontStyle51"/>
        </w:rPr>
        <w:t>a raste zamestnanosti</w:t>
      </w:r>
      <w:r w:rsidRPr="00D53A3E">
        <w:rPr>
          <w:rStyle w:val="FontStyle51"/>
        </w:rPr>
        <w:t>.</w:t>
      </w:r>
      <w:r>
        <w:rPr>
          <w:rStyle w:val="FontStyle51"/>
        </w:rPr>
        <w:t xml:space="preserve"> Súčasne boli brané do úvahy odporúčania EK formulované v pozičnom dokumente, ktorý tvorí rámec pre prípravu Partnerskej dohody SR a ktorý odkazuje na potrebu plnenia cieľov stanovených v Stratégii Európa 2020 a Národnom programe reforiem.</w:t>
      </w:r>
    </w:p>
    <w:p w:rsidR="001A218B" w:rsidRDefault="001A218B" w:rsidP="001A218B">
      <w:pPr>
        <w:spacing w:before="180"/>
        <w:jc w:val="both"/>
        <w:rPr>
          <w:rStyle w:val="FontStyle51"/>
        </w:rPr>
      </w:pPr>
      <w:r>
        <w:rPr>
          <w:rStyle w:val="FontStyle51"/>
        </w:rPr>
        <w:t>Na realizáciu projektov v oblasti dopra</w:t>
      </w:r>
      <w:r w:rsidR="00A3669F">
        <w:rPr>
          <w:rStyle w:val="FontStyle51"/>
        </w:rPr>
        <w:t xml:space="preserve">vy je v rámci OPII vyčlenených </w:t>
      </w:r>
      <w:r>
        <w:rPr>
          <w:rStyle w:val="FontStyle51"/>
        </w:rPr>
        <w:t xml:space="preserve">z fondov EÚ </w:t>
      </w:r>
      <w:r>
        <w:rPr>
          <w:rStyle w:val="FontStyle51"/>
          <w:b/>
        </w:rPr>
        <w:t xml:space="preserve"> 3,174</w:t>
      </w:r>
      <w:r w:rsidRPr="000564F2">
        <w:rPr>
          <w:rStyle w:val="FontStyle51"/>
          <w:b/>
        </w:rPr>
        <w:t xml:space="preserve"> mld. EUR</w:t>
      </w:r>
      <w:r>
        <w:rPr>
          <w:rStyle w:val="FontStyle51"/>
        </w:rPr>
        <w:t>. Pre s</w:t>
      </w:r>
      <w:r w:rsidR="00A3669F">
        <w:rPr>
          <w:rStyle w:val="FontStyle51"/>
        </w:rPr>
        <w:t>ektor dopravy boli</w:t>
      </w:r>
      <w:r>
        <w:rPr>
          <w:rStyle w:val="FontStyle51"/>
        </w:rPr>
        <w:t xml:space="preserve"> v rámci p</w:t>
      </w:r>
      <w:r w:rsidR="00A3669F">
        <w:rPr>
          <w:rStyle w:val="FontStyle51"/>
        </w:rPr>
        <w:t>rogramového obdobia 2014 - 2020</w:t>
      </w:r>
      <w:r>
        <w:rPr>
          <w:rStyle w:val="FontStyle51"/>
        </w:rPr>
        <w:t xml:space="preserve"> zároveň vyčlenené zdroje z finančného nástroja NPE, a to v sume  743 mil. EUR (zdroje EÚ). Zdroje nástroja NPE by mali byť použité prioritne na výstavbu a modernizáciu železničn</w:t>
      </w:r>
      <w:r w:rsidR="00D07336">
        <w:rPr>
          <w:rStyle w:val="FontStyle51"/>
        </w:rPr>
        <w:t>ých koridorov (pozri tiež kap. 8</w:t>
      </w:r>
      <w:r>
        <w:rPr>
          <w:rStyle w:val="FontStyle51"/>
        </w:rPr>
        <w:t xml:space="preserve">.2). Na základe analýzy potrieb spracovanej pri tvorbe OPII-D </w:t>
      </w:r>
      <w:r w:rsidR="00986FA0">
        <w:rPr>
          <w:rStyle w:val="FontStyle51"/>
        </w:rPr>
        <w:t>(Strategický plán</w:t>
      </w:r>
      <w:r w:rsidR="005A1A06">
        <w:rPr>
          <w:rStyle w:val="FontStyle51"/>
        </w:rPr>
        <w:t xml:space="preserve">) </w:t>
      </w:r>
      <w:r>
        <w:rPr>
          <w:rStyle w:val="FontStyle51"/>
        </w:rPr>
        <w:t>predstavujú náklady na výstavbu a modernizáciu dopravnej infraštruktúry (železničná, cestná a vodná doprava) v rámci siete TEN-T do roku 2020 cca 6,82 mld. EUR, čo značne prekračuje možnosti verejných financií.</w:t>
      </w:r>
    </w:p>
    <w:p w:rsidR="004E4DC3" w:rsidRPr="00E15D0E" w:rsidRDefault="004E4DC3" w:rsidP="004E4DC3">
      <w:pPr>
        <w:spacing w:before="180"/>
        <w:jc w:val="both"/>
        <w:rPr>
          <w:rStyle w:val="FontStyle51"/>
        </w:rPr>
      </w:pPr>
      <w:r w:rsidRPr="00E15D0E">
        <w:rPr>
          <w:rStyle w:val="FontStyle51"/>
        </w:rPr>
        <w:t xml:space="preserve">Snahou MDVRR SR je adekvátnym spôsobom podporovať všetky dopravné módy a na území Slovenskej republiky budovať kvalitný, nákladovo-efektívny a vyvážený dopravný systém, ktorý bude schopný reagovať na skutočné potreby EÚ a SR </w:t>
      </w:r>
      <w:r w:rsidR="00C23EEE">
        <w:rPr>
          <w:rStyle w:val="FontStyle51"/>
        </w:rPr>
        <w:t>v súvislosti s jednotným trhom.</w:t>
      </w:r>
    </w:p>
    <w:p w:rsidR="004E4DC3" w:rsidRPr="00E15D0E" w:rsidRDefault="004E4DC3" w:rsidP="004E4DC3">
      <w:pPr>
        <w:spacing w:before="180"/>
        <w:jc w:val="both"/>
        <w:rPr>
          <w:rStyle w:val="FontStyle51"/>
        </w:rPr>
      </w:pPr>
      <w:r w:rsidRPr="00E15D0E">
        <w:rPr>
          <w:rStyle w:val="FontStyle51"/>
        </w:rPr>
        <w:t xml:space="preserve">Z pohľadu ďalšieho rozvoja ekonomiky SR predstavuje prioritu predovšetkým výstavba novej nadradenej cestnej infraštruktúry, absencia </w:t>
      </w:r>
      <w:r w:rsidR="00C23EEE" w:rsidRPr="00E15D0E">
        <w:rPr>
          <w:rStyle w:val="FontStyle51"/>
        </w:rPr>
        <w:t xml:space="preserve">ktorej </w:t>
      </w:r>
      <w:r w:rsidRPr="00E15D0E">
        <w:rPr>
          <w:rStyle w:val="FontStyle51"/>
        </w:rPr>
        <w:t>sa dlhodobo negatívne premieta v oblastiach hospodárstva, životného prostredia, zdravia obyvateľov a ktorá tvorí prekážku v mobilite obyvateľstva, znižuje atraktivitu územia predovšetkým z pohľadu prílevu investícií. Aktuálne využívané paralelné úseky ciest I. triedy nespĺňajú kapacitné, bezpečnostné a kvalitatívne parametre. Ako priorita pre programové obdobie 2014</w:t>
      </w:r>
      <w:r w:rsidR="00C23EEE">
        <w:rPr>
          <w:rStyle w:val="FontStyle51"/>
        </w:rPr>
        <w:t xml:space="preserve"> </w:t>
      </w:r>
      <w:r w:rsidRPr="00E15D0E">
        <w:rPr>
          <w:rStyle w:val="FontStyle51"/>
        </w:rPr>
        <w:t>-</w:t>
      </w:r>
      <w:r w:rsidR="00C23EEE">
        <w:rPr>
          <w:rStyle w:val="FontStyle51"/>
        </w:rPr>
        <w:t xml:space="preserve"> </w:t>
      </w:r>
      <w:r w:rsidRPr="00E15D0E">
        <w:rPr>
          <w:rStyle w:val="FontStyle51"/>
        </w:rPr>
        <w:t>2020 je tak označená potreba dokončiť a skvalitniť sieť diaľnic a rýchlostných ciest TEN-T, ako aj zlepšiť dostupnosť menej rozvinutých regiónov prostredníctvom ich napojenia na sieť TEN-T. Na tieto ciele je alokovaných 43,90 % zdrojov OPII-D a NPE.</w:t>
      </w:r>
    </w:p>
    <w:p w:rsidR="004E4DC3" w:rsidRDefault="004E4DC3" w:rsidP="004E4DC3">
      <w:pPr>
        <w:spacing w:before="180"/>
        <w:jc w:val="both"/>
        <w:rPr>
          <w:rStyle w:val="FontStyle51"/>
        </w:rPr>
      </w:pPr>
      <w:r w:rsidRPr="00E15D0E">
        <w:rPr>
          <w:rStyle w:val="FontStyle51"/>
        </w:rPr>
        <w:t>Aj napriek strategickému významu investícií do budovania nových diaľnic a rýchlostných ciest, keď hustota ich siete výrazne zaostáva za európskym priemerom, neopomína S</w:t>
      </w:r>
      <w:r>
        <w:rPr>
          <w:rStyle w:val="FontStyle51"/>
        </w:rPr>
        <w:t>R</w:t>
      </w:r>
      <w:r w:rsidRPr="00E15D0E">
        <w:rPr>
          <w:rStyle w:val="FontStyle51"/>
        </w:rPr>
        <w:t xml:space="preserve"> ani rozvoj tzv. environmentálne prijateľnejších módov dopravy, akými sú železničná, vodná a verejná osobná </w:t>
      </w:r>
      <w:r w:rsidRPr="00E15D0E">
        <w:rPr>
          <w:rStyle w:val="FontStyle51"/>
        </w:rPr>
        <w:lastRenderedPageBreak/>
        <w:t>doprava. V súlade s požiadavkou EK, aby minimálne 50 % výd</w:t>
      </w:r>
      <w:r w:rsidR="00C23EEE">
        <w:rPr>
          <w:rStyle w:val="FontStyle51"/>
        </w:rPr>
        <w:t>avkov z EŠIF a NPE smerovalo na </w:t>
      </w:r>
      <w:r w:rsidRPr="00E15D0E">
        <w:rPr>
          <w:rStyle w:val="FontStyle51"/>
        </w:rPr>
        <w:t>podporu železníc a mestskej dopravy (mimo trolejbusov a autobusov), bola alokácia OPII-D rozdelená medzi jednotlivé dopravné sektory. Na ciele v oblasti železníc vrátane mestskej dopravy bolo alokovaných 50,48 % zdrojov OPII-D a NPE. V prípade zohľadnenia podpory sektora vodnej dopravy v rozsahu 2,97 % z alokácie OPII-D a NPE, tak na podporu environmentálne prijateľnejších dopravných módov smeruje až 53,45 % z alokácie OPII-D a NPE.</w:t>
      </w:r>
    </w:p>
    <w:p w:rsidR="00A46625" w:rsidRDefault="001A218B" w:rsidP="00740654">
      <w:pPr>
        <w:pStyle w:val="Nadpis4"/>
      </w:pPr>
      <w:r>
        <w:t>Informačná spoločnosť</w:t>
      </w:r>
    </w:p>
    <w:p w:rsidR="001A218B" w:rsidRPr="004D48BD" w:rsidRDefault="001A218B" w:rsidP="001A218B">
      <w:pPr>
        <w:pStyle w:val="06Normal"/>
        <w:rPr>
          <w:szCs w:val="22"/>
        </w:rPr>
      </w:pPr>
      <w:r w:rsidRPr="004D48BD">
        <w:rPr>
          <w:szCs w:val="22"/>
        </w:rPr>
        <w:t xml:space="preserve">Navrhovaná finančná alokácia pre </w:t>
      </w:r>
      <w:r>
        <w:rPr>
          <w:szCs w:val="22"/>
        </w:rPr>
        <w:t>P</w:t>
      </w:r>
      <w:r w:rsidR="00A24828">
        <w:rPr>
          <w:szCs w:val="22"/>
        </w:rPr>
        <w:t>rioritnú os</w:t>
      </w:r>
      <w:r w:rsidRPr="004D48BD">
        <w:rPr>
          <w:szCs w:val="22"/>
        </w:rPr>
        <w:t xml:space="preserve"> </w:t>
      </w:r>
      <w:r>
        <w:rPr>
          <w:szCs w:val="22"/>
        </w:rPr>
        <w:t>7, ktorá sa zaoberá plnením tematického cieľa 2 je</w:t>
      </w:r>
      <w:r w:rsidR="00A77C61">
        <w:rPr>
          <w:szCs w:val="22"/>
        </w:rPr>
        <w:t> na </w:t>
      </w:r>
      <w:r w:rsidRPr="00E57693">
        <w:rPr>
          <w:szCs w:val="22"/>
        </w:rPr>
        <w:t xml:space="preserve">úrovni </w:t>
      </w:r>
      <w:r>
        <w:rPr>
          <w:szCs w:val="22"/>
        </w:rPr>
        <w:t>841 mil. EUR za zdroje EFRR a</w:t>
      </w:r>
      <w:r w:rsidRPr="00E57693">
        <w:rPr>
          <w:szCs w:val="22"/>
        </w:rPr>
        <w:t xml:space="preserve"> bola stanovená</w:t>
      </w:r>
      <w:r w:rsidRPr="004D48BD">
        <w:rPr>
          <w:szCs w:val="22"/>
        </w:rPr>
        <w:t xml:space="preserve"> na základe:</w:t>
      </w:r>
    </w:p>
    <w:p w:rsidR="001A218B" w:rsidRDefault="001A218B" w:rsidP="0042523B">
      <w:pPr>
        <w:pStyle w:val="08Bullet1"/>
        <w:numPr>
          <w:ilvl w:val="0"/>
          <w:numId w:val="17"/>
        </w:numPr>
        <w:spacing w:before="120"/>
        <w:ind w:left="567"/>
        <w:rPr>
          <w:szCs w:val="22"/>
        </w:rPr>
      </w:pPr>
      <w:r>
        <w:rPr>
          <w:szCs w:val="22"/>
        </w:rPr>
        <w:t>E</w:t>
      </w:r>
      <w:r w:rsidRPr="004D48BD">
        <w:rPr>
          <w:szCs w:val="22"/>
        </w:rPr>
        <w:t>xpertného odhadu náročností jednotlivých aktivít v</w:t>
      </w:r>
      <w:r>
        <w:rPr>
          <w:szCs w:val="22"/>
        </w:rPr>
        <w:t> </w:t>
      </w:r>
      <w:r w:rsidRPr="004D48BD">
        <w:rPr>
          <w:szCs w:val="22"/>
        </w:rPr>
        <w:t>rámci špecifických cieľov z</w:t>
      </w:r>
      <w:r>
        <w:rPr>
          <w:szCs w:val="22"/>
        </w:rPr>
        <w:t> </w:t>
      </w:r>
      <w:r w:rsidRPr="004D48BD">
        <w:rPr>
          <w:szCs w:val="22"/>
        </w:rPr>
        <w:t>pohľadu technologickej infraštruktúry a</w:t>
      </w:r>
      <w:r>
        <w:rPr>
          <w:szCs w:val="22"/>
        </w:rPr>
        <w:t> </w:t>
      </w:r>
      <w:r w:rsidRPr="004D48BD">
        <w:rPr>
          <w:szCs w:val="22"/>
        </w:rPr>
        <w:t>odbornej práce,</w:t>
      </w:r>
    </w:p>
    <w:p w:rsidR="00A77C61" w:rsidRDefault="001A218B" w:rsidP="00A77C61">
      <w:pPr>
        <w:pStyle w:val="08Bullet1"/>
        <w:numPr>
          <w:ilvl w:val="0"/>
          <w:numId w:val="17"/>
        </w:numPr>
        <w:spacing w:before="120"/>
        <w:ind w:left="567"/>
        <w:rPr>
          <w:szCs w:val="22"/>
        </w:rPr>
      </w:pPr>
      <w:r>
        <w:rPr>
          <w:szCs w:val="22"/>
        </w:rPr>
        <w:t>P</w:t>
      </w:r>
      <w:r w:rsidRPr="004D48BD">
        <w:rPr>
          <w:szCs w:val="22"/>
        </w:rPr>
        <w:t>redpokladaného vývoja cien informačných technológií v</w:t>
      </w:r>
      <w:r>
        <w:rPr>
          <w:szCs w:val="22"/>
        </w:rPr>
        <w:t> </w:t>
      </w:r>
      <w:r w:rsidRPr="004D48BD">
        <w:rPr>
          <w:szCs w:val="22"/>
        </w:rPr>
        <w:t>období 2014 až 2020,</w:t>
      </w:r>
    </w:p>
    <w:p w:rsidR="00A77C61" w:rsidRDefault="001A218B" w:rsidP="00A77C61">
      <w:pPr>
        <w:pStyle w:val="08Bullet1"/>
        <w:numPr>
          <w:ilvl w:val="0"/>
          <w:numId w:val="17"/>
        </w:numPr>
        <w:spacing w:before="120"/>
        <w:ind w:left="567"/>
        <w:rPr>
          <w:szCs w:val="22"/>
        </w:rPr>
      </w:pPr>
      <w:r w:rsidRPr="00A77C61">
        <w:rPr>
          <w:szCs w:val="22"/>
        </w:rPr>
        <w:t>Predpokladaného vývoja cien odbornej práce v období 2014 až 2020,</w:t>
      </w:r>
    </w:p>
    <w:p w:rsidR="00A77C61" w:rsidRDefault="001A218B" w:rsidP="00A77C61">
      <w:pPr>
        <w:pStyle w:val="08Bullet1"/>
        <w:numPr>
          <w:ilvl w:val="0"/>
          <w:numId w:val="17"/>
        </w:numPr>
        <w:spacing w:before="120"/>
        <w:ind w:left="567"/>
        <w:rPr>
          <w:szCs w:val="22"/>
        </w:rPr>
      </w:pPr>
      <w:r w:rsidRPr="00A77C61">
        <w:t>Absorpčnej kapacity potenciálnych žiadateľov, ktorá je určená na základe skúseností z predchádzajúceho programového obdobia 2007 až 2013,</w:t>
      </w:r>
    </w:p>
    <w:p w:rsidR="001A218B" w:rsidRPr="00A77C61" w:rsidRDefault="001A218B" w:rsidP="00A77C61">
      <w:pPr>
        <w:pStyle w:val="08Bullet1"/>
        <w:numPr>
          <w:ilvl w:val="0"/>
          <w:numId w:val="17"/>
        </w:numPr>
        <w:spacing w:before="120"/>
        <w:ind w:left="567"/>
        <w:rPr>
          <w:szCs w:val="22"/>
        </w:rPr>
      </w:pPr>
      <w:r w:rsidRPr="00A77C61">
        <w:rPr>
          <w:szCs w:val="22"/>
        </w:rPr>
        <w:t>Analýzy nákladov zavádzania širokopásmového pripojenia.</w:t>
      </w:r>
    </w:p>
    <w:p w:rsidR="001A218B" w:rsidRDefault="001A218B" w:rsidP="001A218B">
      <w:pPr>
        <w:pStyle w:val="08Bullet1"/>
        <w:numPr>
          <w:ilvl w:val="0"/>
          <w:numId w:val="0"/>
        </w:numPr>
        <w:rPr>
          <w:szCs w:val="22"/>
        </w:rPr>
      </w:pPr>
      <w:r w:rsidRPr="00D8346D">
        <w:rPr>
          <w:szCs w:val="22"/>
        </w:rPr>
        <w:t xml:space="preserve">Pre konkretizáciu finančnej alokácie </w:t>
      </w:r>
      <w:r w:rsidR="00ED2E1C">
        <w:rPr>
          <w:szCs w:val="22"/>
        </w:rPr>
        <w:t xml:space="preserve">Prioritnej osi 7 </w:t>
      </w:r>
      <w:r w:rsidRPr="00D8346D">
        <w:rPr>
          <w:szCs w:val="22"/>
        </w:rPr>
        <w:t>bola navrhnutá roadmapa eGovernmentu, ktorá definuje základný rámec pre</w:t>
      </w:r>
      <w:r>
        <w:rPr>
          <w:szCs w:val="22"/>
        </w:rPr>
        <w:t xml:space="preserve"> zásobník projektov obsahujúci:</w:t>
      </w:r>
    </w:p>
    <w:p w:rsidR="001A218B" w:rsidRPr="00D8346D" w:rsidRDefault="001A218B" w:rsidP="0042523B">
      <w:pPr>
        <w:pStyle w:val="08Bullet1"/>
        <w:numPr>
          <w:ilvl w:val="0"/>
          <w:numId w:val="17"/>
        </w:numPr>
        <w:ind w:left="567" w:hanging="283"/>
        <w:rPr>
          <w:szCs w:val="22"/>
        </w:rPr>
      </w:pPr>
      <w:r w:rsidRPr="00D8346D">
        <w:rPr>
          <w:szCs w:val="22"/>
        </w:rPr>
        <w:t>Zoznam projektov, ich prioritu a indikované náklady</w:t>
      </w:r>
      <w:r w:rsidR="00ED2E1C">
        <w:rPr>
          <w:szCs w:val="22"/>
        </w:rPr>
        <w:t>,</w:t>
      </w:r>
    </w:p>
    <w:p w:rsidR="001A218B" w:rsidRPr="00D8346D" w:rsidRDefault="001A218B" w:rsidP="0042523B">
      <w:pPr>
        <w:pStyle w:val="08Bullet1"/>
        <w:numPr>
          <w:ilvl w:val="0"/>
          <w:numId w:val="17"/>
        </w:numPr>
        <w:ind w:left="567" w:hanging="283"/>
        <w:rPr>
          <w:szCs w:val="22"/>
        </w:rPr>
      </w:pPr>
      <w:r w:rsidRPr="00D8346D">
        <w:rPr>
          <w:szCs w:val="22"/>
        </w:rPr>
        <w:t xml:space="preserve">Základné etapy implementácie v budúcom období – v prvej etape by sa </w:t>
      </w:r>
      <w:r>
        <w:rPr>
          <w:szCs w:val="22"/>
        </w:rPr>
        <w:t>po nevyhnutných zmenách súvisiacich s technologickým pokrokom a cieľmi OPII r</w:t>
      </w:r>
      <w:r w:rsidRPr="00D8346D">
        <w:rPr>
          <w:szCs w:val="22"/>
        </w:rPr>
        <w:t>ealizovali relevantné projekty, ktoré neboli uskutočnené v programovom období 2007 až 201</w:t>
      </w:r>
      <w:r>
        <w:rPr>
          <w:szCs w:val="22"/>
        </w:rPr>
        <w:t>3</w:t>
      </w:r>
      <w:r w:rsidRPr="00D8346D">
        <w:rPr>
          <w:szCs w:val="22"/>
        </w:rPr>
        <w:t>,</w:t>
      </w:r>
    </w:p>
    <w:p w:rsidR="001A218B" w:rsidRPr="00D8346D" w:rsidRDefault="001A218B" w:rsidP="0042523B">
      <w:pPr>
        <w:pStyle w:val="08Bullet1"/>
        <w:numPr>
          <w:ilvl w:val="0"/>
          <w:numId w:val="17"/>
        </w:numPr>
        <w:ind w:left="567" w:hanging="283"/>
        <w:rPr>
          <w:szCs w:val="22"/>
        </w:rPr>
      </w:pPr>
      <w:r w:rsidRPr="00D8346D">
        <w:rPr>
          <w:szCs w:val="22"/>
        </w:rPr>
        <w:t>Prepojenie projektov s intervenčnou logikou projektu: aktivity pre pr</w:t>
      </w:r>
      <w:r>
        <w:rPr>
          <w:szCs w:val="22"/>
        </w:rPr>
        <w:t>íslušné špecifické ciele a </w:t>
      </w:r>
      <w:r w:rsidRPr="00D8346D">
        <w:rPr>
          <w:szCs w:val="22"/>
        </w:rPr>
        <w:t>prínos k výsledkovým a výstupovým indikátorom,</w:t>
      </w:r>
    </w:p>
    <w:p w:rsidR="001A218B" w:rsidRDefault="001A218B" w:rsidP="0042523B">
      <w:pPr>
        <w:pStyle w:val="08Bullet1"/>
        <w:numPr>
          <w:ilvl w:val="0"/>
          <w:numId w:val="17"/>
        </w:numPr>
        <w:spacing w:after="0"/>
        <w:ind w:left="567" w:hanging="283"/>
        <w:rPr>
          <w:szCs w:val="22"/>
        </w:rPr>
      </w:pPr>
      <w:r w:rsidRPr="00D8346D">
        <w:rPr>
          <w:szCs w:val="22"/>
        </w:rPr>
        <w:t>Prehľad potrebných legislatívnych zmien</w:t>
      </w:r>
      <w:r>
        <w:rPr>
          <w:szCs w:val="22"/>
        </w:rPr>
        <w:t>.</w:t>
      </w:r>
    </w:p>
    <w:p w:rsidR="001A218B" w:rsidRDefault="001A218B" w:rsidP="001A218B">
      <w:pPr>
        <w:spacing w:before="240" w:after="120"/>
        <w:jc w:val="both"/>
        <w:rPr>
          <w:sz w:val="22"/>
          <w:szCs w:val="22"/>
        </w:rPr>
      </w:pPr>
      <w:r w:rsidRPr="004D48BD">
        <w:rPr>
          <w:sz w:val="22"/>
          <w:szCs w:val="22"/>
        </w:rPr>
        <w:t>Dá sa očakávať, že realizácia investícií v</w:t>
      </w:r>
      <w:r>
        <w:rPr>
          <w:sz w:val="22"/>
          <w:szCs w:val="22"/>
        </w:rPr>
        <w:t> </w:t>
      </w:r>
      <w:r w:rsidRPr="004D48BD">
        <w:rPr>
          <w:sz w:val="22"/>
          <w:szCs w:val="22"/>
        </w:rPr>
        <w:t>navrhovanom rozsahu pre investičné priority dokáže priniesť stanovené prínosy pre napĺňanie tematického cieľa</w:t>
      </w:r>
      <w:r w:rsidR="00ED2E1C">
        <w:rPr>
          <w:sz w:val="22"/>
          <w:szCs w:val="22"/>
        </w:rPr>
        <w:t xml:space="preserve"> 2</w:t>
      </w:r>
      <w:r w:rsidRPr="004D48BD">
        <w:rPr>
          <w:sz w:val="22"/>
          <w:szCs w:val="22"/>
        </w:rPr>
        <w:t xml:space="preserve"> a</w:t>
      </w:r>
      <w:r>
        <w:rPr>
          <w:sz w:val="22"/>
          <w:szCs w:val="22"/>
        </w:rPr>
        <w:t> </w:t>
      </w:r>
      <w:r w:rsidRPr="004D48BD">
        <w:rPr>
          <w:sz w:val="22"/>
          <w:szCs w:val="22"/>
        </w:rPr>
        <w:t>v</w:t>
      </w:r>
      <w:r>
        <w:rPr>
          <w:sz w:val="22"/>
          <w:szCs w:val="22"/>
        </w:rPr>
        <w:t> </w:t>
      </w:r>
      <w:r w:rsidRPr="004D48BD">
        <w:rPr>
          <w:sz w:val="22"/>
          <w:szCs w:val="22"/>
        </w:rPr>
        <w:t>konečnom dôsledku priniesť udržateľný ra</w:t>
      </w:r>
      <w:r>
        <w:rPr>
          <w:sz w:val="22"/>
          <w:szCs w:val="22"/>
        </w:rPr>
        <w:t>st</w:t>
      </w:r>
      <w:r w:rsidRPr="004D48BD">
        <w:rPr>
          <w:sz w:val="22"/>
          <w:szCs w:val="22"/>
        </w:rPr>
        <w:t xml:space="preserve"> a</w:t>
      </w:r>
      <w:r>
        <w:rPr>
          <w:sz w:val="22"/>
          <w:szCs w:val="22"/>
        </w:rPr>
        <w:t> </w:t>
      </w:r>
      <w:r w:rsidRPr="004D48BD">
        <w:rPr>
          <w:sz w:val="22"/>
          <w:szCs w:val="22"/>
        </w:rPr>
        <w:t>pozitívny ekonomický dopad v</w:t>
      </w:r>
      <w:r>
        <w:rPr>
          <w:sz w:val="22"/>
          <w:szCs w:val="22"/>
        </w:rPr>
        <w:t> </w:t>
      </w:r>
      <w:r w:rsidRPr="004D48BD">
        <w:rPr>
          <w:sz w:val="22"/>
          <w:szCs w:val="22"/>
        </w:rPr>
        <w:t>dlhodobom horizonte.</w:t>
      </w:r>
    </w:p>
    <w:p w:rsidR="001A218B" w:rsidRDefault="001A218B" w:rsidP="001A218B">
      <w:pPr>
        <w:jc w:val="both"/>
        <w:rPr>
          <w:sz w:val="22"/>
          <w:szCs w:val="22"/>
        </w:rPr>
      </w:pPr>
    </w:p>
    <w:p w:rsidR="001A218B" w:rsidRDefault="001A218B" w:rsidP="001A218B">
      <w:pPr>
        <w:pStyle w:val="Tab"/>
        <w:sectPr w:rsidR="001A218B" w:rsidSect="00E641FB">
          <w:headerReference w:type="default" r:id="rId14"/>
          <w:pgSz w:w="11906" w:h="16838"/>
          <w:pgMar w:top="1418" w:right="1361" w:bottom="1304" w:left="1474" w:header="709" w:footer="709" w:gutter="0"/>
          <w:cols w:space="708"/>
          <w:docGrid w:linePitch="360"/>
        </w:sectPr>
      </w:pPr>
    </w:p>
    <w:p w:rsidR="001A218B" w:rsidRDefault="001A218B" w:rsidP="00544A1F">
      <w:pPr>
        <w:pStyle w:val="Tab"/>
        <w:spacing w:before="0"/>
      </w:pPr>
      <w:r w:rsidRPr="00430B9D">
        <w:lastRenderedPageBreak/>
        <w:t>Prehľad investičnej stratégie programu</w:t>
      </w:r>
    </w:p>
    <w:tbl>
      <w:tblPr>
        <w:tblW w:w="142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806"/>
        <w:gridCol w:w="606"/>
        <w:gridCol w:w="1245"/>
        <w:gridCol w:w="1417"/>
        <w:gridCol w:w="2410"/>
        <w:gridCol w:w="2693"/>
        <w:gridCol w:w="2730"/>
        <w:gridCol w:w="2363"/>
      </w:tblGrid>
      <w:tr w:rsidR="00AC7B75" w:rsidRPr="00430B9D" w:rsidTr="00EF2741">
        <w:trPr>
          <w:trHeight w:val="1179"/>
          <w:jc w:val="center"/>
        </w:trPr>
        <w:tc>
          <w:tcPr>
            <w:tcW w:w="806" w:type="dxa"/>
            <w:shd w:val="clear" w:color="auto" w:fill="C6D9F1" w:themeFill="text2" w:themeFillTint="33"/>
            <w:vAlign w:val="center"/>
          </w:tcPr>
          <w:p w:rsidR="00AC7B75" w:rsidRPr="00430B9D" w:rsidRDefault="00AC7B75" w:rsidP="00EF2741">
            <w:pPr>
              <w:pStyle w:val="Style42"/>
              <w:widowControl/>
              <w:spacing w:line="240" w:lineRule="auto"/>
              <w:jc w:val="center"/>
              <w:rPr>
                <w:rStyle w:val="FontStyle83"/>
                <w:b w:val="0"/>
                <w:sz w:val="18"/>
                <w:szCs w:val="18"/>
                <w:lang w:eastAsia="en-US"/>
              </w:rPr>
            </w:pPr>
            <w:r w:rsidRPr="00430B9D">
              <w:rPr>
                <w:rStyle w:val="FontStyle83"/>
                <w:sz w:val="18"/>
                <w:szCs w:val="18"/>
                <w:lang w:eastAsia="en-US"/>
              </w:rPr>
              <w:t>Prioritná os</w:t>
            </w:r>
          </w:p>
        </w:tc>
        <w:tc>
          <w:tcPr>
            <w:tcW w:w="606" w:type="dxa"/>
            <w:shd w:val="clear" w:color="auto" w:fill="C6D9F1" w:themeFill="text2" w:themeFillTint="33"/>
            <w:vAlign w:val="center"/>
          </w:tcPr>
          <w:p w:rsidR="00AC7B75" w:rsidRPr="00430B9D" w:rsidRDefault="00AC7B75" w:rsidP="00EF2741">
            <w:pPr>
              <w:pStyle w:val="Style42"/>
              <w:widowControl/>
              <w:jc w:val="center"/>
              <w:rPr>
                <w:rStyle w:val="FontStyle83"/>
                <w:b w:val="0"/>
                <w:sz w:val="18"/>
                <w:szCs w:val="18"/>
                <w:lang w:eastAsia="en-US"/>
              </w:rPr>
            </w:pPr>
            <w:r w:rsidRPr="00430B9D">
              <w:rPr>
                <w:rStyle w:val="FontStyle83"/>
                <w:sz w:val="18"/>
                <w:szCs w:val="18"/>
                <w:lang w:eastAsia="en-US"/>
              </w:rPr>
              <w:t>Fond</w:t>
            </w:r>
          </w:p>
        </w:tc>
        <w:tc>
          <w:tcPr>
            <w:tcW w:w="1245" w:type="dxa"/>
            <w:shd w:val="clear" w:color="auto" w:fill="C6D9F1" w:themeFill="text2" w:themeFillTint="33"/>
            <w:vAlign w:val="center"/>
          </w:tcPr>
          <w:p w:rsidR="00AC7B75" w:rsidRPr="00430B9D" w:rsidRDefault="00AC7B75" w:rsidP="00EF2741">
            <w:pPr>
              <w:pStyle w:val="Style42"/>
              <w:widowControl/>
              <w:jc w:val="center"/>
              <w:rPr>
                <w:rStyle w:val="FontStyle83"/>
                <w:b w:val="0"/>
                <w:sz w:val="18"/>
                <w:szCs w:val="18"/>
                <w:lang w:eastAsia="en-US"/>
              </w:rPr>
            </w:pPr>
            <w:r w:rsidRPr="00430B9D">
              <w:rPr>
                <w:rStyle w:val="FontStyle83"/>
                <w:sz w:val="18"/>
                <w:szCs w:val="18"/>
                <w:lang w:eastAsia="en-US"/>
              </w:rPr>
              <w:t>Podpora EÚ</w:t>
            </w:r>
            <w:r w:rsidRPr="00430B9D">
              <w:rPr>
                <w:rStyle w:val="FontStyle83"/>
                <w:sz w:val="18"/>
                <w:szCs w:val="18"/>
                <w:lang w:eastAsia="en-US"/>
              </w:rPr>
              <w:br/>
              <w:t>(v EUR)</w:t>
            </w:r>
          </w:p>
        </w:tc>
        <w:tc>
          <w:tcPr>
            <w:tcW w:w="1417" w:type="dxa"/>
            <w:shd w:val="clear" w:color="auto" w:fill="C6D9F1" w:themeFill="text2" w:themeFillTint="33"/>
            <w:vAlign w:val="center"/>
          </w:tcPr>
          <w:p w:rsidR="00AC7B75" w:rsidRPr="00430B9D" w:rsidRDefault="00AC7B75" w:rsidP="00EF2741">
            <w:pPr>
              <w:pStyle w:val="Style42"/>
              <w:widowControl/>
              <w:jc w:val="center"/>
              <w:rPr>
                <w:rStyle w:val="FontStyle83"/>
                <w:b w:val="0"/>
                <w:sz w:val="18"/>
                <w:szCs w:val="18"/>
                <w:lang w:eastAsia="en-US"/>
              </w:rPr>
            </w:pPr>
            <w:r w:rsidRPr="00430B9D">
              <w:rPr>
                <w:rStyle w:val="FontStyle83"/>
                <w:sz w:val="18"/>
                <w:szCs w:val="18"/>
                <w:lang w:eastAsia="en-US"/>
              </w:rPr>
              <w:t>Podiel celkovej podpory EÚ</w:t>
            </w:r>
          </w:p>
          <w:p w:rsidR="00AC7B75" w:rsidRPr="00430B9D" w:rsidRDefault="00AC7B75" w:rsidP="00EF2741">
            <w:pPr>
              <w:pStyle w:val="Style42"/>
              <w:widowControl/>
              <w:spacing w:line="240" w:lineRule="auto"/>
              <w:jc w:val="center"/>
              <w:rPr>
                <w:rStyle w:val="FontStyle83"/>
                <w:b w:val="0"/>
                <w:sz w:val="18"/>
                <w:szCs w:val="18"/>
                <w:lang w:eastAsia="en-US"/>
              </w:rPr>
            </w:pPr>
            <w:r w:rsidRPr="00430B9D">
              <w:rPr>
                <w:rStyle w:val="FontStyle83"/>
                <w:sz w:val="18"/>
                <w:szCs w:val="18"/>
                <w:lang w:eastAsia="en-US"/>
              </w:rPr>
              <w:t>pre operačný program</w:t>
            </w:r>
          </w:p>
          <w:p w:rsidR="00AC7B75" w:rsidRPr="00430B9D" w:rsidRDefault="00AC7B75" w:rsidP="00EF2741">
            <w:pPr>
              <w:pStyle w:val="Style42"/>
              <w:widowControl/>
              <w:spacing w:line="240" w:lineRule="auto"/>
              <w:jc w:val="center"/>
              <w:rPr>
                <w:rStyle w:val="FontStyle83"/>
                <w:b w:val="0"/>
                <w:sz w:val="18"/>
                <w:szCs w:val="18"/>
                <w:lang w:eastAsia="en-US"/>
              </w:rPr>
            </w:pPr>
            <w:r w:rsidRPr="00430B9D">
              <w:rPr>
                <w:rStyle w:val="FontStyle83"/>
                <w:sz w:val="18"/>
                <w:szCs w:val="18"/>
                <w:lang w:eastAsia="en-US"/>
              </w:rPr>
              <w:t>(podľa fondov)</w:t>
            </w:r>
          </w:p>
        </w:tc>
        <w:tc>
          <w:tcPr>
            <w:tcW w:w="2410" w:type="dxa"/>
            <w:shd w:val="clear" w:color="auto" w:fill="C6D9F1" w:themeFill="text2" w:themeFillTint="33"/>
            <w:vAlign w:val="center"/>
          </w:tcPr>
          <w:p w:rsidR="00AC7B75" w:rsidRPr="00430B9D" w:rsidRDefault="00AC7B75" w:rsidP="00EF2741">
            <w:pPr>
              <w:pStyle w:val="Style42"/>
              <w:widowControl/>
              <w:ind w:firstLine="5"/>
              <w:jc w:val="center"/>
              <w:rPr>
                <w:rStyle w:val="FontStyle83"/>
                <w:b w:val="0"/>
                <w:sz w:val="18"/>
                <w:szCs w:val="18"/>
                <w:lang w:eastAsia="en-US"/>
              </w:rPr>
            </w:pPr>
            <w:r w:rsidRPr="00430B9D">
              <w:rPr>
                <w:rStyle w:val="FontStyle83"/>
                <w:sz w:val="18"/>
                <w:szCs w:val="18"/>
                <w:lang w:eastAsia="en-US"/>
              </w:rPr>
              <w:t>Tematický cieľ</w:t>
            </w:r>
          </w:p>
        </w:tc>
        <w:tc>
          <w:tcPr>
            <w:tcW w:w="2693" w:type="dxa"/>
            <w:shd w:val="clear" w:color="auto" w:fill="C6D9F1" w:themeFill="text2" w:themeFillTint="33"/>
            <w:vAlign w:val="center"/>
          </w:tcPr>
          <w:p w:rsidR="00AC7B75" w:rsidRPr="00430B9D" w:rsidRDefault="00AC7B75" w:rsidP="00EF2741">
            <w:pPr>
              <w:pStyle w:val="Style42"/>
              <w:widowControl/>
              <w:jc w:val="center"/>
              <w:rPr>
                <w:rStyle w:val="FontStyle83"/>
                <w:b w:val="0"/>
                <w:sz w:val="18"/>
                <w:szCs w:val="18"/>
                <w:lang w:eastAsia="en-US"/>
              </w:rPr>
            </w:pPr>
            <w:r w:rsidRPr="00430B9D">
              <w:rPr>
                <w:rStyle w:val="FontStyle83"/>
                <w:sz w:val="18"/>
                <w:szCs w:val="18"/>
                <w:lang w:eastAsia="en-US"/>
              </w:rPr>
              <w:t>Investičné priority</w:t>
            </w:r>
          </w:p>
        </w:tc>
        <w:tc>
          <w:tcPr>
            <w:tcW w:w="2730" w:type="dxa"/>
            <w:shd w:val="clear" w:color="auto" w:fill="C6D9F1" w:themeFill="text2" w:themeFillTint="33"/>
            <w:vAlign w:val="center"/>
          </w:tcPr>
          <w:p w:rsidR="00AC7B75" w:rsidRPr="00430B9D" w:rsidRDefault="00AC7B75" w:rsidP="00EF2741">
            <w:pPr>
              <w:pStyle w:val="Style42"/>
              <w:widowControl/>
              <w:jc w:val="center"/>
              <w:rPr>
                <w:rStyle w:val="FontStyle83"/>
                <w:b w:val="0"/>
                <w:sz w:val="18"/>
                <w:szCs w:val="18"/>
                <w:lang w:eastAsia="en-US"/>
              </w:rPr>
            </w:pPr>
            <w:r w:rsidRPr="00430B9D">
              <w:rPr>
                <w:rStyle w:val="FontStyle83"/>
                <w:sz w:val="18"/>
                <w:szCs w:val="18"/>
                <w:lang w:eastAsia="en-US"/>
              </w:rPr>
              <w:t>Špecifické ciele zodpovedajúce investičným prioritám</w:t>
            </w:r>
          </w:p>
        </w:tc>
        <w:tc>
          <w:tcPr>
            <w:tcW w:w="2363" w:type="dxa"/>
            <w:shd w:val="clear" w:color="auto" w:fill="C6D9F1" w:themeFill="text2" w:themeFillTint="33"/>
            <w:vAlign w:val="center"/>
          </w:tcPr>
          <w:p w:rsidR="00AC7B75" w:rsidRPr="00430B9D" w:rsidRDefault="00AC7B75" w:rsidP="00EF2741">
            <w:pPr>
              <w:widowControl w:val="0"/>
              <w:autoSpaceDE w:val="0"/>
              <w:autoSpaceDN w:val="0"/>
              <w:adjustRightInd w:val="0"/>
              <w:spacing w:before="37" w:line="244" w:lineRule="auto"/>
              <w:ind w:right="-51"/>
              <w:jc w:val="center"/>
              <w:rPr>
                <w:rStyle w:val="FontStyle83"/>
                <w:b w:val="0"/>
                <w:sz w:val="18"/>
                <w:szCs w:val="18"/>
                <w:lang w:eastAsia="en-US"/>
              </w:rPr>
            </w:pPr>
            <w:r w:rsidRPr="00430B9D">
              <w:rPr>
                <w:rStyle w:val="FontStyle83"/>
                <w:sz w:val="18"/>
                <w:szCs w:val="18"/>
                <w:lang w:eastAsia="en-US"/>
              </w:rPr>
              <w:t>Špecifické ukazovatele výsledku programu zodpovedajúce špecifickému cieľu</w:t>
            </w:r>
          </w:p>
        </w:tc>
      </w:tr>
      <w:tr w:rsidR="00AC7B75" w:rsidRPr="00430B9D" w:rsidTr="00EF2741">
        <w:trPr>
          <w:trHeight w:val="1119"/>
          <w:jc w:val="center"/>
        </w:trPr>
        <w:tc>
          <w:tcPr>
            <w:tcW w:w="806" w:type="dxa"/>
            <w:vMerge w:val="restart"/>
            <w:vAlign w:val="center"/>
          </w:tcPr>
          <w:p w:rsidR="00AC7B75" w:rsidRPr="00430B9D" w:rsidRDefault="00AC7B75" w:rsidP="00EF2741">
            <w:pPr>
              <w:pStyle w:val="Style40"/>
              <w:widowControl/>
              <w:rPr>
                <w:rStyle w:val="FontStyle93"/>
                <w:sz w:val="18"/>
                <w:szCs w:val="18"/>
                <w:lang w:eastAsia="en-US"/>
              </w:rPr>
            </w:pPr>
            <w:r w:rsidRPr="00430B9D">
              <w:rPr>
                <w:rStyle w:val="FontStyle93"/>
                <w:sz w:val="18"/>
                <w:szCs w:val="18"/>
                <w:lang w:eastAsia="en-US"/>
              </w:rPr>
              <w:t>PO 1</w:t>
            </w:r>
          </w:p>
        </w:tc>
        <w:tc>
          <w:tcPr>
            <w:tcW w:w="606" w:type="dxa"/>
            <w:vMerge w:val="restart"/>
            <w:vAlign w:val="center"/>
          </w:tcPr>
          <w:p w:rsidR="00AC7B75" w:rsidRPr="00430B9D" w:rsidRDefault="00AC7B75" w:rsidP="00EF2741">
            <w:pPr>
              <w:pStyle w:val="Style30"/>
              <w:widowControl/>
              <w:jc w:val="center"/>
              <w:rPr>
                <w:sz w:val="18"/>
                <w:szCs w:val="18"/>
              </w:rPr>
            </w:pPr>
            <w:r w:rsidRPr="00430B9D">
              <w:rPr>
                <w:sz w:val="18"/>
                <w:szCs w:val="18"/>
              </w:rPr>
              <w:t>KF</w:t>
            </w:r>
          </w:p>
        </w:tc>
        <w:tc>
          <w:tcPr>
            <w:tcW w:w="1245" w:type="dxa"/>
            <w:vMerge w:val="restart"/>
            <w:vAlign w:val="center"/>
          </w:tcPr>
          <w:p w:rsidR="00AC7B75" w:rsidRPr="00430B9D" w:rsidRDefault="00AC7B75" w:rsidP="00EF2741">
            <w:pPr>
              <w:pStyle w:val="Style40"/>
              <w:widowControl/>
              <w:jc w:val="right"/>
              <w:rPr>
                <w:rStyle w:val="FontStyle93"/>
                <w:sz w:val="18"/>
                <w:szCs w:val="18"/>
                <w:lang w:eastAsia="de-DE"/>
              </w:rPr>
            </w:pPr>
            <w:r>
              <w:rPr>
                <w:rStyle w:val="FontStyle93"/>
                <w:sz w:val="18"/>
                <w:szCs w:val="18"/>
                <w:lang w:eastAsia="de-DE"/>
              </w:rPr>
              <w:t>725 839 166</w:t>
            </w:r>
          </w:p>
        </w:tc>
        <w:tc>
          <w:tcPr>
            <w:tcW w:w="1417" w:type="dxa"/>
            <w:vMerge w:val="restart"/>
            <w:vAlign w:val="center"/>
          </w:tcPr>
          <w:p w:rsidR="00AC7B75" w:rsidRPr="00C202B6" w:rsidRDefault="00AC7B75" w:rsidP="00EF2741">
            <w:pPr>
              <w:pStyle w:val="Style40"/>
              <w:widowControl/>
              <w:jc w:val="center"/>
              <w:rPr>
                <w:rStyle w:val="FontStyle93"/>
                <w:sz w:val="18"/>
                <w:szCs w:val="18"/>
                <w:lang w:val="en-US" w:eastAsia="de-DE"/>
              </w:rPr>
            </w:pPr>
            <w:r>
              <w:rPr>
                <w:rStyle w:val="FontStyle93"/>
                <w:sz w:val="18"/>
                <w:szCs w:val="18"/>
                <w:lang w:eastAsia="de-DE"/>
              </w:rPr>
              <w:t>18</w:t>
            </w:r>
            <w:r>
              <w:rPr>
                <w:rStyle w:val="FontStyle93"/>
                <w:sz w:val="18"/>
                <w:szCs w:val="18"/>
                <w:lang w:val="en-US" w:eastAsia="de-DE"/>
              </w:rPr>
              <w:t xml:space="preserve"> %</w:t>
            </w:r>
          </w:p>
        </w:tc>
        <w:tc>
          <w:tcPr>
            <w:tcW w:w="2410" w:type="dxa"/>
            <w:vMerge w:val="restart"/>
            <w:vAlign w:val="center"/>
          </w:tcPr>
          <w:p w:rsidR="00AC7B75" w:rsidRPr="00430B9D" w:rsidRDefault="00AC7B75" w:rsidP="00EF2741">
            <w:pPr>
              <w:pStyle w:val="Style40"/>
              <w:widowControl/>
              <w:rPr>
                <w:rStyle w:val="FontStyle93"/>
                <w:sz w:val="18"/>
                <w:szCs w:val="18"/>
                <w:lang w:eastAsia="de-DE"/>
              </w:rPr>
            </w:pPr>
            <w:r w:rsidRPr="00430B9D">
              <w:rPr>
                <w:rStyle w:val="FontStyle93"/>
                <w:sz w:val="18"/>
                <w:szCs w:val="18"/>
                <w:lang w:eastAsia="de-DE"/>
              </w:rPr>
              <w:t>TC 7 – Podpora udržateľnej dopravy a odstraňovanie prekážok v kľúčových sieťových infraštruktúrach</w:t>
            </w:r>
          </w:p>
        </w:tc>
        <w:tc>
          <w:tcPr>
            <w:tcW w:w="2693" w:type="dxa"/>
            <w:vAlign w:val="center"/>
          </w:tcPr>
          <w:p w:rsidR="00AC7B75" w:rsidRPr="00430B9D" w:rsidRDefault="00AC7B75" w:rsidP="00EF2741">
            <w:pPr>
              <w:pStyle w:val="Style40"/>
              <w:widowControl/>
              <w:rPr>
                <w:rStyle w:val="FontStyle93"/>
                <w:sz w:val="18"/>
                <w:szCs w:val="18"/>
                <w:lang w:eastAsia="de-DE"/>
              </w:rPr>
            </w:pPr>
            <w:r w:rsidRPr="00430B9D">
              <w:rPr>
                <w:rStyle w:val="FontStyle93"/>
                <w:sz w:val="18"/>
                <w:szCs w:val="18"/>
                <w:lang w:eastAsia="de-DE"/>
              </w:rPr>
              <w:t>Podpora multimodálneho jednotného európskeho dopravného priestoru pomocou investícií do TEN-T</w:t>
            </w:r>
          </w:p>
        </w:tc>
        <w:tc>
          <w:tcPr>
            <w:tcW w:w="2730" w:type="dxa"/>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1.1 Modernizácia a rozvoj hlavných železničných tratí a uzlov dopravne významných z hľadiska medzinárodnej a vnútroštátnej dopravy</w:t>
            </w:r>
          </w:p>
        </w:tc>
        <w:tc>
          <w:tcPr>
            <w:tcW w:w="2363" w:type="dxa"/>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Úspora času v železničnej doprave</w:t>
            </w:r>
          </w:p>
        </w:tc>
      </w:tr>
      <w:tr w:rsidR="00AC7B75" w:rsidRPr="00430B9D" w:rsidTr="00EF2741">
        <w:trPr>
          <w:trHeight w:val="198"/>
          <w:jc w:val="center"/>
        </w:trPr>
        <w:tc>
          <w:tcPr>
            <w:tcW w:w="806" w:type="dxa"/>
            <w:vMerge/>
          </w:tcPr>
          <w:p w:rsidR="00AC7B75" w:rsidRPr="00430B9D" w:rsidRDefault="00AC7B75" w:rsidP="00EF2741">
            <w:pPr>
              <w:pStyle w:val="Style40"/>
              <w:widowControl/>
              <w:rPr>
                <w:rStyle w:val="FontStyle93"/>
                <w:sz w:val="18"/>
                <w:szCs w:val="18"/>
                <w:lang w:eastAsia="en-US"/>
              </w:rPr>
            </w:pPr>
          </w:p>
        </w:tc>
        <w:tc>
          <w:tcPr>
            <w:tcW w:w="606" w:type="dxa"/>
            <w:vMerge/>
            <w:vAlign w:val="center"/>
          </w:tcPr>
          <w:p w:rsidR="00AC7B75" w:rsidRPr="00430B9D" w:rsidRDefault="00AC7B75" w:rsidP="00EF2741">
            <w:pPr>
              <w:pStyle w:val="Style30"/>
              <w:widowControl/>
              <w:jc w:val="center"/>
              <w:rPr>
                <w:sz w:val="18"/>
                <w:szCs w:val="18"/>
              </w:rPr>
            </w:pPr>
          </w:p>
        </w:tc>
        <w:tc>
          <w:tcPr>
            <w:tcW w:w="1245" w:type="dxa"/>
            <w:vMerge/>
            <w:vAlign w:val="center"/>
          </w:tcPr>
          <w:p w:rsidR="00AC7B75" w:rsidRPr="00430B9D" w:rsidRDefault="00AC7B75" w:rsidP="00EF2741">
            <w:pPr>
              <w:pStyle w:val="Style40"/>
              <w:widowControl/>
              <w:jc w:val="right"/>
              <w:rPr>
                <w:rStyle w:val="FontStyle93"/>
                <w:sz w:val="18"/>
                <w:szCs w:val="18"/>
                <w:lang w:eastAsia="de-DE"/>
              </w:rPr>
            </w:pPr>
          </w:p>
        </w:tc>
        <w:tc>
          <w:tcPr>
            <w:tcW w:w="1417" w:type="dxa"/>
            <w:vMerge/>
          </w:tcPr>
          <w:p w:rsidR="00AC7B75" w:rsidRPr="00430B9D" w:rsidRDefault="00AC7B75" w:rsidP="00EF2741">
            <w:pPr>
              <w:pStyle w:val="Style40"/>
              <w:widowControl/>
              <w:rPr>
                <w:rStyle w:val="FontStyle93"/>
                <w:sz w:val="18"/>
                <w:szCs w:val="18"/>
                <w:lang w:eastAsia="de-DE"/>
              </w:rPr>
            </w:pPr>
          </w:p>
        </w:tc>
        <w:tc>
          <w:tcPr>
            <w:tcW w:w="2410" w:type="dxa"/>
            <w:vMerge/>
          </w:tcPr>
          <w:p w:rsidR="00AC7B75" w:rsidRPr="00430B9D" w:rsidRDefault="00AC7B75" w:rsidP="00EF2741">
            <w:pPr>
              <w:pStyle w:val="Style40"/>
              <w:widowControl/>
              <w:rPr>
                <w:rStyle w:val="FontStyle93"/>
                <w:sz w:val="18"/>
                <w:szCs w:val="18"/>
                <w:lang w:eastAsia="de-DE"/>
              </w:rPr>
            </w:pPr>
          </w:p>
        </w:tc>
        <w:tc>
          <w:tcPr>
            <w:tcW w:w="2693" w:type="dxa"/>
            <w:vMerge w:val="restart"/>
            <w:vAlign w:val="center"/>
          </w:tcPr>
          <w:p w:rsidR="00AC7B75" w:rsidRPr="00430B9D" w:rsidRDefault="00AC7B75" w:rsidP="00EF2741">
            <w:pPr>
              <w:pStyle w:val="Style40"/>
              <w:widowControl/>
              <w:rPr>
                <w:rStyle w:val="FontStyle93"/>
                <w:sz w:val="18"/>
                <w:szCs w:val="18"/>
                <w:lang w:eastAsia="de-DE"/>
              </w:rPr>
            </w:pPr>
            <w:r>
              <w:rPr>
                <w:rStyle w:val="FontStyle93"/>
                <w:sz w:val="18"/>
                <w:szCs w:val="18"/>
                <w:lang w:eastAsia="de-DE"/>
              </w:rPr>
              <w:t>Vývoj a modernizácia komplexných,</w:t>
            </w:r>
            <w:r w:rsidRPr="00430B9D">
              <w:rPr>
                <w:rStyle w:val="FontStyle93"/>
                <w:sz w:val="18"/>
                <w:szCs w:val="18"/>
                <w:lang w:eastAsia="de-DE"/>
              </w:rPr>
              <w:t xml:space="preserve"> inter</w:t>
            </w:r>
            <w:r>
              <w:rPr>
                <w:rStyle w:val="FontStyle93"/>
                <w:sz w:val="18"/>
                <w:szCs w:val="18"/>
                <w:lang w:eastAsia="de-DE"/>
              </w:rPr>
              <w:t>operabilných železničných systémov</w:t>
            </w:r>
            <w:r w:rsidRPr="00430B9D">
              <w:rPr>
                <w:rStyle w:val="FontStyle93"/>
                <w:sz w:val="18"/>
                <w:szCs w:val="18"/>
                <w:lang w:eastAsia="de-DE"/>
              </w:rPr>
              <w:t xml:space="preserve"> vysokej kvality</w:t>
            </w:r>
            <w:r>
              <w:rPr>
                <w:rStyle w:val="FontStyle93"/>
                <w:sz w:val="18"/>
                <w:szCs w:val="18"/>
                <w:lang w:eastAsia="de-DE"/>
              </w:rPr>
              <w:t xml:space="preserve"> a podpora opatrení na znižovanie hluku</w:t>
            </w:r>
          </w:p>
        </w:tc>
        <w:tc>
          <w:tcPr>
            <w:tcW w:w="2730" w:type="dxa"/>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 xml:space="preserve">1.2 </w:t>
            </w:r>
            <w:r>
              <w:rPr>
                <w:color w:val="000000" w:themeColor="text1"/>
                <w:sz w:val="18"/>
                <w:szCs w:val="18"/>
              </w:rPr>
              <w:t>Zlepšenie kvality železničnej infraštruktúry implementáciou vybraných prvkov TSI na najdôležitejších tratiach pre medzinárodnú dopravu</w:t>
            </w:r>
          </w:p>
        </w:tc>
        <w:tc>
          <w:tcPr>
            <w:tcW w:w="2363" w:type="dxa"/>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 xml:space="preserve">Úroveň interoperability železničnej infraštruktúry vyjadrená podielom siete </w:t>
            </w:r>
          </w:p>
          <w:p w:rsidR="00AC7B75" w:rsidRPr="001E38C6" w:rsidRDefault="00AC7B75" w:rsidP="00EF2741">
            <w:pPr>
              <w:pStyle w:val="Style30"/>
              <w:widowControl/>
              <w:rPr>
                <w:color w:val="000000" w:themeColor="text1"/>
                <w:sz w:val="18"/>
                <w:szCs w:val="18"/>
              </w:rPr>
            </w:pPr>
            <w:r w:rsidRPr="001E38C6">
              <w:rPr>
                <w:color w:val="000000" w:themeColor="text1"/>
                <w:sz w:val="18"/>
                <w:szCs w:val="18"/>
              </w:rPr>
              <w:t>TEN-T</w:t>
            </w:r>
            <w:r w:rsidR="00320259">
              <w:rPr>
                <w:color w:val="000000" w:themeColor="text1"/>
                <w:sz w:val="18"/>
                <w:szCs w:val="18"/>
              </w:rPr>
              <w:t xml:space="preserve"> CORE</w:t>
            </w:r>
            <w:r w:rsidRPr="001E38C6">
              <w:rPr>
                <w:color w:val="000000" w:themeColor="text1"/>
                <w:sz w:val="18"/>
                <w:szCs w:val="18"/>
              </w:rPr>
              <w:t xml:space="preserve"> s implementovaným systémom ERTMS</w:t>
            </w:r>
          </w:p>
        </w:tc>
      </w:tr>
      <w:tr w:rsidR="00AC7B75" w:rsidRPr="00430B9D" w:rsidTr="00EF2741">
        <w:trPr>
          <w:trHeight w:val="198"/>
          <w:jc w:val="center"/>
        </w:trPr>
        <w:tc>
          <w:tcPr>
            <w:tcW w:w="806" w:type="dxa"/>
            <w:vMerge/>
          </w:tcPr>
          <w:p w:rsidR="00AC7B75" w:rsidRPr="00430B9D" w:rsidRDefault="00AC7B75" w:rsidP="00EF2741">
            <w:pPr>
              <w:pStyle w:val="Style40"/>
              <w:widowControl/>
              <w:rPr>
                <w:rStyle w:val="FontStyle93"/>
                <w:sz w:val="18"/>
                <w:szCs w:val="18"/>
                <w:lang w:eastAsia="en-US"/>
              </w:rPr>
            </w:pPr>
          </w:p>
        </w:tc>
        <w:tc>
          <w:tcPr>
            <w:tcW w:w="606" w:type="dxa"/>
            <w:vMerge/>
            <w:vAlign w:val="center"/>
          </w:tcPr>
          <w:p w:rsidR="00AC7B75" w:rsidRPr="00430B9D" w:rsidRDefault="00AC7B75" w:rsidP="00EF2741">
            <w:pPr>
              <w:pStyle w:val="Style30"/>
              <w:widowControl/>
              <w:jc w:val="center"/>
              <w:rPr>
                <w:sz w:val="18"/>
                <w:szCs w:val="18"/>
              </w:rPr>
            </w:pPr>
          </w:p>
        </w:tc>
        <w:tc>
          <w:tcPr>
            <w:tcW w:w="1245" w:type="dxa"/>
            <w:vMerge/>
            <w:vAlign w:val="center"/>
          </w:tcPr>
          <w:p w:rsidR="00AC7B75" w:rsidRPr="00430B9D" w:rsidRDefault="00AC7B75" w:rsidP="00EF2741">
            <w:pPr>
              <w:pStyle w:val="Style40"/>
              <w:widowControl/>
              <w:jc w:val="right"/>
              <w:rPr>
                <w:rStyle w:val="FontStyle93"/>
                <w:sz w:val="18"/>
                <w:szCs w:val="18"/>
                <w:lang w:eastAsia="de-DE"/>
              </w:rPr>
            </w:pPr>
          </w:p>
        </w:tc>
        <w:tc>
          <w:tcPr>
            <w:tcW w:w="1417" w:type="dxa"/>
            <w:vMerge/>
          </w:tcPr>
          <w:p w:rsidR="00AC7B75" w:rsidRPr="00430B9D" w:rsidRDefault="00AC7B75" w:rsidP="00EF2741">
            <w:pPr>
              <w:pStyle w:val="Style40"/>
              <w:widowControl/>
              <w:rPr>
                <w:rStyle w:val="FontStyle93"/>
                <w:sz w:val="18"/>
                <w:szCs w:val="18"/>
                <w:lang w:eastAsia="de-DE"/>
              </w:rPr>
            </w:pPr>
          </w:p>
        </w:tc>
        <w:tc>
          <w:tcPr>
            <w:tcW w:w="2410" w:type="dxa"/>
            <w:vMerge/>
          </w:tcPr>
          <w:p w:rsidR="00AC7B75" w:rsidRPr="00430B9D" w:rsidRDefault="00AC7B75" w:rsidP="00EF2741">
            <w:pPr>
              <w:pStyle w:val="Style40"/>
              <w:widowControl/>
              <w:rPr>
                <w:rStyle w:val="FontStyle93"/>
                <w:sz w:val="18"/>
                <w:szCs w:val="18"/>
                <w:lang w:eastAsia="de-DE"/>
              </w:rPr>
            </w:pPr>
          </w:p>
        </w:tc>
        <w:tc>
          <w:tcPr>
            <w:tcW w:w="2693" w:type="dxa"/>
            <w:vMerge/>
            <w:vAlign w:val="center"/>
          </w:tcPr>
          <w:p w:rsidR="00AC7B75" w:rsidRDefault="00AC7B75" w:rsidP="00EF2741">
            <w:pPr>
              <w:pStyle w:val="Style40"/>
              <w:widowControl/>
              <w:rPr>
                <w:rStyle w:val="FontStyle93"/>
                <w:sz w:val="18"/>
                <w:szCs w:val="18"/>
                <w:lang w:eastAsia="de-DE"/>
              </w:rPr>
            </w:pPr>
          </w:p>
        </w:tc>
        <w:tc>
          <w:tcPr>
            <w:tcW w:w="2730" w:type="dxa"/>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 xml:space="preserve">1.3 </w:t>
            </w:r>
            <w:r>
              <w:rPr>
                <w:color w:val="000000" w:themeColor="text1"/>
                <w:sz w:val="18"/>
                <w:szCs w:val="18"/>
              </w:rPr>
              <w:t>Zlepšenie kvality služieb železničnej verejnej osobnej dopravy prostredníctvom obnovy mobilných prostriedkov</w:t>
            </w:r>
          </w:p>
        </w:tc>
        <w:tc>
          <w:tcPr>
            <w:tcW w:w="2363" w:type="dxa"/>
            <w:vAlign w:val="center"/>
          </w:tcPr>
          <w:p w:rsidR="00AC7B75" w:rsidRPr="001E38C6" w:rsidRDefault="004E4DC3" w:rsidP="00EF2741">
            <w:pPr>
              <w:pStyle w:val="Style30"/>
              <w:widowControl/>
              <w:rPr>
                <w:bCs/>
                <w:color w:val="000000" w:themeColor="text1"/>
                <w:sz w:val="18"/>
                <w:szCs w:val="18"/>
              </w:rPr>
            </w:pPr>
            <w:r>
              <w:rPr>
                <w:bCs/>
                <w:color w:val="000000" w:themeColor="text1"/>
                <w:sz w:val="18"/>
                <w:szCs w:val="18"/>
              </w:rPr>
              <w:t>Počet</w:t>
            </w:r>
            <w:r w:rsidR="00AC7B75" w:rsidRPr="001E38C6">
              <w:rPr>
                <w:bCs/>
                <w:color w:val="000000" w:themeColor="text1"/>
                <w:sz w:val="18"/>
                <w:szCs w:val="18"/>
              </w:rPr>
              <w:t xml:space="preserve"> prepravených cestujúcich vo verejnej železničnej osobnej doprave</w:t>
            </w:r>
          </w:p>
        </w:tc>
      </w:tr>
      <w:tr w:rsidR="00AC7B75" w:rsidRPr="00430B9D" w:rsidTr="00EF2741">
        <w:trPr>
          <w:trHeight w:val="1035"/>
          <w:jc w:val="center"/>
        </w:trPr>
        <w:tc>
          <w:tcPr>
            <w:tcW w:w="806" w:type="dxa"/>
            <w:vAlign w:val="center"/>
          </w:tcPr>
          <w:p w:rsidR="00AC7B75" w:rsidRPr="00430B9D" w:rsidRDefault="00AC7B75" w:rsidP="00EF2741">
            <w:pPr>
              <w:pStyle w:val="Style40"/>
              <w:widowControl/>
              <w:rPr>
                <w:rStyle w:val="FontStyle93"/>
                <w:sz w:val="18"/>
                <w:szCs w:val="18"/>
                <w:lang w:eastAsia="en-US"/>
              </w:rPr>
            </w:pPr>
            <w:r w:rsidRPr="00430B9D">
              <w:rPr>
                <w:rStyle w:val="FontStyle93"/>
                <w:sz w:val="18"/>
                <w:szCs w:val="18"/>
                <w:lang w:eastAsia="en-US"/>
              </w:rPr>
              <w:t>PO 2</w:t>
            </w:r>
          </w:p>
        </w:tc>
        <w:tc>
          <w:tcPr>
            <w:tcW w:w="606" w:type="dxa"/>
            <w:vAlign w:val="center"/>
          </w:tcPr>
          <w:p w:rsidR="00AC7B75" w:rsidRPr="00430B9D" w:rsidRDefault="00AC7B75" w:rsidP="00EF2741">
            <w:pPr>
              <w:pStyle w:val="Style30"/>
              <w:widowControl/>
              <w:jc w:val="center"/>
              <w:rPr>
                <w:sz w:val="18"/>
                <w:szCs w:val="18"/>
              </w:rPr>
            </w:pPr>
            <w:r w:rsidRPr="00430B9D">
              <w:rPr>
                <w:sz w:val="18"/>
                <w:szCs w:val="18"/>
              </w:rPr>
              <w:t>KF</w:t>
            </w:r>
          </w:p>
        </w:tc>
        <w:tc>
          <w:tcPr>
            <w:tcW w:w="1245" w:type="dxa"/>
            <w:vAlign w:val="center"/>
          </w:tcPr>
          <w:p w:rsidR="00AC7B75" w:rsidRPr="00430B9D" w:rsidRDefault="00AC7B75" w:rsidP="00EF2741">
            <w:pPr>
              <w:pStyle w:val="Style30"/>
              <w:jc w:val="right"/>
              <w:rPr>
                <w:rStyle w:val="FontStyle93"/>
                <w:sz w:val="18"/>
                <w:szCs w:val="18"/>
                <w:lang w:eastAsia="de-DE"/>
              </w:rPr>
            </w:pPr>
            <w:r w:rsidRPr="00430B9D">
              <w:rPr>
                <w:rStyle w:val="FontStyle93"/>
                <w:sz w:val="18"/>
                <w:szCs w:val="18"/>
                <w:lang w:eastAsia="de-DE"/>
              </w:rPr>
              <w:t>1 142 500 000</w:t>
            </w:r>
          </w:p>
        </w:tc>
        <w:tc>
          <w:tcPr>
            <w:tcW w:w="1417" w:type="dxa"/>
            <w:vAlign w:val="center"/>
          </w:tcPr>
          <w:p w:rsidR="00AC7B75" w:rsidRPr="00430B9D" w:rsidRDefault="00AC7B75" w:rsidP="00EF2741">
            <w:pPr>
              <w:pStyle w:val="Style40"/>
              <w:widowControl/>
              <w:jc w:val="center"/>
              <w:rPr>
                <w:rStyle w:val="FontStyle93"/>
                <w:sz w:val="18"/>
                <w:szCs w:val="18"/>
                <w:lang w:eastAsia="de-DE"/>
              </w:rPr>
            </w:pPr>
            <w:r>
              <w:rPr>
                <w:rStyle w:val="FontStyle93"/>
                <w:sz w:val="18"/>
                <w:szCs w:val="18"/>
                <w:lang w:eastAsia="de-DE"/>
              </w:rPr>
              <w:t>28,3</w:t>
            </w:r>
            <w:r>
              <w:rPr>
                <w:rStyle w:val="FontStyle93"/>
                <w:sz w:val="18"/>
                <w:szCs w:val="18"/>
                <w:lang w:val="en-US" w:eastAsia="de-DE"/>
              </w:rPr>
              <w:t xml:space="preserve"> %</w:t>
            </w:r>
          </w:p>
        </w:tc>
        <w:tc>
          <w:tcPr>
            <w:tcW w:w="2410" w:type="dxa"/>
            <w:vAlign w:val="center"/>
          </w:tcPr>
          <w:p w:rsidR="00AC7B75" w:rsidRPr="00430B9D" w:rsidRDefault="00AC7B75" w:rsidP="00EF2741">
            <w:pPr>
              <w:pStyle w:val="Style40"/>
              <w:widowControl/>
              <w:rPr>
                <w:rStyle w:val="FontStyle93"/>
                <w:sz w:val="18"/>
                <w:szCs w:val="18"/>
                <w:lang w:eastAsia="de-DE"/>
              </w:rPr>
            </w:pPr>
            <w:r w:rsidRPr="00430B9D">
              <w:rPr>
                <w:rStyle w:val="FontStyle93"/>
                <w:sz w:val="18"/>
                <w:szCs w:val="18"/>
                <w:lang w:eastAsia="de-DE"/>
              </w:rPr>
              <w:t>TC 7 – Podpora udržateľnej dopravy a odstraňovanie prekážok v kľúčových sieťových infraštruktúrach</w:t>
            </w:r>
          </w:p>
        </w:tc>
        <w:tc>
          <w:tcPr>
            <w:tcW w:w="2693" w:type="dxa"/>
            <w:vAlign w:val="center"/>
          </w:tcPr>
          <w:p w:rsidR="00AC7B75" w:rsidRPr="00430B9D" w:rsidRDefault="00AC7B75" w:rsidP="00EF2741">
            <w:pPr>
              <w:pStyle w:val="Style40"/>
              <w:widowControl/>
              <w:rPr>
                <w:rStyle w:val="FontStyle93"/>
                <w:sz w:val="18"/>
                <w:szCs w:val="18"/>
                <w:lang w:eastAsia="de-DE"/>
              </w:rPr>
            </w:pPr>
            <w:r w:rsidRPr="00430B9D">
              <w:rPr>
                <w:rStyle w:val="FontStyle93"/>
                <w:sz w:val="18"/>
                <w:szCs w:val="18"/>
                <w:lang w:eastAsia="de-DE"/>
              </w:rPr>
              <w:t>Podpora multimodálneho jednotného európskeho dopravného priestoru pomocou investícií do TEN-T</w:t>
            </w:r>
          </w:p>
        </w:tc>
        <w:tc>
          <w:tcPr>
            <w:tcW w:w="2730" w:type="dxa"/>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2.1 Odstránenie kľúčových úzkych miest na cestnej infraštruktúr</w:t>
            </w:r>
            <w:r>
              <w:rPr>
                <w:color w:val="000000" w:themeColor="text1"/>
                <w:sz w:val="18"/>
                <w:szCs w:val="18"/>
              </w:rPr>
              <w:t>e</w:t>
            </w:r>
            <w:r w:rsidRPr="001E38C6">
              <w:rPr>
                <w:color w:val="000000" w:themeColor="text1"/>
                <w:sz w:val="18"/>
                <w:szCs w:val="18"/>
              </w:rPr>
              <w:t xml:space="preserve"> TEN-T prostredníctvom výstavby nových úsekov diaľnic a rýchlostných ciest </w:t>
            </w:r>
          </w:p>
        </w:tc>
        <w:tc>
          <w:tcPr>
            <w:tcW w:w="2363" w:type="dxa"/>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Úspora času v cestnej doprave</w:t>
            </w:r>
          </w:p>
        </w:tc>
      </w:tr>
      <w:tr w:rsidR="00AC7B75" w:rsidRPr="00430B9D" w:rsidTr="00EF2741">
        <w:trPr>
          <w:trHeight w:val="836"/>
          <w:jc w:val="center"/>
        </w:trPr>
        <w:tc>
          <w:tcPr>
            <w:tcW w:w="806" w:type="dxa"/>
            <w:vMerge w:val="restart"/>
            <w:vAlign w:val="center"/>
          </w:tcPr>
          <w:p w:rsidR="00AC7B75" w:rsidRPr="00430B9D" w:rsidRDefault="00AC7B75" w:rsidP="00EF2741">
            <w:pPr>
              <w:rPr>
                <w:sz w:val="18"/>
                <w:szCs w:val="18"/>
              </w:rPr>
            </w:pPr>
            <w:r w:rsidRPr="00430B9D">
              <w:rPr>
                <w:sz w:val="18"/>
                <w:szCs w:val="18"/>
              </w:rPr>
              <w:t>PO 3</w:t>
            </w:r>
          </w:p>
        </w:tc>
        <w:tc>
          <w:tcPr>
            <w:tcW w:w="606" w:type="dxa"/>
            <w:vMerge w:val="restart"/>
            <w:vAlign w:val="center"/>
          </w:tcPr>
          <w:p w:rsidR="00AC7B75" w:rsidRPr="00430B9D" w:rsidRDefault="00AC7B75" w:rsidP="00EF2741">
            <w:pPr>
              <w:pStyle w:val="Style30"/>
              <w:jc w:val="center"/>
              <w:rPr>
                <w:sz w:val="18"/>
                <w:szCs w:val="18"/>
              </w:rPr>
            </w:pPr>
            <w:r w:rsidRPr="00430B9D">
              <w:rPr>
                <w:sz w:val="18"/>
                <w:szCs w:val="18"/>
              </w:rPr>
              <w:t>KF</w:t>
            </w:r>
          </w:p>
        </w:tc>
        <w:tc>
          <w:tcPr>
            <w:tcW w:w="1245" w:type="dxa"/>
            <w:vMerge w:val="restart"/>
            <w:vAlign w:val="center"/>
          </w:tcPr>
          <w:p w:rsidR="00AC7B75" w:rsidRPr="00430B9D" w:rsidRDefault="00AC7B75" w:rsidP="00EF2741">
            <w:pPr>
              <w:pStyle w:val="Style30"/>
              <w:widowControl/>
              <w:jc w:val="right"/>
              <w:rPr>
                <w:sz w:val="18"/>
                <w:szCs w:val="18"/>
              </w:rPr>
            </w:pPr>
            <w:r>
              <w:rPr>
                <w:sz w:val="18"/>
                <w:szCs w:val="18"/>
              </w:rPr>
              <w:t>322 350 000</w:t>
            </w:r>
          </w:p>
        </w:tc>
        <w:tc>
          <w:tcPr>
            <w:tcW w:w="1417" w:type="dxa"/>
            <w:vMerge w:val="restart"/>
            <w:vAlign w:val="center"/>
          </w:tcPr>
          <w:p w:rsidR="00AC7B75" w:rsidRPr="00430B9D" w:rsidRDefault="00AC7B75" w:rsidP="00EF2741">
            <w:pPr>
              <w:jc w:val="center"/>
              <w:rPr>
                <w:rStyle w:val="FontStyle93"/>
                <w:sz w:val="18"/>
                <w:szCs w:val="18"/>
                <w:lang w:eastAsia="de-DE"/>
              </w:rPr>
            </w:pPr>
            <w:r>
              <w:rPr>
                <w:rStyle w:val="FontStyle93"/>
                <w:sz w:val="18"/>
                <w:szCs w:val="18"/>
                <w:lang w:eastAsia="de-DE"/>
              </w:rPr>
              <w:t>8</w:t>
            </w:r>
            <w:r>
              <w:rPr>
                <w:rStyle w:val="FontStyle93"/>
                <w:sz w:val="18"/>
                <w:szCs w:val="18"/>
                <w:lang w:val="en-US" w:eastAsia="de-DE"/>
              </w:rPr>
              <w:t xml:space="preserve"> %</w:t>
            </w:r>
          </w:p>
        </w:tc>
        <w:tc>
          <w:tcPr>
            <w:tcW w:w="2410" w:type="dxa"/>
            <w:vMerge w:val="restart"/>
            <w:vAlign w:val="center"/>
          </w:tcPr>
          <w:p w:rsidR="00AC7B75" w:rsidRPr="00430B9D" w:rsidRDefault="00AC7B75" w:rsidP="00EF2741">
            <w:pPr>
              <w:rPr>
                <w:sz w:val="18"/>
                <w:szCs w:val="18"/>
              </w:rPr>
            </w:pPr>
            <w:r w:rsidRPr="00430B9D">
              <w:rPr>
                <w:rStyle w:val="FontStyle93"/>
                <w:sz w:val="18"/>
                <w:szCs w:val="18"/>
                <w:lang w:eastAsia="de-DE"/>
              </w:rPr>
              <w:t>TC 7 – Podpora udržateľnej dopravy a odstraňovanie prekážok v kľúčových sieťových infraštruktúrach</w:t>
            </w:r>
          </w:p>
        </w:tc>
        <w:tc>
          <w:tcPr>
            <w:tcW w:w="2693" w:type="dxa"/>
            <w:vMerge w:val="restart"/>
            <w:vAlign w:val="center"/>
          </w:tcPr>
          <w:p w:rsidR="00AC7B75" w:rsidRPr="00430B9D" w:rsidRDefault="00AC7B75" w:rsidP="00EF2741">
            <w:pPr>
              <w:pStyle w:val="Style40"/>
              <w:rPr>
                <w:rStyle w:val="FontStyle93"/>
                <w:sz w:val="18"/>
                <w:szCs w:val="18"/>
                <w:lang w:eastAsia="de-DE"/>
              </w:rPr>
            </w:pPr>
            <w:r>
              <w:rPr>
                <w:rStyle w:val="FontStyle93"/>
                <w:sz w:val="18"/>
                <w:szCs w:val="18"/>
                <w:lang w:eastAsia="de-DE"/>
              </w:rPr>
              <w:t>V</w:t>
            </w:r>
            <w:r w:rsidRPr="00F612CE">
              <w:rPr>
                <w:rStyle w:val="FontStyle93"/>
                <w:sz w:val="18"/>
                <w:szCs w:val="18"/>
                <w:lang w:eastAsia="de-DE"/>
              </w:rPr>
              <w:t>ývoj a zlepšovani</w:t>
            </w:r>
            <w:r>
              <w:rPr>
                <w:rStyle w:val="FontStyle93"/>
                <w:sz w:val="18"/>
                <w:szCs w:val="18"/>
                <w:lang w:eastAsia="de-DE"/>
              </w:rPr>
              <w:t>e</w:t>
            </w:r>
            <w:r w:rsidRPr="00F612CE">
              <w:rPr>
                <w:rStyle w:val="FontStyle93"/>
                <w:sz w:val="18"/>
                <w:szCs w:val="18"/>
                <w:lang w:eastAsia="de-DE"/>
              </w:rPr>
              <w:t xml:space="preserve"> ekologicky priaznivých, vrátane nízkohlukových, a nízkouhlíkových dopravných systémov vrátane vnútrozemských vodných ciest a námornej dopravy, prístavov, multimodálnych prepojení a letiskovej infraštruktúry v záujme podpory udržateľnej regionálnej a miestnej mobility</w:t>
            </w:r>
          </w:p>
        </w:tc>
        <w:tc>
          <w:tcPr>
            <w:tcW w:w="2730" w:type="dxa"/>
            <w:vAlign w:val="center"/>
          </w:tcPr>
          <w:p w:rsidR="00AC7B75" w:rsidRPr="001E38C6" w:rsidRDefault="00AC7B75" w:rsidP="00EF2741">
            <w:pPr>
              <w:pStyle w:val="Style30"/>
              <w:rPr>
                <w:color w:val="000000" w:themeColor="text1"/>
                <w:sz w:val="18"/>
                <w:szCs w:val="18"/>
              </w:rPr>
            </w:pPr>
            <w:r w:rsidRPr="001E38C6">
              <w:rPr>
                <w:color w:val="000000" w:themeColor="text1"/>
                <w:sz w:val="18"/>
                <w:szCs w:val="18"/>
              </w:rPr>
              <w:t xml:space="preserve">3.1 </w:t>
            </w:r>
            <w:r>
              <w:rPr>
                <w:color w:val="000000" w:themeColor="text1"/>
                <w:sz w:val="18"/>
                <w:szCs w:val="18"/>
              </w:rPr>
              <w:t>Zvýšenie atraktivity verejnej osobnej dopravy prostredníctvom zlepšenia kvality infraštruktúry pre IDS a mestskú dráhovú dopravu</w:t>
            </w:r>
          </w:p>
        </w:tc>
        <w:tc>
          <w:tcPr>
            <w:tcW w:w="2363" w:type="dxa"/>
            <w:vAlign w:val="center"/>
          </w:tcPr>
          <w:p w:rsidR="00AC7B75" w:rsidRPr="001E38C6" w:rsidRDefault="00AC7B75" w:rsidP="00EF2741">
            <w:pPr>
              <w:pStyle w:val="Style30"/>
              <w:rPr>
                <w:color w:val="000000" w:themeColor="text1"/>
                <w:sz w:val="18"/>
                <w:szCs w:val="18"/>
              </w:rPr>
            </w:pPr>
            <w:r w:rsidRPr="001E38C6">
              <w:rPr>
                <w:color w:val="000000" w:themeColor="text1"/>
                <w:sz w:val="18"/>
                <w:szCs w:val="18"/>
              </w:rPr>
              <w:t>Úspora času v</w:t>
            </w:r>
            <w:r w:rsidR="009126A9">
              <w:rPr>
                <w:color w:val="000000" w:themeColor="text1"/>
                <w:sz w:val="18"/>
                <w:szCs w:val="18"/>
              </w:rPr>
              <w:t>o verejnej osobnej</w:t>
            </w:r>
            <w:r w:rsidRPr="001E38C6">
              <w:rPr>
                <w:color w:val="000000" w:themeColor="text1"/>
                <w:sz w:val="18"/>
                <w:szCs w:val="18"/>
              </w:rPr>
              <w:t xml:space="preserve"> doprave</w:t>
            </w:r>
          </w:p>
        </w:tc>
      </w:tr>
      <w:tr w:rsidR="00AC7B75" w:rsidRPr="00430B9D" w:rsidTr="00EF2741">
        <w:trPr>
          <w:trHeight w:val="413"/>
          <w:jc w:val="center"/>
        </w:trPr>
        <w:tc>
          <w:tcPr>
            <w:tcW w:w="806" w:type="dxa"/>
            <w:vMerge/>
            <w:vAlign w:val="center"/>
          </w:tcPr>
          <w:p w:rsidR="00AC7B75" w:rsidRPr="00430B9D" w:rsidRDefault="00AC7B75" w:rsidP="00EF2741">
            <w:pPr>
              <w:rPr>
                <w:sz w:val="18"/>
                <w:szCs w:val="18"/>
              </w:rPr>
            </w:pPr>
          </w:p>
        </w:tc>
        <w:tc>
          <w:tcPr>
            <w:tcW w:w="606" w:type="dxa"/>
            <w:vMerge/>
            <w:vAlign w:val="center"/>
          </w:tcPr>
          <w:p w:rsidR="00AC7B75" w:rsidRPr="00430B9D" w:rsidRDefault="00AC7B75" w:rsidP="00EF2741">
            <w:pPr>
              <w:pStyle w:val="Style30"/>
              <w:widowControl/>
              <w:jc w:val="center"/>
              <w:rPr>
                <w:sz w:val="18"/>
                <w:szCs w:val="18"/>
              </w:rPr>
            </w:pPr>
          </w:p>
        </w:tc>
        <w:tc>
          <w:tcPr>
            <w:tcW w:w="1245" w:type="dxa"/>
            <w:vMerge/>
            <w:vAlign w:val="center"/>
          </w:tcPr>
          <w:p w:rsidR="00AC7B75" w:rsidRPr="00430B9D" w:rsidRDefault="00AC7B75" w:rsidP="00EF2741">
            <w:pPr>
              <w:pStyle w:val="Style30"/>
              <w:widowControl/>
              <w:jc w:val="center"/>
              <w:rPr>
                <w:sz w:val="18"/>
                <w:szCs w:val="18"/>
              </w:rPr>
            </w:pPr>
          </w:p>
        </w:tc>
        <w:tc>
          <w:tcPr>
            <w:tcW w:w="1417" w:type="dxa"/>
            <w:vMerge/>
          </w:tcPr>
          <w:p w:rsidR="00AC7B75" w:rsidRPr="00430B9D" w:rsidRDefault="00AC7B75" w:rsidP="00EF2741">
            <w:pPr>
              <w:rPr>
                <w:rStyle w:val="FontStyle93"/>
                <w:sz w:val="18"/>
                <w:szCs w:val="18"/>
                <w:lang w:eastAsia="de-DE"/>
              </w:rPr>
            </w:pPr>
          </w:p>
        </w:tc>
        <w:tc>
          <w:tcPr>
            <w:tcW w:w="2410" w:type="dxa"/>
            <w:vMerge/>
          </w:tcPr>
          <w:p w:rsidR="00AC7B75" w:rsidRPr="00430B9D" w:rsidRDefault="00AC7B75" w:rsidP="00EF2741">
            <w:pPr>
              <w:rPr>
                <w:rStyle w:val="FontStyle93"/>
                <w:sz w:val="18"/>
                <w:szCs w:val="18"/>
                <w:lang w:eastAsia="de-DE"/>
              </w:rPr>
            </w:pPr>
          </w:p>
        </w:tc>
        <w:tc>
          <w:tcPr>
            <w:tcW w:w="2693" w:type="dxa"/>
            <w:vMerge/>
            <w:vAlign w:val="center"/>
          </w:tcPr>
          <w:p w:rsidR="00AC7B75" w:rsidRPr="00430B9D" w:rsidRDefault="00AC7B75" w:rsidP="00EF2741">
            <w:pPr>
              <w:pStyle w:val="Style40"/>
              <w:widowControl/>
              <w:rPr>
                <w:rStyle w:val="FontStyle93"/>
                <w:sz w:val="18"/>
                <w:szCs w:val="18"/>
                <w:lang w:eastAsia="de-DE"/>
              </w:rPr>
            </w:pPr>
          </w:p>
        </w:tc>
        <w:tc>
          <w:tcPr>
            <w:tcW w:w="2730" w:type="dxa"/>
            <w:vMerge w:val="restart"/>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 xml:space="preserve">3.2 </w:t>
            </w:r>
            <w:r>
              <w:rPr>
                <w:color w:val="000000" w:themeColor="text1"/>
                <w:sz w:val="18"/>
                <w:szCs w:val="18"/>
              </w:rPr>
              <w:t>Zvýšenie atraktivity</w:t>
            </w:r>
            <w:r w:rsidR="004E4DC3">
              <w:rPr>
                <w:color w:val="000000" w:themeColor="text1"/>
                <w:sz w:val="18"/>
                <w:szCs w:val="18"/>
              </w:rPr>
              <w:t xml:space="preserve"> a prístupnosti</w:t>
            </w:r>
            <w:r>
              <w:rPr>
                <w:color w:val="000000" w:themeColor="text1"/>
                <w:sz w:val="18"/>
                <w:szCs w:val="18"/>
              </w:rPr>
              <w:t xml:space="preserve"> verejnej osobnej dopravy prostredníctvom obnovy mobilných </w:t>
            </w:r>
            <w:r w:rsidRPr="001E38C6">
              <w:rPr>
                <w:color w:val="000000" w:themeColor="text1"/>
                <w:sz w:val="18"/>
                <w:szCs w:val="18"/>
              </w:rPr>
              <w:t>prostriedkov dráhovej MHD</w:t>
            </w:r>
          </w:p>
        </w:tc>
        <w:tc>
          <w:tcPr>
            <w:tcW w:w="2363" w:type="dxa"/>
            <w:vAlign w:val="center"/>
          </w:tcPr>
          <w:p w:rsidR="00AC7B75" w:rsidRPr="001E38C6" w:rsidRDefault="009126A9" w:rsidP="009126A9">
            <w:pPr>
              <w:pStyle w:val="Style30"/>
              <w:rPr>
                <w:color w:val="000000" w:themeColor="text1"/>
                <w:sz w:val="18"/>
                <w:szCs w:val="18"/>
              </w:rPr>
            </w:pPr>
            <w:r>
              <w:rPr>
                <w:color w:val="000000" w:themeColor="text1"/>
                <w:sz w:val="18"/>
                <w:szCs w:val="18"/>
              </w:rPr>
              <w:t>Počet</w:t>
            </w:r>
            <w:r w:rsidR="00AC7B75" w:rsidRPr="001E38C6">
              <w:rPr>
                <w:color w:val="000000" w:themeColor="text1"/>
                <w:sz w:val="18"/>
                <w:szCs w:val="18"/>
              </w:rPr>
              <w:t xml:space="preserve"> cestujúcich</w:t>
            </w:r>
            <w:r>
              <w:rPr>
                <w:color w:val="000000" w:themeColor="text1"/>
                <w:sz w:val="18"/>
                <w:szCs w:val="18"/>
              </w:rPr>
              <w:t xml:space="preserve"> prepravených</w:t>
            </w:r>
            <w:r w:rsidR="00AC7B75" w:rsidRPr="001E38C6">
              <w:rPr>
                <w:color w:val="000000" w:themeColor="text1"/>
                <w:sz w:val="18"/>
                <w:szCs w:val="18"/>
              </w:rPr>
              <w:t xml:space="preserve"> dráhovou MHD</w:t>
            </w:r>
            <w:r w:rsidR="00AC7B75">
              <w:rPr>
                <w:color w:val="000000" w:themeColor="text1"/>
                <w:sz w:val="18"/>
                <w:szCs w:val="18"/>
              </w:rPr>
              <w:t xml:space="preserve"> v</w:t>
            </w:r>
            <w:r>
              <w:rPr>
                <w:color w:val="000000" w:themeColor="text1"/>
                <w:sz w:val="18"/>
                <w:szCs w:val="18"/>
              </w:rPr>
              <w:t xml:space="preserve"> mestách Bratislava, Košice, Žilina a</w:t>
            </w:r>
            <w:r w:rsidR="00AC7B75">
              <w:rPr>
                <w:color w:val="000000" w:themeColor="text1"/>
                <w:sz w:val="18"/>
                <w:szCs w:val="18"/>
              </w:rPr>
              <w:t xml:space="preserve"> Prešov</w:t>
            </w:r>
          </w:p>
        </w:tc>
      </w:tr>
      <w:tr w:rsidR="00AC7B75" w:rsidRPr="00430B9D" w:rsidTr="00EF2741">
        <w:trPr>
          <w:trHeight w:val="413"/>
          <w:jc w:val="center"/>
        </w:trPr>
        <w:tc>
          <w:tcPr>
            <w:tcW w:w="806" w:type="dxa"/>
            <w:vMerge/>
            <w:vAlign w:val="center"/>
          </w:tcPr>
          <w:p w:rsidR="00AC7B75" w:rsidRPr="00430B9D" w:rsidRDefault="00AC7B75" w:rsidP="00EF2741">
            <w:pPr>
              <w:rPr>
                <w:sz w:val="18"/>
                <w:szCs w:val="18"/>
              </w:rPr>
            </w:pPr>
          </w:p>
        </w:tc>
        <w:tc>
          <w:tcPr>
            <w:tcW w:w="606" w:type="dxa"/>
            <w:vMerge/>
            <w:vAlign w:val="center"/>
          </w:tcPr>
          <w:p w:rsidR="00AC7B75" w:rsidRPr="00430B9D" w:rsidRDefault="00AC7B75" w:rsidP="00EF2741">
            <w:pPr>
              <w:pStyle w:val="Style30"/>
              <w:widowControl/>
              <w:jc w:val="center"/>
              <w:rPr>
                <w:sz w:val="18"/>
                <w:szCs w:val="18"/>
              </w:rPr>
            </w:pPr>
          </w:p>
        </w:tc>
        <w:tc>
          <w:tcPr>
            <w:tcW w:w="1245" w:type="dxa"/>
            <w:vMerge/>
            <w:vAlign w:val="center"/>
          </w:tcPr>
          <w:p w:rsidR="00AC7B75" w:rsidRPr="00430B9D" w:rsidRDefault="00AC7B75" w:rsidP="00EF2741">
            <w:pPr>
              <w:pStyle w:val="Style30"/>
              <w:widowControl/>
              <w:jc w:val="center"/>
              <w:rPr>
                <w:sz w:val="18"/>
                <w:szCs w:val="18"/>
              </w:rPr>
            </w:pPr>
          </w:p>
        </w:tc>
        <w:tc>
          <w:tcPr>
            <w:tcW w:w="1417" w:type="dxa"/>
            <w:vMerge/>
          </w:tcPr>
          <w:p w:rsidR="00AC7B75" w:rsidRPr="00430B9D" w:rsidRDefault="00AC7B75" w:rsidP="00EF2741">
            <w:pPr>
              <w:rPr>
                <w:rStyle w:val="FontStyle93"/>
                <w:sz w:val="18"/>
                <w:szCs w:val="18"/>
                <w:lang w:eastAsia="de-DE"/>
              </w:rPr>
            </w:pPr>
          </w:p>
        </w:tc>
        <w:tc>
          <w:tcPr>
            <w:tcW w:w="2410" w:type="dxa"/>
            <w:vMerge/>
          </w:tcPr>
          <w:p w:rsidR="00AC7B75" w:rsidRPr="00430B9D" w:rsidRDefault="00AC7B75" w:rsidP="00EF2741">
            <w:pPr>
              <w:rPr>
                <w:rStyle w:val="FontStyle93"/>
                <w:sz w:val="18"/>
                <w:szCs w:val="18"/>
                <w:lang w:eastAsia="de-DE"/>
              </w:rPr>
            </w:pPr>
          </w:p>
        </w:tc>
        <w:tc>
          <w:tcPr>
            <w:tcW w:w="2693" w:type="dxa"/>
            <w:vMerge/>
            <w:vAlign w:val="center"/>
          </w:tcPr>
          <w:p w:rsidR="00AC7B75" w:rsidRPr="00430B9D" w:rsidRDefault="00AC7B75" w:rsidP="00EF2741">
            <w:pPr>
              <w:pStyle w:val="Style40"/>
              <w:widowControl/>
              <w:rPr>
                <w:rStyle w:val="FontStyle93"/>
                <w:sz w:val="18"/>
                <w:szCs w:val="18"/>
                <w:lang w:eastAsia="de-DE"/>
              </w:rPr>
            </w:pPr>
          </w:p>
        </w:tc>
        <w:tc>
          <w:tcPr>
            <w:tcW w:w="2730" w:type="dxa"/>
            <w:vMerge/>
            <w:vAlign w:val="center"/>
          </w:tcPr>
          <w:p w:rsidR="00AC7B75" w:rsidRPr="001E38C6" w:rsidRDefault="00AC7B75" w:rsidP="00EF2741">
            <w:pPr>
              <w:pStyle w:val="Style30"/>
              <w:widowControl/>
              <w:rPr>
                <w:color w:val="000000" w:themeColor="text1"/>
                <w:sz w:val="18"/>
                <w:szCs w:val="18"/>
              </w:rPr>
            </w:pPr>
          </w:p>
        </w:tc>
        <w:tc>
          <w:tcPr>
            <w:tcW w:w="2363" w:type="dxa"/>
            <w:vAlign w:val="center"/>
          </w:tcPr>
          <w:p w:rsidR="00AC7B75" w:rsidRPr="001E38C6" w:rsidRDefault="009126A9" w:rsidP="00EF2741">
            <w:pPr>
              <w:pStyle w:val="Style30"/>
              <w:rPr>
                <w:color w:val="000000" w:themeColor="text1"/>
                <w:sz w:val="18"/>
                <w:szCs w:val="18"/>
              </w:rPr>
            </w:pPr>
            <w:r>
              <w:rPr>
                <w:color w:val="000000" w:themeColor="text1"/>
                <w:sz w:val="18"/>
                <w:szCs w:val="18"/>
              </w:rPr>
              <w:t>Podiel</w:t>
            </w:r>
            <w:r w:rsidR="00AC7B75" w:rsidRPr="001E38C6">
              <w:rPr>
                <w:color w:val="000000" w:themeColor="text1"/>
                <w:sz w:val="18"/>
                <w:szCs w:val="18"/>
              </w:rPr>
              <w:t xml:space="preserve"> nízkopodlažných vozidiel dráhovej MHD na celkovom počte dráhových vozidiel, vhodných aj pre cestujúcich s obmedzenou </w:t>
            </w:r>
            <w:r w:rsidR="00AC7B75" w:rsidRPr="001E38C6">
              <w:rPr>
                <w:color w:val="000000" w:themeColor="text1"/>
                <w:sz w:val="18"/>
                <w:szCs w:val="18"/>
              </w:rPr>
              <w:lastRenderedPageBreak/>
              <w:t>mobilitou</w:t>
            </w:r>
          </w:p>
        </w:tc>
      </w:tr>
      <w:tr w:rsidR="004E4DC3" w:rsidRPr="00430B9D" w:rsidTr="004E4DC3">
        <w:trPr>
          <w:trHeight w:val="1690"/>
          <w:jc w:val="center"/>
        </w:trPr>
        <w:tc>
          <w:tcPr>
            <w:tcW w:w="806" w:type="dxa"/>
            <w:vAlign w:val="center"/>
          </w:tcPr>
          <w:p w:rsidR="004E4DC3" w:rsidRPr="00430B9D" w:rsidRDefault="004E4DC3" w:rsidP="00EF2741">
            <w:pPr>
              <w:rPr>
                <w:sz w:val="18"/>
                <w:szCs w:val="18"/>
              </w:rPr>
            </w:pPr>
            <w:r w:rsidRPr="00430B9D">
              <w:rPr>
                <w:sz w:val="18"/>
                <w:szCs w:val="18"/>
              </w:rPr>
              <w:lastRenderedPageBreak/>
              <w:t>PO 4</w:t>
            </w:r>
          </w:p>
        </w:tc>
        <w:tc>
          <w:tcPr>
            <w:tcW w:w="606" w:type="dxa"/>
            <w:vAlign w:val="center"/>
          </w:tcPr>
          <w:p w:rsidR="004E4DC3" w:rsidRPr="00430B9D" w:rsidRDefault="004E4DC3" w:rsidP="00EF2741">
            <w:pPr>
              <w:pStyle w:val="Style30"/>
              <w:widowControl/>
              <w:jc w:val="center"/>
              <w:rPr>
                <w:sz w:val="18"/>
                <w:szCs w:val="18"/>
              </w:rPr>
            </w:pPr>
            <w:r w:rsidRPr="00430B9D">
              <w:rPr>
                <w:sz w:val="18"/>
                <w:szCs w:val="18"/>
              </w:rPr>
              <w:t>KF</w:t>
            </w:r>
          </w:p>
        </w:tc>
        <w:tc>
          <w:tcPr>
            <w:tcW w:w="1245" w:type="dxa"/>
            <w:vAlign w:val="center"/>
          </w:tcPr>
          <w:p w:rsidR="004E4DC3" w:rsidRPr="00430B9D" w:rsidRDefault="004E4DC3" w:rsidP="00EF2741">
            <w:pPr>
              <w:pStyle w:val="Style30"/>
              <w:widowControl/>
              <w:jc w:val="right"/>
              <w:rPr>
                <w:sz w:val="18"/>
                <w:szCs w:val="18"/>
              </w:rPr>
            </w:pPr>
            <w:r w:rsidRPr="00430B9D">
              <w:rPr>
                <w:sz w:val="18"/>
                <w:szCs w:val="18"/>
              </w:rPr>
              <w:t>116 450 000</w:t>
            </w:r>
          </w:p>
        </w:tc>
        <w:tc>
          <w:tcPr>
            <w:tcW w:w="1417" w:type="dxa"/>
            <w:vAlign w:val="center"/>
          </w:tcPr>
          <w:p w:rsidR="004E4DC3" w:rsidRPr="00430B9D" w:rsidRDefault="004E4DC3" w:rsidP="00EF2741">
            <w:pPr>
              <w:jc w:val="center"/>
              <w:rPr>
                <w:rStyle w:val="FontStyle93"/>
                <w:sz w:val="18"/>
                <w:szCs w:val="18"/>
                <w:lang w:eastAsia="de-DE"/>
              </w:rPr>
            </w:pPr>
            <w:r>
              <w:rPr>
                <w:rStyle w:val="FontStyle93"/>
                <w:sz w:val="18"/>
                <w:szCs w:val="18"/>
                <w:lang w:eastAsia="de-DE"/>
              </w:rPr>
              <w:t>2,9</w:t>
            </w:r>
            <w:r>
              <w:rPr>
                <w:rStyle w:val="FontStyle93"/>
                <w:sz w:val="18"/>
                <w:szCs w:val="18"/>
                <w:lang w:val="en-US" w:eastAsia="de-DE"/>
              </w:rPr>
              <w:t xml:space="preserve"> %</w:t>
            </w:r>
          </w:p>
        </w:tc>
        <w:tc>
          <w:tcPr>
            <w:tcW w:w="2410" w:type="dxa"/>
            <w:vAlign w:val="center"/>
          </w:tcPr>
          <w:p w:rsidR="004E4DC3" w:rsidRPr="00430B9D" w:rsidRDefault="004E4DC3" w:rsidP="00EF2741">
            <w:pPr>
              <w:rPr>
                <w:sz w:val="18"/>
                <w:szCs w:val="18"/>
              </w:rPr>
            </w:pPr>
            <w:r w:rsidRPr="00430B9D">
              <w:rPr>
                <w:rStyle w:val="FontStyle93"/>
                <w:sz w:val="18"/>
                <w:szCs w:val="18"/>
                <w:lang w:eastAsia="de-DE"/>
              </w:rPr>
              <w:t>TC 7 – Podpora udržateľnej dopravy a odstraňovanie prekážok v kľúčových sieťových infraštruktúrach</w:t>
            </w:r>
          </w:p>
        </w:tc>
        <w:tc>
          <w:tcPr>
            <w:tcW w:w="2693" w:type="dxa"/>
            <w:vAlign w:val="center"/>
          </w:tcPr>
          <w:p w:rsidR="004E4DC3" w:rsidRPr="00430B9D" w:rsidRDefault="004E4DC3" w:rsidP="00EF2741">
            <w:pPr>
              <w:pStyle w:val="Style40"/>
              <w:widowControl/>
              <w:rPr>
                <w:rStyle w:val="FontStyle93"/>
                <w:sz w:val="18"/>
                <w:szCs w:val="18"/>
                <w:lang w:eastAsia="de-DE"/>
              </w:rPr>
            </w:pPr>
            <w:r w:rsidRPr="00430B9D">
              <w:rPr>
                <w:rStyle w:val="FontStyle93"/>
                <w:sz w:val="18"/>
                <w:szCs w:val="18"/>
                <w:lang w:eastAsia="de-DE"/>
              </w:rPr>
              <w:t>Podpora multimodálneho jednotného európskeho dopravného priestoru pomocou investícií do TEN-T</w:t>
            </w:r>
          </w:p>
        </w:tc>
        <w:tc>
          <w:tcPr>
            <w:tcW w:w="2730" w:type="dxa"/>
            <w:vAlign w:val="center"/>
          </w:tcPr>
          <w:p w:rsidR="004E4DC3" w:rsidRDefault="004E4DC3" w:rsidP="00EF2741">
            <w:pPr>
              <w:pStyle w:val="Style30"/>
              <w:widowControl/>
              <w:rPr>
                <w:sz w:val="18"/>
                <w:szCs w:val="18"/>
              </w:rPr>
            </w:pPr>
            <w:r>
              <w:rPr>
                <w:sz w:val="18"/>
                <w:szCs w:val="18"/>
              </w:rPr>
              <w:t>4.1 Zlepšenie kvality služieb poskytovaných vo verejnom prístave v Bratislave a vytváranie podmienok pre zlepšenie splavnosti dunajskej vodnej cesty</w:t>
            </w:r>
          </w:p>
        </w:tc>
        <w:tc>
          <w:tcPr>
            <w:tcW w:w="2363" w:type="dxa"/>
            <w:vAlign w:val="center"/>
          </w:tcPr>
          <w:p w:rsidR="004E4DC3" w:rsidRDefault="004E4DC3" w:rsidP="00ED4FB3">
            <w:pPr>
              <w:pStyle w:val="Style30"/>
              <w:widowControl/>
              <w:rPr>
                <w:sz w:val="18"/>
                <w:szCs w:val="18"/>
              </w:rPr>
            </w:pPr>
            <w:r>
              <w:rPr>
                <w:sz w:val="18"/>
                <w:szCs w:val="18"/>
              </w:rPr>
              <w:t>Objem zrealizovaný</w:t>
            </w:r>
            <w:r w:rsidR="0097314E">
              <w:rPr>
                <w:sz w:val="18"/>
                <w:szCs w:val="18"/>
              </w:rPr>
              <w:t>ch výkonov nákladnej dopravy vo </w:t>
            </w:r>
            <w:r>
              <w:rPr>
                <w:sz w:val="18"/>
                <w:szCs w:val="18"/>
              </w:rPr>
              <w:t>verejnom prístave Bratislava</w:t>
            </w:r>
          </w:p>
        </w:tc>
      </w:tr>
      <w:tr w:rsidR="00AC7B75" w:rsidRPr="00430B9D" w:rsidTr="00EF2741">
        <w:trPr>
          <w:trHeight w:val="480"/>
          <w:jc w:val="center"/>
        </w:trPr>
        <w:tc>
          <w:tcPr>
            <w:tcW w:w="806" w:type="dxa"/>
            <w:vMerge w:val="restart"/>
            <w:vAlign w:val="center"/>
          </w:tcPr>
          <w:p w:rsidR="00AC7B75" w:rsidRPr="00430B9D" w:rsidRDefault="00AC7B75" w:rsidP="00EF2741">
            <w:pPr>
              <w:rPr>
                <w:sz w:val="18"/>
                <w:szCs w:val="18"/>
              </w:rPr>
            </w:pPr>
            <w:r w:rsidRPr="00430B9D">
              <w:rPr>
                <w:sz w:val="18"/>
                <w:szCs w:val="18"/>
              </w:rPr>
              <w:t>PO 5</w:t>
            </w:r>
          </w:p>
        </w:tc>
        <w:tc>
          <w:tcPr>
            <w:tcW w:w="606" w:type="dxa"/>
            <w:vMerge w:val="restart"/>
            <w:vAlign w:val="center"/>
          </w:tcPr>
          <w:p w:rsidR="00AC7B75" w:rsidRPr="00430B9D" w:rsidRDefault="00AC7B75" w:rsidP="00EF2741">
            <w:pPr>
              <w:pStyle w:val="Style30"/>
              <w:widowControl/>
              <w:jc w:val="center"/>
              <w:rPr>
                <w:sz w:val="18"/>
                <w:szCs w:val="18"/>
              </w:rPr>
            </w:pPr>
            <w:r w:rsidRPr="00430B9D">
              <w:rPr>
                <w:sz w:val="18"/>
                <w:szCs w:val="18"/>
              </w:rPr>
              <w:t>EFRR</w:t>
            </w:r>
          </w:p>
        </w:tc>
        <w:tc>
          <w:tcPr>
            <w:tcW w:w="1245" w:type="dxa"/>
            <w:vMerge w:val="restart"/>
            <w:vAlign w:val="center"/>
          </w:tcPr>
          <w:p w:rsidR="00AC7B75" w:rsidRPr="00430B9D" w:rsidRDefault="00AC7B75" w:rsidP="00EF2741">
            <w:pPr>
              <w:pStyle w:val="Style30"/>
              <w:widowControl/>
              <w:jc w:val="right"/>
              <w:rPr>
                <w:sz w:val="18"/>
                <w:szCs w:val="18"/>
              </w:rPr>
            </w:pPr>
            <w:r w:rsidRPr="00430B9D">
              <w:rPr>
                <w:sz w:val="18"/>
                <w:szCs w:val="18"/>
              </w:rPr>
              <w:t>300 482 227</w:t>
            </w:r>
          </w:p>
        </w:tc>
        <w:tc>
          <w:tcPr>
            <w:tcW w:w="1417" w:type="dxa"/>
            <w:vMerge w:val="restart"/>
            <w:vAlign w:val="center"/>
          </w:tcPr>
          <w:p w:rsidR="00AC7B75" w:rsidRPr="00430B9D" w:rsidRDefault="00AC7B75" w:rsidP="00EF2741">
            <w:pPr>
              <w:jc w:val="center"/>
              <w:rPr>
                <w:rStyle w:val="FontStyle93"/>
                <w:sz w:val="18"/>
                <w:szCs w:val="18"/>
                <w:lang w:eastAsia="de-DE"/>
              </w:rPr>
            </w:pPr>
            <w:r>
              <w:rPr>
                <w:rStyle w:val="FontStyle93"/>
                <w:sz w:val="18"/>
                <w:szCs w:val="18"/>
                <w:lang w:eastAsia="de-DE"/>
              </w:rPr>
              <w:t>7,4</w:t>
            </w:r>
            <w:r>
              <w:rPr>
                <w:rStyle w:val="FontStyle93"/>
                <w:sz w:val="18"/>
                <w:szCs w:val="18"/>
                <w:lang w:val="en-US" w:eastAsia="de-DE"/>
              </w:rPr>
              <w:t xml:space="preserve"> %</w:t>
            </w:r>
          </w:p>
        </w:tc>
        <w:tc>
          <w:tcPr>
            <w:tcW w:w="2410" w:type="dxa"/>
            <w:vMerge w:val="restart"/>
            <w:vAlign w:val="center"/>
          </w:tcPr>
          <w:p w:rsidR="00AC7B75" w:rsidRPr="00430B9D" w:rsidRDefault="00AC7B75" w:rsidP="00EF2741">
            <w:pPr>
              <w:rPr>
                <w:rStyle w:val="FontStyle93"/>
                <w:sz w:val="18"/>
                <w:szCs w:val="18"/>
                <w:lang w:eastAsia="de-DE"/>
              </w:rPr>
            </w:pPr>
            <w:r w:rsidRPr="00430B9D">
              <w:rPr>
                <w:rStyle w:val="FontStyle93"/>
                <w:sz w:val="18"/>
                <w:szCs w:val="18"/>
                <w:lang w:eastAsia="de-DE"/>
              </w:rPr>
              <w:t>TC 7 – Podpora udržateľnej dopravy a odstraňovanie prekážok v kľúčových sieťových infraštruktúrach</w:t>
            </w:r>
          </w:p>
        </w:tc>
        <w:tc>
          <w:tcPr>
            <w:tcW w:w="2693" w:type="dxa"/>
            <w:vMerge w:val="restart"/>
            <w:vAlign w:val="center"/>
          </w:tcPr>
          <w:p w:rsidR="00AC7B75" w:rsidRPr="00430B9D" w:rsidRDefault="00AC7B75" w:rsidP="00EF2741">
            <w:pPr>
              <w:pStyle w:val="Style40"/>
              <w:widowControl/>
              <w:rPr>
                <w:rStyle w:val="FontStyle93"/>
                <w:sz w:val="18"/>
                <w:szCs w:val="18"/>
                <w:lang w:eastAsia="de-DE"/>
              </w:rPr>
            </w:pPr>
            <w:r>
              <w:rPr>
                <w:rStyle w:val="FontStyle93"/>
                <w:sz w:val="18"/>
                <w:szCs w:val="18"/>
                <w:lang w:eastAsia="de-DE"/>
              </w:rPr>
              <w:t>Vývoj a modernizácia komplexných,</w:t>
            </w:r>
            <w:r w:rsidRPr="00430B9D">
              <w:rPr>
                <w:rStyle w:val="FontStyle93"/>
                <w:sz w:val="18"/>
                <w:szCs w:val="18"/>
                <w:lang w:eastAsia="de-DE"/>
              </w:rPr>
              <w:t xml:space="preserve"> inter</w:t>
            </w:r>
            <w:r>
              <w:rPr>
                <w:rStyle w:val="FontStyle93"/>
                <w:sz w:val="18"/>
                <w:szCs w:val="18"/>
                <w:lang w:eastAsia="de-DE"/>
              </w:rPr>
              <w:t>operabilných železničných systémov</w:t>
            </w:r>
            <w:r w:rsidRPr="00430B9D">
              <w:rPr>
                <w:rStyle w:val="FontStyle93"/>
                <w:sz w:val="18"/>
                <w:szCs w:val="18"/>
                <w:lang w:eastAsia="de-DE"/>
              </w:rPr>
              <w:t xml:space="preserve"> vysokej kvality</w:t>
            </w:r>
            <w:r>
              <w:rPr>
                <w:rStyle w:val="FontStyle93"/>
                <w:sz w:val="18"/>
                <w:szCs w:val="18"/>
                <w:lang w:eastAsia="de-DE"/>
              </w:rPr>
              <w:t xml:space="preserve"> a podpora opatrení na znižovanie hluku</w:t>
            </w:r>
          </w:p>
        </w:tc>
        <w:tc>
          <w:tcPr>
            <w:tcW w:w="2730" w:type="dxa"/>
            <w:vMerge w:val="restart"/>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5.1 Modernizácia a rozvoj železničných tratí a súvisiacich objektov dopravne významných z hľadiska medzinárodnej a vnútroštátnej dopravy</w:t>
            </w:r>
            <w:r>
              <w:rPr>
                <w:color w:val="000000" w:themeColor="text1"/>
                <w:sz w:val="18"/>
                <w:szCs w:val="18"/>
              </w:rPr>
              <w:t xml:space="preserve"> (mimo TEN-T CORE)</w:t>
            </w:r>
          </w:p>
        </w:tc>
        <w:tc>
          <w:tcPr>
            <w:tcW w:w="2363" w:type="dxa"/>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Úspora času v železničnej doprave</w:t>
            </w:r>
          </w:p>
        </w:tc>
      </w:tr>
      <w:tr w:rsidR="00AC7B75" w:rsidRPr="00430B9D" w:rsidTr="00EF2741">
        <w:trPr>
          <w:trHeight w:val="495"/>
          <w:jc w:val="center"/>
        </w:trPr>
        <w:tc>
          <w:tcPr>
            <w:tcW w:w="806" w:type="dxa"/>
            <w:vMerge/>
            <w:vAlign w:val="center"/>
          </w:tcPr>
          <w:p w:rsidR="00AC7B75" w:rsidRPr="00430B9D" w:rsidRDefault="00AC7B75" w:rsidP="00EF2741">
            <w:pPr>
              <w:rPr>
                <w:sz w:val="18"/>
                <w:szCs w:val="18"/>
              </w:rPr>
            </w:pPr>
          </w:p>
        </w:tc>
        <w:tc>
          <w:tcPr>
            <w:tcW w:w="606" w:type="dxa"/>
            <w:vMerge/>
            <w:vAlign w:val="center"/>
          </w:tcPr>
          <w:p w:rsidR="00AC7B75" w:rsidRPr="00430B9D" w:rsidRDefault="00AC7B75" w:rsidP="00EF2741">
            <w:pPr>
              <w:pStyle w:val="Style30"/>
              <w:widowControl/>
              <w:jc w:val="center"/>
              <w:rPr>
                <w:sz w:val="18"/>
                <w:szCs w:val="18"/>
              </w:rPr>
            </w:pPr>
          </w:p>
        </w:tc>
        <w:tc>
          <w:tcPr>
            <w:tcW w:w="1245" w:type="dxa"/>
            <w:vMerge/>
            <w:vAlign w:val="center"/>
          </w:tcPr>
          <w:p w:rsidR="00AC7B75" w:rsidRPr="00430B9D" w:rsidRDefault="00AC7B75" w:rsidP="00EF2741">
            <w:pPr>
              <w:pStyle w:val="Style30"/>
              <w:widowControl/>
              <w:jc w:val="right"/>
              <w:rPr>
                <w:sz w:val="18"/>
                <w:szCs w:val="18"/>
              </w:rPr>
            </w:pPr>
          </w:p>
        </w:tc>
        <w:tc>
          <w:tcPr>
            <w:tcW w:w="1417" w:type="dxa"/>
            <w:vMerge/>
            <w:vAlign w:val="center"/>
          </w:tcPr>
          <w:p w:rsidR="00AC7B75" w:rsidRPr="00430B9D" w:rsidRDefault="00AC7B75" w:rsidP="00EF2741">
            <w:pPr>
              <w:jc w:val="center"/>
              <w:rPr>
                <w:rStyle w:val="FontStyle93"/>
                <w:sz w:val="18"/>
                <w:szCs w:val="18"/>
                <w:lang w:eastAsia="de-DE"/>
              </w:rPr>
            </w:pPr>
          </w:p>
        </w:tc>
        <w:tc>
          <w:tcPr>
            <w:tcW w:w="2410" w:type="dxa"/>
            <w:vMerge/>
            <w:vAlign w:val="center"/>
          </w:tcPr>
          <w:p w:rsidR="00AC7B75" w:rsidRPr="00430B9D" w:rsidRDefault="00AC7B75" w:rsidP="00EF2741">
            <w:pPr>
              <w:rPr>
                <w:rStyle w:val="FontStyle93"/>
                <w:sz w:val="18"/>
                <w:szCs w:val="18"/>
                <w:lang w:eastAsia="de-DE"/>
              </w:rPr>
            </w:pPr>
          </w:p>
        </w:tc>
        <w:tc>
          <w:tcPr>
            <w:tcW w:w="2693" w:type="dxa"/>
            <w:vMerge/>
            <w:vAlign w:val="center"/>
          </w:tcPr>
          <w:p w:rsidR="00AC7B75" w:rsidRPr="00430B9D" w:rsidRDefault="00AC7B75" w:rsidP="00EF2741">
            <w:pPr>
              <w:pStyle w:val="Style40"/>
              <w:widowControl/>
              <w:rPr>
                <w:rStyle w:val="FontStyle93"/>
                <w:sz w:val="18"/>
                <w:szCs w:val="18"/>
                <w:lang w:eastAsia="de-DE"/>
              </w:rPr>
            </w:pPr>
          </w:p>
        </w:tc>
        <w:tc>
          <w:tcPr>
            <w:tcW w:w="2730" w:type="dxa"/>
            <w:vMerge/>
            <w:vAlign w:val="center"/>
          </w:tcPr>
          <w:p w:rsidR="00AC7B75" w:rsidRPr="001E38C6" w:rsidRDefault="00AC7B75" w:rsidP="00EF2741">
            <w:pPr>
              <w:pStyle w:val="Style30"/>
              <w:widowControl/>
              <w:rPr>
                <w:color w:val="000000" w:themeColor="text1"/>
                <w:sz w:val="18"/>
                <w:szCs w:val="18"/>
              </w:rPr>
            </w:pPr>
          </w:p>
        </w:tc>
        <w:tc>
          <w:tcPr>
            <w:tcW w:w="2363" w:type="dxa"/>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Miera elektrifikácie železničných tratí</w:t>
            </w:r>
          </w:p>
        </w:tc>
      </w:tr>
      <w:tr w:rsidR="00AC7B75" w:rsidRPr="00430B9D" w:rsidTr="00EF2741">
        <w:trPr>
          <w:trHeight w:val="413"/>
          <w:jc w:val="center"/>
        </w:trPr>
        <w:tc>
          <w:tcPr>
            <w:tcW w:w="806" w:type="dxa"/>
            <w:vMerge/>
            <w:vAlign w:val="center"/>
          </w:tcPr>
          <w:p w:rsidR="00AC7B75" w:rsidRPr="00430B9D" w:rsidRDefault="00AC7B75" w:rsidP="00EF2741">
            <w:pPr>
              <w:rPr>
                <w:sz w:val="18"/>
                <w:szCs w:val="18"/>
              </w:rPr>
            </w:pPr>
          </w:p>
        </w:tc>
        <w:tc>
          <w:tcPr>
            <w:tcW w:w="606" w:type="dxa"/>
            <w:vMerge/>
            <w:vAlign w:val="center"/>
          </w:tcPr>
          <w:p w:rsidR="00AC7B75" w:rsidRPr="00430B9D" w:rsidRDefault="00AC7B75" w:rsidP="00EF2741">
            <w:pPr>
              <w:pStyle w:val="Style30"/>
              <w:widowControl/>
              <w:jc w:val="center"/>
              <w:rPr>
                <w:sz w:val="18"/>
                <w:szCs w:val="18"/>
              </w:rPr>
            </w:pPr>
          </w:p>
        </w:tc>
        <w:tc>
          <w:tcPr>
            <w:tcW w:w="1245" w:type="dxa"/>
            <w:vMerge/>
            <w:vAlign w:val="center"/>
          </w:tcPr>
          <w:p w:rsidR="00AC7B75" w:rsidRPr="00430B9D" w:rsidRDefault="00AC7B75" w:rsidP="00EF2741">
            <w:pPr>
              <w:pStyle w:val="Style30"/>
              <w:widowControl/>
              <w:jc w:val="right"/>
              <w:rPr>
                <w:sz w:val="18"/>
                <w:szCs w:val="18"/>
              </w:rPr>
            </w:pPr>
          </w:p>
        </w:tc>
        <w:tc>
          <w:tcPr>
            <w:tcW w:w="1417" w:type="dxa"/>
            <w:vMerge/>
          </w:tcPr>
          <w:p w:rsidR="00AC7B75" w:rsidRPr="00430B9D" w:rsidRDefault="00AC7B75" w:rsidP="00EF2741">
            <w:pPr>
              <w:rPr>
                <w:rStyle w:val="FontStyle93"/>
                <w:sz w:val="18"/>
                <w:szCs w:val="18"/>
                <w:lang w:eastAsia="de-DE"/>
              </w:rPr>
            </w:pPr>
          </w:p>
        </w:tc>
        <w:tc>
          <w:tcPr>
            <w:tcW w:w="2410" w:type="dxa"/>
            <w:vMerge/>
          </w:tcPr>
          <w:p w:rsidR="00AC7B75" w:rsidRPr="00430B9D" w:rsidRDefault="00AC7B75" w:rsidP="00EF2741">
            <w:pPr>
              <w:rPr>
                <w:rStyle w:val="FontStyle93"/>
                <w:sz w:val="18"/>
                <w:szCs w:val="18"/>
                <w:lang w:eastAsia="de-DE"/>
              </w:rPr>
            </w:pPr>
          </w:p>
        </w:tc>
        <w:tc>
          <w:tcPr>
            <w:tcW w:w="2693" w:type="dxa"/>
            <w:vMerge/>
            <w:vAlign w:val="center"/>
          </w:tcPr>
          <w:p w:rsidR="00AC7B75" w:rsidRPr="00430B9D" w:rsidRDefault="00AC7B75" w:rsidP="00EF2741">
            <w:pPr>
              <w:pStyle w:val="Style40"/>
              <w:widowControl/>
              <w:rPr>
                <w:rStyle w:val="FontStyle93"/>
                <w:sz w:val="18"/>
                <w:szCs w:val="18"/>
                <w:lang w:eastAsia="de-DE"/>
              </w:rPr>
            </w:pPr>
          </w:p>
        </w:tc>
        <w:tc>
          <w:tcPr>
            <w:tcW w:w="2730" w:type="dxa"/>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 xml:space="preserve">5.2 </w:t>
            </w:r>
            <w:r>
              <w:rPr>
                <w:color w:val="000000" w:themeColor="text1"/>
                <w:sz w:val="18"/>
                <w:szCs w:val="18"/>
              </w:rPr>
              <w:t>Zlepšenie kvality železničnej infraštruktúry implementáciou vybraných prvkov TSI na najdôležitejších tratiach pre medzinárodnú dopravu (mimo TEN-T CORE)</w:t>
            </w:r>
          </w:p>
        </w:tc>
        <w:tc>
          <w:tcPr>
            <w:tcW w:w="2363" w:type="dxa"/>
            <w:vAlign w:val="center"/>
          </w:tcPr>
          <w:p w:rsidR="00AC7B75" w:rsidRPr="001E38C6" w:rsidRDefault="004E4DC3" w:rsidP="004E4DC3">
            <w:pPr>
              <w:pStyle w:val="Style30"/>
              <w:widowControl/>
              <w:rPr>
                <w:color w:val="000000" w:themeColor="text1"/>
                <w:sz w:val="18"/>
                <w:szCs w:val="18"/>
              </w:rPr>
            </w:pPr>
            <w:r w:rsidRPr="00974A64">
              <w:rPr>
                <w:color w:val="000000" w:themeColor="text1"/>
                <w:sz w:val="18"/>
                <w:szCs w:val="18"/>
              </w:rPr>
              <w:t>Úroveň interoperability žele</w:t>
            </w:r>
            <w:r>
              <w:rPr>
                <w:color w:val="000000" w:themeColor="text1"/>
                <w:sz w:val="18"/>
                <w:szCs w:val="18"/>
              </w:rPr>
              <w:t>z</w:t>
            </w:r>
            <w:r w:rsidRPr="00974A64">
              <w:rPr>
                <w:color w:val="000000" w:themeColor="text1"/>
                <w:sz w:val="18"/>
                <w:szCs w:val="18"/>
              </w:rPr>
              <w:t>ničnej infraštruktúry vyjadrená podielom siete (mimo TEN-T CORE) s implementovaným systémom ERTMS</w:t>
            </w:r>
          </w:p>
        </w:tc>
      </w:tr>
      <w:tr w:rsidR="00AC7B75" w:rsidRPr="00430B9D" w:rsidTr="00EF2741">
        <w:trPr>
          <w:trHeight w:val="413"/>
          <w:jc w:val="center"/>
        </w:trPr>
        <w:tc>
          <w:tcPr>
            <w:tcW w:w="806" w:type="dxa"/>
            <w:vMerge w:val="restart"/>
            <w:vAlign w:val="center"/>
          </w:tcPr>
          <w:p w:rsidR="00AC7B75" w:rsidRPr="00430B9D" w:rsidRDefault="00AC7B75" w:rsidP="00EF2741">
            <w:pPr>
              <w:rPr>
                <w:sz w:val="18"/>
                <w:szCs w:val="18"/>
              </w:rPr>
            </w:pPr>
            <w:r w:rsidRPr="00430B9D">
              <w:rPr>
                <w:sz w:val="18"/>
                <w:szCs w:val="18"/>
              </w:rPr>
              <w:t>PO 6</w:t>
            </w:r>
          </w:p>
        </w:tc>
        <w:tc>
          <w:tcPr>
            <w:tcW w:w="606" w:type="dxa"/>
            <w:vMerge w:val="restart"/>
            <w:vAlign w:val="center"/>
          </w:tcPr>
          <w:p w:rsidR="00AC7B75" w:rsidRPr="00430B9D" w:rsidRDefault="00AC7B75" w:rsidP="00EF2741">
            <w:pPr>
              <w:pStyle w:val="Style30"/>
              <w:widowControl/>
              <w:jc w:val="center"/>
              <w:rPr>
                <w:sz w:val="18"/>
                <w:szCs w:val="18"/>
              </w:rPr>
            </w:pPr>
            <w:r w:rsidRPr="00430B9D">
              <w:rPr>
                <w:sz w:val="18"/>
                <w:szCs w:val="18"/>
              </w:rPr>
              <w:t>EFRR</w:t>
            </w:r>
          </w:p>
        </w:tc>
        <w:tc>
          <w:tcPr>
            <w:tcW w:w="1245" w:type="dxa"/>
            <w:vMerge w:val="restart"/>
            <w:vAlign w:val="center"/>
          </w:tcPr>
          <w:p w:rsidR="00AC7B75" w:rsidRPr="00430B9D" w:rsidRDefault="00AC7B75" w:rsidP="00EF2741">
            <w:pPr>
              <w:pStyle w:val="Style30"/>
              <w:widowControl/>
              <w:jc w:val="right"/>
              <w:rPr>
                <w:sz w:val="18"/>
                <w:szCs w:val="18"/>
              </w:rPr>
            </w:pPr>
            <w:r w:rsidRPr="00430B9D">
              <w:rPr>
                <w:sz w:val="18"/>
                <w:szCs w:val="18"/>
              </w:rPr>
              <w:t>503 007 228</w:t>
            </w:r>
          </w:p>
        </w:tc>
        <w:tc>
          <w:tcPr>
            <w:tcW w:w="1417" w:type="dxa"/>
            <w:vMerge w:val="restart"/>
            <w:vAlign w:val="center"/>
          </w:tcPr>
          <w:p w:rsidR="00AC7B75" w:rsidRPr="00430B9D" w:rsidRDefault="00AC7B75" w:rsidP="00EF2741">
            <w:pPr>
              <w:jc w:val="center"/>
              <w:rPr>
                <w:rStyle w:val="FontStyle93"/>
                <w:sz w:val="18"/>
                <w:szCs w:val="18"/>
                <w:lang w:eastAsia="de-DE"/>
              </w:rPr>
            </w:pPr>
            <w:r>
              <w:rPr>
                <w:rStyle w:val="FontStyle93"/>
                <w:sz w:val="18"/>
                <w:szCs w:val="18"/>
                <w:lang w:eastAsia="de-DE"/>
              </w:rPr>
              <w:t>12,5</w:t>
            </w:r>
            <w:r>
              <w:rPr>
                <w:rStyle w:val="FontStyle93"/>
                <w:sz w:val="18"/>
                <w:szCs w:val="18"/>
                <w:lang w:val="en-US" w:eastAsia="de-DE"/>
              </w:rPr>
              <w:t xml:space="preserve"> %</w:t>
            </w:r>
          </w:p>
        </w:tc>
        <w:tc>
          <w:tcPr>
            <w:tcW w:w="2410" w:type="dxa"/>
            <w:vMerge w:val="restart"/>
            <w:vAlign w:val="center"/>
          </w:tcPr>
          <w:p w:rsidR="00AC7B75" w:rsidRPr="00430B9D" w:rsidRDefault="00AC7B75" w:rsidP="00EF2741">
            <w:pPr>
              <w:rPr>
                <w:rStyle w:val="FontStyle93"/>
                <w:sz w:val="18"/>
                <w:szCs w:val="18"/>
                <w:lang w:eastAsia="de-DE"/>
              </w:rPr>
            </w:pPr>
            <w:r w:rsidRPr="00430B9D">
              <w:rPr>
                <w:rStyle w:val="FontStyle93"/>
                <w:sz w:val="18"/>
                <w:szCs w:val="18"/>
                <w:lang w:eastAsia="de-DE"/>
              </w:rPr>
              <w:t>TC 7 – Podpora udržateľnej dopravy a odstraňovanie prekážok v kľúčových sieťových infraštruktúrach</w:t>
            </w:r>
          </w:p>
        </w:tc>
        <w:tc>
          <w:tcPr>
            <w:tcW w:w="2693" w:type="dxa"/>
            <w:tcBorders>
              <w:bottom w:val="single" w:sz="4" w:space="0" w:color="auto"/>
            </w:tcBorders>
            <w:vAlign w:val="center"/>
          </w:tcPr>
          <w:p w:rsidR="00AC7B75" w:rsidRPr="00430B9D" w:rsidRDefault="00AC7B75" w:rsidP="00EF2741">
            <w:pPr>
              <w:pStyle w:val="Style40"/>
              <w:widowControl/>
              <w:rPr>
                <w:rStyle w:val="FontStyle93"/>
                <w:sz w:val="18"/>
                <w:szCs w:val="18"/>
                <w:lang w:eastAsia="de-DE"/>
              </w:rPr>
            </w:pPr>
            <w:r w:rsidRPr="00430B9D">
              <w:rPr>
                <w:rStyle w:val="FontStyle93"/>
                <w:sz w:val="18"/>
                <w:szCs w:val="18"/>
                <w:lang w:eastAsia="de-DE"/>
              </w:rPr>
              <w:t>Podpora multimodálneho jednotného európskeho dopravného priestoru pomocou investícií do TEN-T</w:t>
            </w:r>
          </w:p>
        </w:tc>
        <w:tc>
          <w:tcPr>
            <w:tcW w:w="2730" w:type="dxa"/>
            <w:tcBorders>
              <w:bottom w:val="single" w:sz="4" w:space="0" w:color="auto"/>
            </w:tcBorders>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6.1 Odstránenie kľúčových úzkych miest na cestnej infraštruktúre TEN-T prostredníctvom výstavby nových rýchlostných ciest</w:t>
            </w:r>
          </w:p>
        </w:tc>
        <w:tc>
          <w:tcPr>
            <w:tcW w:w="2363" w:type="dxa"/>
            <w:tcBorders>
              <w:bottom w:val="single" w:sz="4" w:space="0" w:color="auto"/>
            </w:tcBorders>
            <w:vAlign w:val="center"/>
          </w:tcPr>
          <w:p w:rsidR="00AC7B75" w:rsidRPr="001E38C6" w:rsidRDefault="00AC7B75" w:rsidP="00EF2741">
            <w:pPr>
              <w:pStyle w:val="Style30"/>
              <w:widowControl/>
              <w:rPr>
                <w:color w:val="000000" w:themeColor="text1"/>
                <w:sz w:val="18"/>
                <w:szCs w:val="18"/>
              </w:rPr>
            </w:pPr>
            <w:r w:rsidRPr="001E38C6">
              <w:rPr>
                <w:color w:val="000000" w:themeColor="text1"/>
                <w:sz w:val="18"/>
                <w:szCs w:val="18"/>
              </w:rPr>
              <w:t>Úspora času v cestnej doprave na rýchlostných cestách</w:t>
            </w:r>
          </w:p>
        </w:tc>
      </w:tr>
      <w:tr w:rsidR="00AC7B75" w:rsidRPr="00430B9D" w:rsidTr="00EF2741">
        <w:trPr>
          <w:trHeight w:val="1044"/>
          <w:jc w:val="center"/>
        </w:trPr>
        <w:tc>
          <w:tcPr>
            <w:tcW w:w="806" w:type="dxa"/>
            <w:vMerge/>
            <w:vAlign w:val="center"/>
          </w:tcPr>
          <w:p w:rsidR="00AC7B75" w:rsidRPr="00430B9D" w:rsidRDefault="00AC7B75" w:rsidP="00EF2741">
            <w:pPr>
              <w:rPr>
                <w:sz w:val="18"/>
                <w:szCs w:val="18"/>
              </w:rPr>
            </w:pPr>
          </w:p>
        </w:tc>
        <w:tc>
          <w:tcPr>
            <w:tcW w:w="606" w:type="dxa"/>
            <w:vMerge/>
            <w:vAlign w:val="center"/>
          </w:tcPr>
          <w:p w:rsidR="00AC7B75" w:rsidRPr="00430B9D" w:rsidRDefault="00AC7B75" w:rsidP="00EF2741">
            <w:pPr>
              <w:pStyle w:val="Style30"/>
              <w:widowControl/>
              <w:jc w:val="center"/>
              <w:rPr>
                <w:sz w:val="18"/>
                <w:szCs w:val="18"/>
              </w:rPr>
            </w:pPr>
          </w:p>
        </w:tc>
        <w:tc>
          <w:tcPr>
            <w:tcW w:w="1245" w:type="dxa"/>
            <w:vMerge/>
            <w:vAlign w:val="center"/>
          </w:tcPr>
          <w:p w:rsidR="00AC7B75" w:rsidRPr="00430B9D" w:rsidRDefault="00AC7B75" w:rsidP="00EF2741">
            <w:pPr>
              <w:pStyle w:val="Style30"/>
              <w:widowControl/>
              <w:jc w:val="right"/>
              <w:rPr>
                <w:sz w:val="18"/>
                <w:szCs w:val="18"/>
              </w:rPr>
            </w:pPr>
          </w:p>
        </w:tc>
        <w:tc>
          <w:tcPr>
            <w:tcW w:w="1417" w:type="dxa"/>
            <w:vMerge/>
          </w:tcPr>
          <w:p w:rsidR="00AC7B75" w:rsidRPr="00430B9D" w:rsidRDefault="00AC7B75" w:rsidP="00EF2741">
            <w:pPr>
              <w:rPr>
                <w:rStyle w:val="FontStyle93"/>
                <w:sz w:val="18"/>
                <w:szCs w:val="18"/>
                <w:lang w:eastAsia="de-DE"/>
              </w:rPr>
            </w:pPr>
          </w:p>
        </w:tc>
        <w:tc>
          <w:tcPr>
            <w:tcW w:w="2410" w:type="dxa"/>
            <w:vMerge/>
          </w:tcPr>
          <w:p w:rsidR="00AC7B75" w:rsidRPr="00430B9D" w:rsidRDefault="00AC7B75" w:rsidP="00EF2741">
            <w:pPr>
              <w:rPr>
                <w:rStyle w:val="FontStyle93"/>
                <w:sz w:val="18"/>
                <w:szCs w:val="18"/>
                <w:lang w:eastAsia="de-DE"/>
              </w:rPr>
            </w:pPr>
          </w:p>
        </w:tc>
        <w:tc>
          <w:tcPr>
            <w:tcW w:w="2693" w:type="dxa"/>
            <w:vMerge w:val="restart"/>
            <w:shd w:val="clear" w:color="auto" w:fill="auto"/>
            <w:vAlign w:val="center"/>
          </w:tcPr>
          <w:p w:rsidR="00AC7B75" w:rsidRPr="00430B9D" w:rsidDel="00B214BB" w:rsidRDefault="00AC7B75" w:rsidP="00EF2741">
            <w:pPr>
              <w:pStyle w:val="Style40"/>
              <w:rPr>
                <w:rStyle w:val="FontStyle93"/>
                <w:sz w:val="18"/>
                <w:szCs w:val="18"/>
                <w:lang w:eastAsia="de-DE"/>
              </w:rPr>
            </w:pPr>
            <w:r w:rsidRPr="00430B9D">
              <w:rPr>
                <w:rStyle w:val="FontStyle93"/>
                <w:sz w:val="18"/>
                <w:szCs w:val="18"/>
                <w:lang w:eastAsia="de-DE"/>
              </w:rPr>
              <w:t xml:space="preserve">Posilnenie regionálnej mobility </w:t>
            </w:r>
            <w:r>
              <w:rPr>
                <w:rStyle w:val="FontStyle93"/>
                <w:sz w:val="18"/>
                <w:szCs w:val="18"/>
                <w:lang w:eastAsia="de-DE"/>
              </w:rPr>
              <w:t>prepojením</w:t>
            </w:r>
            <w:r w:rsidRPr="00430B9D">
              <w:rPr>
                <w:rStyle w:val="FontStyle93"/>
                <w:sz w:val="18"/>
                <w:szCs w:val="18"/>
                <w:lang w:eastAsia="de-DE"/>
              </w:rPr>
              <w:t xml:space="preserve"> sekundárnych a terciálnych uzlov s infraštruktúrou TEN-T</w:t>
            </w:r>
            <w:r>
              <w:rPr>
                <w:rStyle w:val="FontStyle93"/>
                <w:sz w:val="18"/>
                <w:szCs w:val="18"/>
                <w:lang w:eastAsia="de-DE"/>
              </w:rPr>
              <w:t xml:space="preserve"> vrátane multimodálnych uzlov</w:t>
            </w:r>
          </w:p>
        </w:tc>
        <w:tc>
          <w:tcPr>
            <w:tcW w:w="2730" w:type="dxa"/>
            <w:vMerge w:val="restart"/>
            <w:shd w:val="clear" w:color="auto" w:fill="auto"/>
            <w:vAlign w:val="center"/>
          </w:tcPr>
          <w:p w:rsidR="00AC7B75" w:rsidRPr="001E38C6" w:rsidDel="00B214BB" w:rsidRDefault="00AC7B75" w:rsidP="00EF2741">
            <w:pPr>
              <w:pStyle w:val="Style30"/>
              <w:widowControl/>
              <w:rPr>
                <w:rStyle w:val="FontStyle93"/>
                <w:color w:val="000000" w:themeColor="text1"/>
                <w:sz w:val="18"/>
                <w:szCs w:val="18"/>
                <w:lang w:eastAsia="de-DE"/>
              </w:rPr>
            </w:pPr>
            <w:r w:rsidRPr="001E38C6">
              <w:rPr>
                <w:rStyle w:val="FontStyle93"/>
                <w:color w:val="000000" w:themeColor="text1"/>
                <w:sz w:val="18"/>
                <w:szCs w:val="18"/>
                <w:lang w:eastAsia="de-DE"/>
              </w:rPr>
              <w:t>6.2 Zlepšenie dostupnosti cestnej infraštruktúry TEN-T a regionálnej mobility prostredníctvom výstavby a modernizácie ciest I. triedy</w:t>
            </w:r>
          </w:p>
        </w:tc>
        <w:tc>
          <w:tcPr>
            <w:tcW w:w="2363" w:type="dxa"/>
            <w:shd w:val="clear" w:color="auto" w:fill="auto"/>
            <w:vAlign w:val="center"/>
          </w:tcPr>
          <w:p w:rsidR="00AC7B75" w:rsidRPr="001E38C6" w:rsidRDefault="00AC7B75" w:rsidP="00EF2741">
            <w:pPr>
              <w:pStyle w:val="Style30"/>
              <w:widowControl/>
              <w:rPr>
                <w:rStyle w:val="FontStyle93"/>
                <w:i/>
                <w:color w:val="000000" w:themeColor="text1"/>
                <w:sz w:val="18"/>
                <w:szCs w:val="18"/>
                <w:lang w:eastAsia="de-DE"/>
              </w:rPr>
            </w:pPr>
            <w:r w:rsidRPr="001E38C6">
              <w:rPr>
                <w:color w:val="000000" w:themeColor="text1"/>
                <w:sz w:val="18"/>
                <w:szCs w:val="18"/>
              </w:rPr>
              <w:t>Úspora času v cestnej doprave na cestách I. triedy</w:t>
            </w:r>
          </w:p>
        </w:tc>
      </w:tr>
      <w:tr w:rsidR="00AC7B75" w:rsidRPr="00430B9D" w:rsidTr="00EF2741">
        <w:trPr>
          <w:trHeight w:val="684"/>
          <w:jc w:val="center"/>
        </w:trPr>
        <w:tc>
          <w:tcPr>
            <w:tcW w:w="806" w:type="dxa"/>
            <w:vMerge/>
            <w:vAlign w:val="center"/>
          </w:tcPr>
          <w:p w:rsidR="00AC7B75" w:rsidRPr="00430B9D" w:rsidRDefault="00AC7B75" w:rsidP="00EF2741">
            <w:pPr>
              <w:rPr>
                <w:sz w:val="18"/>
                <w:szCs w:val="18"/>
              </w:rPr>
            </w:pPr>
          </w:p>
        </w:tc>
        <w:tc>
          <w:tcPr>
            <w:tcW w:w="606" w:type="dxa"/>
            <w:vMerge/>
            <w:vAlign w:val="center"/>
          </w:tcPr>
          <w:p w:rsidR="00AC7B75" w:rsidRPr="00430B9D" w:rsidRDefault="00AC7B75" w:rsidP="00EF2741">
            <w:pPr>
              <w:pStyle w:val="Style30"/>
              <w:widowControl/>
              <w:jc w:val="center"/>
              <w:rPr>
                <w:sz w:val="18"/>
                <w:szCs w:val="18"/>
              </w:rPr>
            </w:pPr>
          </w:p>
        </w:tc>
        <w:tc>
          <w:tcPr>
            <w:tcW w:w="1245" w:type="dxa"/>
            <w:vMerge/>
            <w:vAlign w:val="center"/>
          </w:tcPr>
          <w:p w:rsidR="00AC7B75" w:rsidRPr="00430B9D" w:rsidRDefault="00AC7B75" w:rsidP="00EF2741">
            <w:pPr>
              <w:pStyle w:val="Style30"/>
              <w:widowControl/>
              <w:jc w:val="right"/>
              <w:rPr>
                <w:sz w:val="18"/>
                <w:szCs w:val="18"/>
              </w:rPr>
            </w:pPr>
          </w:p>
        </w:tc>
        <w:tc>
          <w:tcPr>
            <w:tcW w:w="1417" w:type="dxa"/>
            <w:vMerge/>
          </w:tcPr>
          <w:p w:rsidR="00AC7B75" w:rsidRPr="00430B9D" w:rsidRDefault="00AC7B75" w:rsidP="00EF2741">
            <w:pPr>
              <w:rPr>
                <w:rStyle w:val="FontStyle93"/>
                <w:sz w:val="18"/>
                <w:szCs w:val="18"/>
                <w:lang w:eastAsia="de-DE"/>
              </w:rPr>
            </w:pPr>
          </w:p>
        </w:tc>
        <w:tc>
          <w:tcPr>
            <w:tcW w:w="2410" w:type="dxa"/>
            <w:vMerge/>
          </w:tcPr>
          <w:p w:rsidR="00AC7B75" w:rsidRPr="00430B9D" w:rsidRDefault="00AC7B75" w:rsidP="00EF2741">
            <w:pPr>
              <w:rPr>
                <w:rStyle w:val="FontStyle93"/>
                <w:sz w:val="18"/>
                <w:szCs w:val="18"/>
                <w:lang w:eastAsia="de-DE"/>
              </w:rPr>
            </w:pPr>
          </w:p>
        </w:tc>
        <w:tc>
          <w:tcPr>
            <w:tcW w:w="2693" w:type="dxa"/>
            <w:vMerge/>
            <w:shd w:val="clear" w:color="auto" w:fill="auto"/>
            <w:vAlign w:val="center"/>
          </w:tcPr>
          <w:p w:rsidR="00AC7B75" w:rsidRPr="00430B9D" w:rsidRDefault="00AC7B75" w:rsidP="00EF2741">
            <w:pPr>
              <w:pStyle w:val="Style40"/>
              <w:rPr>
                <w:rStyle w:val="FontStyle93"/>
                <w:sz w:val="18"/>
                <w:szCs w:val="18"/>
                <w:lang w:eastAsia="de-DE"/>
              </w:rPr>
            </w:pPr>
          </w:p>
        </w:tc>
        <w:tc>
          <w:tcPr>
            <w:tcW w:w="2730" w:type="dxa"/>
            <w:vMerge/>
            <w:shd w:val="clear" w:color="auto" w:fill="auto"/>
            <w:vAlign w:val="center"/>
          </w:tcPr>
          <w:p w:rsidR="00AC7B75" w:rsidRPr="001E38C6" w:rsidRDefault="00AC7B75" w:rsidP="00EF2741">
            <w:pPr>
              <w:pStyle w:val="Style30"/>
              <w:widowControl/>
              <w:rPr>
                <w:rStyle w:val="FontStyle93"/>
                <w:color w:val="000000" w:themeColor="text1"/>
                <w:sz w:val="18"/>
                <w:szCs w:val="18"/>
                <w:lang w:eastAsia="de-DE"/>
              </w:rPr>
            </w:pPr>
          </w:p>
        </w:tc>
        <w:tc>
          <w:tcPr>
            <w:tcW w:w="2363" w:type="dxa"/>
            <w:shd w:val="clear" w:color="auto" w:fill="auto"/>
            <w:vAlign w:val="center"/>
          </w:tcPr>
          <w:p w:rsidR="00AC7B75" w:rsidRPr="001E38C6" w:rsidRDefault="00AC7B75" w:rsidP="00EF2741">
            <w:pPr>
              <w:pStyle w:val="Style30"/>
              <w:widowControl/>
              <w:rPr>
                <w:color w:val="000000" w:themeColor="text1"/>
                <w:sz w:val="18"/>
                <w:szCs w:val="18"/>
              </w:rPr>
            </w:pPr>
            <w:r>
              <w:rPr>
                <w:color w:val="000000" w:themeColor="text1"/>
                <w:sz w:val="18"/>
                <w:szCs w:val="18"/>
              </w:rPr>
              <w:t>P</w:t>
            </w:r>
            <w:r w:rsidRPr="001E38C6">
              <w:rPr>
                <w:color w:val="000000" w:themeColor="text1"/>
                <w:sz w:val="18"/>
                <w:szCs w:val="18"/>
              </w:rPr>
              <w:t>odiel ciest I. triedy v nevyhovujúcom stavebno-technickom stave</w:t>
            </w:r>
          </w:p>
        </w:tc>
      </w:tr>
      <w:tr w:rsidR="00AC7B75" w:rsidRPr="00430B9D" w:rsidTr="00EF2741">
        <w:trPr>
          <w:trHeight w:val="413"/>
          <w:jc w:val="center"/>
        </w:trPr>
        <w:tc>
          <w:tcPr>
            <w:tcW w:w="806" w:type="dxa"/>
            <w:vMerge w:val="restart"/>
            <w:vAlign w:val="center"/>
          </w:tcPr>
          <w:p w:rsidR="00AC7B75" w:rsidRPr="00430B9D" w:rsidRDefault="00AC7B75" w:rsidP="00EF2741">
            <w:pPr>
              <w:rPr>
                <w:sz w:val="18"/>
                <w:szCs w:val="18"/>
              </w:rPr>
            </w:pPr>
            <w:r w:rsidRPr="00430B9D">
              <w:rPr>
                <w:sz w:val="18"/>
                <w:szCs w:val="18"/>
              </w:rPr>
              <w:t>PO 7</w:t>
            </w:r>
          </w:p>
        </w:tc>
        <w:tc>
          <w:tcPr>
            <w:tcW w:w="606" w:type="dxa"/>
            <w:vMerge w:val="restart"/>
            <w:vAlign w:val="center"/>
          </w:tcPr>
          <w:p w:rsidR="00AC7B75" w:rsidRPr="00430B9D" w:rsidRDefault="00AC7B75" w:rsidP="00EF2741">
            <w:pPr>
              <w:pStyle w:val="Style30"/>
              <w:widowControl/>
              <w:jc w:val="center"/>
              <w:rPr>
                <w:color w:val="000000"/>
                <w:sz w:val="18"/>
                <w:szCs w:val="18"/>
              </w:rPr>
            </w:pPr>
            <w:r w:rsidRPr="00430B9D">
              <w:rPr>
                <w:sz w:val="18"/>
                <w:szCs w:val="18"/>
              </w:rPr>
              <w:t>EFRR</w:t>
            </w:r>
          </w:p>
        </w:tc>
        <w:tc>
          <w:tcPr>
            <w:tcW w:w="1245" w:type="dxa"/>
            <w:vMerge w:val="restart"/>
            <w:vAlign w:val="center"/>
          </w:tcPr>
          <w:p w:rsidR="00AC7B75" w:rsidRPr="00430B9D" w:rsidRDefault="00AC7B75" w:rsidP="00EF2741">
            <w:pPr>
              <w:jc w:val="right"/>
              <w:rPr>
                <w:sz w:val="18"/>
                <w:szCs w:val="18"/>
              </w:rPr>
            </w:pPr>
            <w:r w:rsidRPr="00430B9D">
              <w:rPr>
                <w:sz w:val="18"/>
                <w:szCs w:val="18"/>
              </w:rPr>
              <w:t xml:space="preserve"> 841 016 752</w:t>
            </w:r>
          </w:p>
        </w:tc>
        <w:tc>
          <w:tcPr>
            <w:tcW w:w="1417" w:type="dxa"/>
            <w:vMerge w:val="restart"/>
            <w:vAlign w:val="center"/>
          </w:tcPr>
          <w:p w:rsidR="00AC7B75" w:rsidRPr="00430B9D" w:rsidRDefault="00AC7B75" w:rsidP="00EF2741">
            <w:pPr>
              <w:jc w:val="center"/>
              <w:rPr>
                <w:rStyle w:val="FontStyle93"/>
                <w:sz w:val="18"/>
                <w:szCs w:val="18"/>
                <w:lang w:eastAsia="de-DE"/>
              </w:rPr>
            </w:pPr>
            <w:r>
              <w:rPr>
                <w:rStyle w:val="FontStyle93"/>
                <w:sz w:val="18"/>
                <w:szCs w:val="18"/>
                <w:lang w:eastAsia="de-DE"/>
              </w:rPr>
              <w:t>20,8</w:t>
            </w:r>
            <w:r>
              <w:rPr>
                <w:rStyle w:val="FontStyle93"/>
                <w:sz w:val="18"/>
                <w:szCs w:val="18"/>
                <w:lang w:val="en-US" w:eastAsia="de-DE"/>
              </w:rPr>
              <w:t xml:space="preserve"> %</w:t>
            </w:r>
          </w:p>
        </w:tc>
        <w:tc>
          <w:tcPr>
            <w:tcW w:w="2410" w:type="dxa"/>
            <w:vMerge w:val="restart"/>
            <w:vAlign w:val="center"/>
          </w:tcPr>
          <w:p w:rsidR="00AC7B75" w:rsidRPr="00430B9D" w:rsidRDefault="00AC7B75" w:rsidP="00EF2741">
            <w:pPr>
              <w:rPr>
                <w:sz w:val="18"/>
                <w:szCs w:val="18"/>
              </w:rPr>
            </w:pPr>
            <w:r w:rsidRPr="00430B9D">
              <w:rPr>
                <w:rStyle w:val="FontStyle93"/>
                <w:sz w:val="18"/>
                <w:szCs w:val="18"/>
                <w:lang w:eastAsia="de-DE"/>
              </w:rPr>
              <w:t>TC 2 – Zlepšenie prístupu k</w:t>
            </w:r>
            <w:r>
              <w:rPr>
                <w:rStyle w:val="FontStyle93"/>
                <w:sz w:val="18"/>
                <w:szCs w:val="18"/>
                <w:lang w:eastAsia="de-DE"/>
              </w:rPr>
              <w:t> informáciám a IKT a zlepšenie ich využívania a kvality</w:t>
            </w:r>
          </w:p>
        </w:tc>
        <w:tc>
          <w:tcPr>
            <w:tcW w:w="2693" w:type="dxa"/>
            <w:vMerge w:val="restart"/>
            <w:vAlign w:val="center"/>
          </w:tcPr>
          <w:p w:rsidR="00AC7B75" w:rsidRPr="00430B9D" w:rsidRDefault="00AC7B75" w:rsidP="00EF2741">
            <w:pPr>
              <w:pStyle w:val="Style30"/>
              <w:widowControl/>
              <w:rPr>
                <w:color w:val="000000"/>
                <w:sz w:val="18"/>
                <w:szCs w:val="18"/>
              </w:rPr>
            </w:pPr>
            <w:r w:rsidRPr="00B76B36">
              <w:rPr>
                <w:sz w:val="18"/>
                <w:szCs w:val="18"/>
              </w:rPr>
              <w:t xml:space="preserve">Rozšírenie širokopásmového pripojenia a zavádzanie vysokorýchlostných sietí a podpora zavádzania nastupujúcich technológií a sietí </w:t>
            </w:r>
            <w:r>
              <w:rPr>
                <w:sz w:val="18"/>
                <w:szCs w:val="18"/>
              </w:rPr>
              <w:t>pre digitálne hospodárstvo</w:t>
            </w:r>
            <w:r w:rsidRPr="00430B9D" w:rsidDel="00ED2E1C">
              <w:rPr>
                <w:sz w:val="18"/>
                <w:szCs w:val="18"/>
              </w:rPr>
              <w:t xml:space="preserve"> </w:t>
            </w:r>
          </w:p>
        </w:tc>
        <w:tc>
          <w:tcPr>
            <w:tcW w:w="2730" w:type="dxa"/>
            <w:vMerge w:val="restart"/>
            <w:vAlign w:val="center"/>
          </w:tcPr>
          <w:p w:rsidR="00AC7B75" w:rsidRPr="00430B9D" w:rsidRDefault="00AC7B75" w:rsidP="00EF2741">
            <w:pPr>
              <w:pStyle w:val="Style30"/>
              <w:widowControl/>
              <w:rPr>
                <w:sz w:val="18"/>
                <w:szCs w:val="18"/>
              </w:rPr>
            </w:pPr>
            <w:r w:rsidRPr="00430B9D">
              <w:rPr>
                <w:sz w:val="18"/>
                <w:szCs w:val="18"/>
              </w:rPr>
              <w:t>7</w:t>
            </w:r>
            <w:r>
              <w:rPr>
                <w:sz w:val="18"/>
                <w:szCs w:val="18"/>
              </w:rPr>
              <w:t>.</w:t>
            </w:r>
            <w:r w:rsidRPr="00430B9D">
              <w:rPr>
                <w:sz w:val="18"/>
                <w:szCs w:val="18"/>
              </w:rPr>
              <w:t>1 Zvýšenie pokrytia širokopásmovým internetom / NGN</w:t>
            </w:r>
            <w:r w:rsidRPr="00430B9D" w:rsidDel="00876182">
              <w:rPr>
                <w:sz w:val="18"/>
                <w:szCs w:val="18"/>
              </w:rPr>
              <w:t xml:space="preserve"> </w:t>
            </w:r>
          </w:p>
        </w:tc>
        <w:tc>
          <w:tcPr>
            <w:tcW w:w="2363" w:type="dxa"/>
            <w:vAlign w:val="center"/>
          </w:tcPr>
          <w:p w:rsidR="00AC7B75" w:rsidRPr="00430B9D" w:rsidRDefault="00AC7B75" w:rsidP="00EF2741">
            <w:pPr>
              <w:rPr>
                <w:sz w:val="18"/>
                <w:szCs w:val="18"/>
              </w:rPr>
            </w:pPr>
            <w:r w:rsidRPr="00430B9D">
              <w:rPr>
                <w:sz w:val="18"/>
                <w:szCs w:val="18"/>
              </w:rPr>
              <w:t>Percento populácie využívajúce mobilný širokopásmový prístup na internet</w:t>
            </w:r>
            <w:r w:rsidRPr="00430B9D" w:rsidDel="00876182">
              <w:rPr>
                <w:sz w:val="18"/>
                <w:szCs w:val="18"/>
              </w:rPr>
              <w:t xml:space="preserve"> </w:t>
            </w:r>
          </w:p>
        </w:tc>
      </w:tr>
      <w:tr w:rsidR="00AC7B75" w:rsidRPr="00430B9D" w:rsidTr="00EF2741">
        <w:trPr>
          <w:trHeight w:val="413"/>
          <w:jc w:val="center"/>
        </w:trPr>
        <w:tc>
          <w:tcPr>
            <w:tcW w:w="806" w:type="dxa"/>
            <w:vMerge/>
          </w:tcPr>
          <w:p w:rsidR="00AC7B75" w:rsidRPr="00430B9D" w:rsidRDefault="00AC7B75" w:rsidP="00EF2741">
            <w:pPr>
              <w:rPr>
                <w:sz w:val="18"/>
                <w:szCs w:val="18"/>
              </w:rPr>
            </w:pPr>
          </w:p>
        </w:tc>
        <w:tc>
          <w:tcPr>
            <w:tcW w:w="606" w:type="dxa"/>
            <w:vMerge/>
          </w:tcPr>
          <w:p w:rsidR="00AC7B75" w:rsidRPr="00430B9D" w:rsidRDefault="00AC7B75" w:rsidP="00EF2741">
            <w:pPr>
              <w:rPr>
                <w:color w:val="000000"/>
                <w:sz w:val="18"/>
                <w:szCs w:val="18"/>
              </w:rPr>
            </w:pPr>
          </w:p>
        </w:tc>
        <w:tc>
          <w:tcPr>
            <w:tcW w:w="1245" w:type="dxa"/>
            <w:vMerge/>
          </w:tcPr>
          <w:p w:rsidR="00AC7B75" w:rsidRPr="00430B9D" w:rsidRDefault="00AC7B75" w:rsidP="00EF2741">
            <w:pPr>
              <w:jc w:val="center"/>
              <w:rPr>
                <w:color w:val="000000"/>
                <w:sz w:val="18"/>
                <w:szCs w:val="18"/>
              </w:rPr>
            </w:pPr>
          </w:p>
        </w:tc>
        <w:tc>
          <w:tcPr>
            <w:tcW w:w="1417" w:type="dxa"/>
            <w:vMerge/>
          </w:tcPr>
          <w:p w:rsidR="00AC7B75" w:rsidRPr="00430B9D" w:rsidRDefault="00AC7B75" w:rsidP="00EF2741">
            <w:pPr>
              <w:rPr>
                <w:color w:val="000000"/>
                <w:sz w:val="18"/>
                <w:szCs w:val="18"/>
              </w:rPr>
            </w:pPr>
          </w:p>
        </w:tc>
        <w:tc>
          <w:tcPr>
            <w:tcW w:w="2410" w:type="dxa"/>
            <w:vMerge/>
          </w:tcPr>
          <w:p w:rsidR="00AC7B75" w:rsidRPr="00430B9D" w:rsidRDefault="00AC7B75" w:rsidP="00EF2741">
            <w:pPr>
              <w:rPr>
                <w:color w:val="000000"/>
                <w:sz w:val="18"/>
                <w:szCs w:val="18"/>
              </w:rPr>
            </w:pPr>
          </w:p>
        </w:tc>
        <w:tc>
          <w:tcPr>
            <w:tcW w:w="2693" w:type="dxa"/>
            <w:vMerge/>
            <w:vAlign w:val="center"/>
          </w:tcPr>
          <w:p w:rsidR="00AC7B75" w:rsidRPr="00430B9D" w:rsidRDefault="00AC7B75" w:rsidP="00EF2741">
            <w:pPr>
              <w:rPr>
                <w:color w:val="000000"/>
                <w:sz w:val="18"/>
                <w:szCs w:val="18"/>
              </w:rPr>
            </w:pPr>
          </w:p>
        </w:tc>
        <w:tc>
          <w:tcPr>
            <w:tcW w:w="2730" w:type="dxa"/>
            <w:vMerge/>
            <w:vAlign w:val="center"/>
          </w:tcPr>
          <w:p w:rsidR="00AC7B75" w:rsidRPr="00430B9D" w:rsidRDefault="00AC7B75" w:rsidP="00EF2741">
            <w:pPr>
              <w:pStyle w:val="Style30"/>
              <w:widowControl/>
              <w:rPr>
                <w:sz w:val="18"/>
                <w:szCs w:val="18"/>
              </w:rPr>
            </w:pPr>
          </w:p>
        </w:tc>
        <w:tc>
          <w:tcPr>
            <w:tcW w:w="2363" w:type="dxa"/>
            <w:vAlign w:val="center"/>
          </w:tcPr>
          <w:p w:rsidR="00AC7B75" w:rsidRPr="00430B9D" w:rsidRDefault="00AC7B75" w:rsidP="00EF2741">
            <w:pPr>
              <w:rPr>
                <w:sz w:val="18"/>
                <w:szCs w:val="18"/>
              </w:rPr>
            </w:pPr>
            <w:r w:rsidRPr="00430B9D">
              <w:rPr>
                <w:sz w:val="18"/>
                <w:szCs w:val="18"/>
              </w:rPr>
              <w:t xml:space="preserve">Percento populácie využívajúce širokopásmový </w:t>
            </w:r>
            <w:r w:rsidRPr="00430B9D">
              <w:rPr>
                <w:sz w:val="18"/>
                <w:szCs w:val="18"/>
              </w:rPr>
              <w:lastRenderedPageBreak/>
              <w:t>internet pravidelne</w:t>
            </w:r>
            <w:r w:rsidRPr="00430B9D" w:rsidDel="00557F3E">
              <w:rPr>
                <w:sz w:val="18"/>
                <w:szCs w:val="18"/>
              </w:rPr>
              <w:t xml:space="preserve"> </w:t>
            </w:r>
          </w:p>
        </w:tc>
      </w:tr>
      <w:tr w:rsidR="00AC7B75" w:rsidRPr="00430B9D" w:rsidTr="00EF2741">
        <w:trPr>
          <w:trHeight w:val="351"/>
          <w:jc w:val="center"/>
        </w:trPr>
        <w:tc>
          <w:tcPr>
            <w:tcW w:w="806" w:type="dxa"/>
            <w:vMerge/>
          </w:tcPr>
          <w:p w:rsidR="00AC7B75" w:rsidRPr="00430B9D" w:rsidRDefault="00AC7B75" w:rsidP="00EF2741">
            <w:pPr>
              <w:rPr>
                <w:sz w:val="18"/>
                <w:szCs w:val="18"/>
              </w:rPr>
            </w:pPr>
          </w:p>
        </w:tc>
        <w:tc>
          <w:tcPr>
            <w:tcW w:w="606" w:type="dxa"/>
            <w:vMerge/>
            <w:vAlign w:val="center"/>
          </w:tcPr>
          <w:p w:rsidR="00AC7B75" w:rsidRPr="00430B9D" w:rsidRDefault="00AC7B75" w:rsidP="00EF2741">
            <w:pPr>
              <w:jc w:val="center"/>
              <w:rPr>
                <w:sz w:val="18"/>
                <w:szCs w:val="18"/>
              </w:rPr>
            </w:pPr>
          </w:p>
        </w:tc>
        <w:tc>
          <w:tcPr>
            <w:tcW w:w="1245" w:type="dxa"/>
            <w:vMerge/>
            <w:vAlign w:val="center"/>
          </w:tcPr>
          <w:p w:rsidR="00AC7B75" w:rsidRPr="00430B9D" w:rsidRDefault="00AC7B75" w:rsidP="00EF2741">
            <w:pPr>
              <w:jc w:val="center"/>
              <w:rPr>
                <w:color w:val="000000"/>
                <w:sz w:val="18"/>
                <w:szCs w:val="18"/>
              </w:rPr>
            </w:pPr>
          </w:p>
        </w:tc>
        <w:tc>
          <w:tcPr>
            <w:tcW w:w="1417" w:type="dxa"/>
            <w:vMerge/>
            <w:vAlign w:val="center"/>
          </w:tcPr>
          <w:p w:rsidR="00AC7B75" w:rsidRPr="00430B9D" w:rsidRDefault="00AC7B75" w:rsidP="00EF2741">
            <w:pPr>
              <w:jc w:val="center"/>
              <w:rPr>
                <w:color w:val="000000"/>
                <w:sz w:val="18"/>
                <w:szCs w:val="18"/>
              </w:rPr>
            </w:pPr>
          </w:p>
        </w:tc>
        <w:tc>
          <w:tcPr>
            <w:tcW w:w="2410" w:type="dxa"/>
            <w:vMerge/>
          </w:tcPr>
          <w:p w:rsidR="00AC7B75" w:rsidRPr="00430B9D" w:rsidRDefault="00AC7B75" w:rsidP="00EF2741">
            <w:pPr>
              <w:rPr>
                <w:color w:val="000000"/>
                <w:sz w:val="18"/>
                <w:szCs w:val="18"/>
              </w:rPr>
            </w:pPr>
          </w:p>
        </w:tc>
        <w:tc>
          <w:tcPr>
            <w:tcW w:w="2693" w:type="dxa"/>
            <w:vMerge w:val="restart"/>
            <w:vAlign w:val="center"/>
          </w:tcPr>
          <w:p w:rsidR="00AC7B75" w:rsidRPr="00430B9D" w:rsidRDefault="00AC7B75" w:rsidP="00EF2741">
            <w:pPr>
              <w:pStyle w:val="Style30"/>
              <w:widowControl/>
              <w:rPr>
                <w:color w:val="000000"/>
                <w:sz w:val="18"/>
                <w:szCs w:val="18"/>
              </w:rPr>
            </w:pPr>
            <w:r w:rsidRPr="00876182">
              <w:rPr>
                <w:sz w:val="18"/>
                <w:szCs w:val="18"/>
              </w:rPr>
              <w:t xml:space="preserve">Vývoj produktov a služieb IKT, elektronického obchodu a posilnenia dopytu po IKT </w:t>
            </w:r>
          </w:p>
        </w:tc>
        <w:tc>
          <w:tcPr>
            <w:tcW w:w="2730" w:type="dxa"/>
            <w:vMerge w:val="restart"/>
            <w:vAlign w:val="center"/>
          </w:tcPr>
          <w:p w:rsidR="00AC7B75" w:rsidRPr="00430B9D" w:rsidRDefault="00AC7B75" w:rsidP="00EF2741">
            <w:pPr>
              <w:rPr>
                <w:sz w:val="18"/>
                <w:szCs w:val="18"/>
              </w:rPr>
            </w:pPr>
            <w:r w:rsidRPr="00430B9D">
              <w:rPr>
                <w:sz w:val="18"/>
                <w:szCs w:val="18"/>
              </w:rPr>
              <w:t>7</w:t>
            </w:r>
            <w:r>
              <w:rPr>
                <w:sz w:val="18"/>
                <w:szCs w:val="18"/>
              </w:rPr>
              <w:t>.2</w:t>
            </w:r>
            <w:r w:rsidRPr="00430B9D">
              <w:rPr>
                <w:sz w:val="18"/>
                <w:szCs w:val="18"/>
              </w:rPr>
              <w:t xml:space="preserve"> Zvýšenie inovačnej kapacity </w:t>
            </w:r>
            <w:r>
              <w:rPr>
                <w:sz w:val="18"/>
                <w:szCs w:val="18"/>
              </w:rPr>
              <w:t xml:space="preserve">najmä </w:t>
            </w:r>
            <w:r w:rsidRPr="00430B9D">
              <w:rPr>
                <w:sz w:val="18"/>
                <w:szCs w:val="18"/>
              </w:rPr>
              <w:t>malých a stredných podnikateľov v digitálnej ekonomike</w:t>
            </w:r>
            <w:r w:rsidRPr="00430B9D" w:rsidDel="0001138F">
              <w:rPr>
                <w:sz w:val="18"/>
                <w:szCs w:val="18"/>
              </w:rPr>
              <w:t xml:space="preserve"> </w:t>
            </w:r>
          </w:p>
        </w:tc>
        <w:tc>
          <w:tcPr>
            <w:tcW w:w="2363" w:type="dxa"/>
            <w:tcBorders>
              <w:bottom w:val="single" w:sz="4" w:space="0" w:color="auto"/>
            </w:tcBorders>
            <w:vAlign w:val="center"/>
          </w:tcPr>
          <w:p w:rsidR="00AC7B75" w:rsidRPr="00430B9D" w:rsidRDefault="00AC7B75" w:rsidP="00EF2741">
            <w:pPr>
              <w:rPr>
                <w:sz w:val="18"/>
                <w:szCs w:val="18"/>
              </w:rPr>
            </w:pPr>
            <w:r w:rsidRPr="00430B9D" w:rsidDel="00E45AC8">
              <w:rPr>
                <w:sz w:val="18"/>
                <w:szCs w:val="18"/>
              </w:rPr>
              <w:t xml:space="preserve"> </w:t>
            </w:r>
            <w:r w:rsidRPr="00487637">
              <w:rPr>
                <w:sz w:val="18"/>
                <w:szCs w:val="18"/>
              </w:rPr>
              <w:t>Percento MSP predávajúce tovar a služby online</w:t>
            </w:r>
          </w:p>
        </w:tc>
      </w:tr>
      <w:tr w:rsidR="00AC7B75" w:rsidRPr="00430B9D" w:rsidTr="00EF2741">
        <w:trPr>
          <w:trHeight w:val="350"/>
          <w:jc w:val="center"/>
        </w:trPr>
        <w:tc>
          <w:tcPr>
            <w:tcW w:w="806" w:type="dxa"/>
            <w:vMerge/>
          </w:tcPr>
          <w:p w:rsidR="00AC7B75" w:rsidRPr="00430B9D" w:rsidRDefault="00AC7B75" w:rsidP="00EF2741">
            <w:pPr>
              <w:rPr>
                <w:sz w:val="18"/>
                <w:szCs w:val="18"/>
              </w:rPr>
            </w:pPr>
          </w:p>
        </w:tc>
        <w:tc>
          <w:tcPr>
            <w:tcW w:w="606" w:type="dxa"/>
            <w:vMerge/>
            <w:vAlign w:val="center"/>
          </w:tcPr>
          <w:p w:rsidR="00AC7B75" w:rsidRPr="00430B9D" w:rsidRDefault="00AC7B75" w:rsidP="00EF2741">
            <w:pPr>
              <w:jc w:val="center"/>
              <w:rPr>
                <w:sz w:val="18"/>
                <w:szCs w:val="18"/>
              </w:rPr>
            </w:pPr>
          </w:p>
        </w:tc>
        <w:tc>
          <w:tcPr>
            <w:tcW w:w="1245" w:type="dxa"/>
            <w:vMerge/>
            <w:vAlign w:val="center"/>
          </w:tcPr>
          <w:p w:rsidR="00AC7B75" w:rsidRPr="00430B9D" w:rsidRDefault="00AC7B75" w:rsidP="00EF2741">
            <w:pPr>
              <w:jc w:val="center"/>
              <w:rPr>
                <w:color w:val="000000"/>
                <w:sz w:val="18"/>
                <w:szCs w:val="18"/>
              </w:rPr>
            </w:pPr>
          </w:p>
        </w:tc>
        <w:tc>
          <w:tcPr>
            <w:tcW w:w="1417" w:type="dxa"/>
            <w:vMerge/>
            <w:vAlign w:val="center"/>
          </w:tcPr>
          <w:p w:rsidR="00AC7B75" w:rsidRPr="00430B9D" w:rsidRDefault="00AC7B75" w:rsidP="00EF2741">
            <w:pPr>
              <w:jc w:val="center"/>
              <w:rPr>
                <w:color w:val="000000"/>
                <w:sz w:val="18"/>
                <w:szCs w:val="18"/>
              </w:rPr>
            </w:pPr>
          </w:p>
        </w:tc>
        <w:tc>
          <w:tcPr>
            <w:tcW w:w="2410" w:type="dxa"/>
            <w:vMerge/>
          </w:tcPr>
          <w:p w:rsidR="00AC7B75" w:rsidRPr="00430B9D" w:rsidRDefault="00AC7B75" w:rsidP="00EF2741">
            <w:pPr>
              <w:rPr>
                <w:color w:val="000000"/>
                <w:sz w:val="18"/>
                <w:szCs w:val="18"/>
              </w:rPr>
            </w:pPr>
          </w:p>
        </w:tc>
        <w:tc>
          <w:tcPr>
            <w:tcW w:w="2693" w:type="dxa"/>
            <w:vMerge/>
            <w:vAlign w:val="center"/>
          </w:tcPr>
          <w:p w:rsidR="00AC7B75" w:rsidRPr="00876182" w:rsidRDefault="00AC7B75" w:rsidP="00EF2741">
            <w:pPr>
              <w:pStyle w:val="Style30"/>
              <w:widowControl/>
              <w:rPr>
                <w:sz w:val="18"/>
                <w:szCs w:val="18"/>
              </w:rPr>
            </w:pPr>
          </w:p>
        </w:tc>
        <w:tc>
          <w:tcPr>
            <w:tcW w:w="2730" w:type="dxa"/>
            <w:vMerge/>
            <w:tcBorders>
              <w:bottom w:val="single" w:sz="4" w:space="0" w:color="auto"/>
            </w:tcBorders>
            <w:vAlign w:val="center"/>
          </w:tcPr>
          <w:p w:rsidR="00AC7B75" w:rsidRPr="00430B9D" w:rsidDel="00876182" w:rsidRDefault="00AC7B75" w:rsidP="00EF2741">
            <w:pPr>
              <w:rPr>
                <w:sz w:val="18"/>
                <w:szCs w:val="18"/>
              </w:rPr>
            </w:pPr>
          </w:p>
        </w:tc>
        <w:tc>
          <w:tcPr>
            <w:tcW w:w="2363" w:type="dxa"/>
            <w:tcBorders>
              <w:bottom w:val="single" w:sz="4" w:space="0" w:color="auto"/>
            </w:tcBorders>
            <w:vAlign w:val="center"/>
          </w:tcPr>
          <w:p w:rsidR="00AC7B75" w:rsidRPr="00430B9D" w:rsidDel="00876182" w:rsidRDefault="00AC7B75" w:rsidP="00EF2741">
            <w:pPr>
              <w:rPr>
                <w:sz w:val="18"/>
                <w:szCs w:val="18"/>
              </w:rPr>
            </w:pPr>
            <w:r w:rsidRPr="00487637">
              <w:rPr>
                <w:sz w:val="18"/>
                <w:szCs w:val="18"/>
              </w:rPr>
              <w:t>Percento občanov objednávajúcich tovar a služby online</w:t>
            </w:r>
          </w:p>
        </w:tc>
      </w:tr>
      <w:tr w:rsidR="00AC7B75" w:rsidRPr="00430B9D" w:rsidTr="00EF2741">
        <w:trPr>
          <w:trHeight w:val="520"/>
          <w:jc w:val="center"/>
        </w:trPr>
        <w:tc>
          <w:tcPr>
            <w:tcW w:w="806" w:type="dxa"/>
            <w:vMerge/>
          </w:tcPr>
          <w:p w:rsidR="00AC7B75" w:rsidRPr="00430B9D" w:rsidRDefault="00AC7B75" w:rsidP="00EF2741">
            <w:pPr>
              <w:rPr>
                <w:sz w:val="18"/>
                <w:szCs w:val="18"/>
              </w:rPr>
            </w:pPr>
          </w:p>
        </w:tc>
        <w:tc>
          <w:tcPr>
            <w:tcW w:w="606" w:type="dxa"/>
            <w:vMerge/>
            <w:vAlign w:val="center"/>
          </w:tcPr>
          <w:p w:rsidR="00AC7B75" w:rsidRPr="00430B9D" w:rsidRDefault="00AC7B75" w:rsidP="00EF2741">
            <w:pPr>
              <w:jc w:val="center"/>
              <w:rPr>
                <w:color w:val="000000"/>
                <w:sz w:val="18"/>
                <w:szCs w:val="18"/>
              </w:rPr>
            </w:pPr>
          </w:p>
        </w:tc>
        <w:tc>
          <w:tcPr>
            <w:tcW w:w="1245" w:type="dxa"/>
            <w:vMerge/>
            <w:vAlign w:val="center"/>
          </w:tcPr>
          <w:p w:rsidR="00AC7B75" w:rsidRPr="00430B9D" w:rsidRDefault="00AC7B75" w:rsidP="00EF2741">
            <w:pPr>
              <w:jc w:val="center"/>
              <w:rPr>
                <w:color w:val="000000"/>
                <w:sz w:val="18"/>
                <w:szCs w:val="18"/>
              </w:rPr>
            </w:pPr>
          </w:p>
        </w:tc>
        <w:tc>
          <w:tcPr>
            <w:tcW w:w="1417" w:type="dxa"/>
            <w:vMerge/>
            <w:vAlign w:val="center"/>
          </w:tcPr>
          <w:p w:rsidR="00AC7B75" w:rsidRPr="00430B9D" w:rsidRDefault="00AC7B75" w:rsidP="00EF2741">
            <w:pPr>
              <w:jc w:val="center"/>
              <w:rPr>
                <w:sz w:val="18"/>
                <w:szCs w:val="18"/>
              </w:rPr>
            </w:pPr>
          </w:p>
        </w:tc>
        <w:tc>
          <w:tcPr>
            <w:tcW w:w="2410" w:type="dxa"/>
            <w:vMerge/>
          </w:tcPr>
          <w:p w:rsidR="00AC7B75" w:rsidRPr="00430B9D" w:rsidRDefault="00AC7B75" w:rsidP="00EF2741">
            <w:pPr>
              <w:rPr>
                <w:sz w:val="18"/>
                <w:szCs w:val="18"/>
              </w:rPr>
            </w:pPr>
          </w:p>
        </w:tc>
        <w:tc>
          <w:tcPr>
            <w:tcW w:w="2693" w:type="dxa"/>
            <w:vMerge w:val="restart"/>
            <w:vAlign w:val="center"/>
          </w:tcPr>
          <w:p w:rsidR="00AC7B75" w:rsidRPr="00876182" w:rsidRDefault="00AC7B75" w:rsidP="00EF2741">
            <w:pPr>
              <w:pStyle w:val="Style30"/>
              <w:widowControl/>
              <w:rPr>
                <w:sz w:val="18"/>
                <w:szCs w:val="18"/>
              </w:rPr>
            </w:pPr>
            <w:r w:rsidRPr="00876182">
              <w:rPr>
                <w:sz w:val="18"/>
                <w:szCs w:val="18"/>
              </w:rPr>
              <w:t>Posilnenie aplikácií IKT v rámci elektronickej štátnej správy, elektronického vzdelávania, elektronickej inklúzie, elektronickej kultúry a elektronického zdravotníctva</w:t>
            </w:r>
          </w:p>
          <w:p w:rsidR="00AC7B75" w:rsidRPr="00876182" w:rsidRDefault="00AC7B75" w:rsidP="00EF2741">
            <w:pPr>
              <w:pStyle w:val="Style30"/>
              <w:rPr>
                <w:sz w:val="18"/>
                <w:szCs w:val="18"/>
              </w:rPr>
            </w:pPr>
          </w:p>
        </w:tc>
        <w:tc>
          <w:tcPr>
            <w:tcW w:w="2730" w:type="dxa"/>
            <w:vMerge w:val="restart"/>
            <w:vAlign w:val="center"/>
          </w:tcPr>
          <w:p w:rsidR="00AC7B75" w:rsidRPr="00430B9D" w:rsidDel="00876182" w:rsidRDefault="00AC7B75" w:rsidP="00EF2741">
            <w:pPr>
              <w:pStyle w:val="Style30"/>
              <w:widowControl/>
              <w:rPr>
                <w:sz w:val="18"/>
                <w:szCs w:val="18"/>
              </w:rPr>
            </w:pPr>
            <w:r w:rsidRPr="00430B9D">
              <w:rPr>
                <w:sz w:val="18"/>
                <w:szCs w:val="18"/>
              </w:rPr>
              <w:t>7</w:t>
            </w:r>
            <w:r>
              <w:rPr>
                <w:sz w:val="18"/>
                <w:szCs w:val="18"/>
              </w:rPr>
              <w:t>.3</w:t>
            </w:r>
            <w:r w:rsidRPr="00430B9D">
              <w:rPr>
                <w:sz w:val="18"/>
                <w:szCs w:val="18"/>
              </w:rPr>
              <w:t xml:space="preserve"> </w:t>
            </w:r>
            <w:r w:rsidRPr="00876182">
              <w:rPr>
                <w:sz w:val="18"/>
                <w:szCs w:val="18"/>
              </w:rPr>
              <w:t>Zvýšenie kvality, štandardu a dostupnosti eGovernment služieb pre podnikateľov</w:t>
            </w:r>
          </w:p>
        </w:tc>
        <w:tc>
          <w:tcPr>
            <w:tcW w:w="2363" w:type="dxa"/>
          </w:tcPr>
          <w:p w:rsidR="00AC7B75" w:rsidRPr="00430B9D" w:rsidRDefault="00AC7B75" w:rsidP="00EF2741">
            <w:pPr>
              <w:rPr>
                <w:sz w:val="18"/>
                <w:szCs w:val="18"/>
              </w:rPr>
            </w:pPr>
            <w:r w:rsidRPr="00430B9D">
              <w:rPr>
                <w:sz w:val="18"/>
                <w:szCs w:val="18"/>
              </w:rPr>
              <w:t>Celková spokojnosť podnikateľov so službami eGovernmentu</w:t>
            </w:r>
          </w:p>
        </w:tc>
      </w:tr>
      <w:tr w:rsidR="00AC7B75" w:rsidRPr="00430B9D" w:rsidTr="00EF2741">
        <w:trPr>
          <w:trHeight w:val="519"/>
          <w:jc w:val="center"/>
        </w:trPr>
        <w:tc>
          <w:tcPr>
            <w:tcW w:w="806" w:type="dxa"/>
            <w:vMerge/>
          </w:tcPr>
          <w:p w:rsidR="00AC7B75" w:rsidRPr="00430B9D" w:rsidRDefault="00AC7B75" w:rsidP="00EF2741">
            <w:pPr>
              <w:rPr>
                <w:sz w:val="18"/>
                <w:szCs w:val="18"/>
              </w:rPr>
            </w:pPr>
          </w:p>
        </w:tc>
        <w:tc>
          <w:tcPr>
            <w:tcW w:w="606" w:type="dxa"/>
            <w:vMerge/>
            <w:vAlign w:val="center"/>
          </w:tcPr>
          <w:p w:rsidR="00AC7B75" w:rsidRPr="00430B9D" w:rsidRDefault="00AC7B75" w:rsidP="00EF2741">
            <w:pPr>
              <w:jc w:val="center"/>
              <w:rPr>
                <w:color w:val="000000"/>
                <w:sz w:val="18"/>
                <w:szCs w:val="18"/>
              </w:rPr>
            </w:pPr>
          </w:p>
        </w:tc>
        <w:tc>
          <w:tcPr>
            <w:tcW w:w="1245" w:type="dxa"/>
            <w:vMerge/>
            <w:vAlign w:val="center"/>
          </w:tcPr>
          <w:p w:rsidR="00AC7B75" w:rsidRPr="00430B9D" w:rsidRDefault="00AC7B75" w:rsidP="00EF2741">
            <w:pPr>
              <w:jc w:val="center"/>
              <w:rPr>
                <w:color w:val="000000"/>
                <w:sz w:val="18"/>
                <w:szCs w:val="18"/>
              </w:rPr>
            </w:pPr>
          </w:p>
        </w:tc>
        <w:tc>
          <w:tcPr>
            <w:tcW w:w="1417" w:type="dxa"/>
            <w:vMerge/>
            <w:vAlign w:val="center"/>
          </w:tcPr>
          <w:p w:rsidR="00AC7B75" w:rsidRPr="00430B9D" w:rsidRDefault="00AC7B75" w:rsidP="00EF2741">
            <w:pPr>
              <w:jc w:val="center"/>
              <w:rPr>
                <w:sz w:val="18"/>
                <w:szCs w:val="18"/>
              </w:rPr>
            </w:pPr>
          </w:p>
        </w:tc>
        <w:tc>
          <w:tcPr>
            <w:tcW w:w="2410" w:type="dxa"/>
            <w:vMerge/>
          </w:tcPr>
          <w:p w:rsidR="00AC7B75" w:rsidRPr="00430B9D" w:rsidRDefault="00AC7B75" w:rsidP="00EF2741">
            <w:pPr>
              <w:rPr>
                <w:sz w:val="18"/>
                <w:szCs w:val="18"/>
              </w:rPr>
            </w:pPr>
          </w:p>
        </w:tc>
        <w:tc>
          <w:tcPr>
            <w:tcW w:w="2693" w:type="dxa"/>
            <w:vMerge/>
            <w:vAlign w:val="center"/>
          </w:tcPr>
          <w:p w:rsidR="00AC7B75" w:rsidRPr="00876182" w:rsidRDefault="00AC7B75" w:rsidP="00EF2741">
            <w:pPr>
              <w:pStyle w:val="Style30"/>
              <w:rPr>
                <w:sz w:val="18"/>
                <w:szCs w:val="18"/>
              </w:rPr>
            </w:pPr>
          </w:p>
        </w:tc>
        <w:tc>
          <w:tcPr>
            <w:tcW w:w="2730" w:type="dxa"/>
            <w:vMerge/>
            <w:vAlign w:val="center"/>
          </w:tcPr>
          <w:p w:rsidR="00AC7B75" w:rsidRPr="00430B9D" w:rsidRDefault="00AC7B75" w:rsidP="00EF2741">
            <w:pPr>
              <w:pStyle w:val="Style30"/>
              <w:widowControl/>
              <w:rPr>
                <w:sz w:val="18"/>
                <w:szCs w:val="18"/>
              </w:rPr>
            </w:pPr>
          </w:p>
        </w:tc>
        <w:tc>
          <w:tcPr>
            <w:tcW w:w="2363" w:type="dxa"/>
          </w:tcPr>
          <w:p w:rsidR="00AC7B75" w:rsidRPr="00430B9D" w:rsidRDefault="00AC7B75" w:rsidP="00EF2741">
            <w:pPr>
              <w:rPr>
                <w:sz w:val="18"/>
                <w:szCs w:val="18"/>
              </w:rPr>
            </w:pPr>
            <w:r w:rsidRPr="00430B9D">
              <w:rPr>
                <w:sz w:val="18"/>
                <w:szCs w:val="18"/>
              </w:rPr>
              <w:t>Celkové používanie služieb eGovernmentu podnikateľmi</w:t>
            </w:r>
          </w:p>
        </w:tc>
      </w:tr>
      <w:tr w:rsidR="00AC7B75" w:rsidRPr="00430B9D" w:rsidTr="00EF2741">
        <w:trPr>
          <w:trHeight w:val="257"/>
          <w:jc w:val="center"/>
        </w:trPr>
        <w:tc>
          <w:tcPr>
            <w:tcW w:w="806" w:type="dxa"/>
            <w:vMerge/>
          </w:tcPr>
          <w:p w:rsidR="00AC7B75" w:rsidRPr="00430B9D" w:rsidRDefault="00AC7B75" w:rsidP="00EF2741">
            <w:pPr>
              <w:rPr>
                <w:sz w:val="18"/>
                <w:szCs w:val="18"/>
              </w:rPr>
            </w:pPr>
          </w:p>
        </w:tc>
        <w:tc>
          <w:tcPr>
            <w:tcW w:w="606" w:type="dxa"/>
            <w:vMerge/>
            <w:vAlign w:val="center"/>
          </w:tcPr>
          <w:p w:rsidR="00AC7B75" w:rsidRPr="00430B9D" w:rsidRDefault="00AC7B75" w:rsidP="00EF2741">
            <w:pPr>
              <w:jc w:val="center"/>
              <w:rPr>
                <w:color w:val="000000"/>
                <w:sz w:val="18"/>
                <w:szCs w:val="18"/>
              </w:rPr>
            </w:pPr>
          </w:p>
        </w:tc>
        <w:tc>
          <w:tcPr>
            <w:tcW w:w="1245" w:type="dxa"/>
            <w:vMerge/>
            <w:vAlign w:val="center"/>
          </w:tcPr>
          <w:p w:rsidR="00AC7B75" w:rsidRPr="00430B9D" w:rsidRDefault="00AC7B75" w:rsidP="00EF2741">
            <w:pPr>
              <w:jc w:val="center"/>
              <w:rPr>
                <w:color w:val="000000"/>
                <w:sz w:val="18"/>
                <w:szCs w:val="18"/>
              </w:rPr>
            </w:pPr>
          </w:p>
        </w:tc>
        <w:tc>
          <w:tcPr>
            <w:tcW w:w="1417" w:type="dxa"/>
            <w:vMerge/>
            <w:vAlign w:val="center"/>
          </w:tcPr>
          <w:p w:rsidR="00AC7B75" w:rsidRPr="00430B9D" w:rsidRDefault="00AC7B75" w:rsidP="00EF2741">
            <w:pPr>
              <w:jc w:val="center"/>
              <w:rPr>
                <w:sz w:val="18"/>
                <w:szCs w:val="18"/>
              </w:rPr>
            </w:pPr>
          </w:p>
        </w:tc>
        <w:tc>
          <w:tcPr>
            <w:tcW w:w="2410" w:type="dxa"/>
            <w:vMerge/>
          </w:tcPr>
          <w:p w:rsidR="00AC7B75" w:rsidRPr="00430B9D" w:rsidRDefault="00AC7B75" w:rsidP="00EF2741">
            <w:pPr>
              <w:rPr>
                <w:sz w:val="18"/>
                <w:szCs w:val="18"/>
              </w:rPr>
            </w:pPr>
          </w:p>
        </w:tc>
        <w:tc>
          <w:tcPr>
            <w:tcW w:w="2693" w:type="dxa"/>
            <w:vMerge/>
            <w:vAlign w:val="center"/>
          </w:tcPr>
          <w:p w:rsidR="00AC7B75" w:rsidRPr="00430B9D" w:rsidDel="00876182" w:rsidRDefault="00AC7B75" w:rsidP="00EF2741">
            <w:pPr>
              <w:pStyle w:val="Style30"/>
              <w:rPr>
                <w:sz w:val="18"/>
                <w:szCs w:val="18"/>
              </w:rPr>
            </w:pPr>
          </w:p>
        </w:tc>
        <w:tc>
          <w:tcPr>
            <w:tcW w:w="2730" w:type="dxa"/>
            <w:vMerge w:val="restart"/>
            <w:vAlign w:val="center"/>
          </w:tcPr>
          <w:p w:rsidR="00AC7B75" w:rsidRPr="00430B9D" w:rsidDel="00876182" w:rsidRDefault="00AC7B75" w:rsidP="00EF2741">
            <w:pPr>
              <w:pStyle w:val="Style30"/>
              <w:widowControl/>
              <w:rPr>
                <w:sz w:val="18"/>
                <w:szCs w:val="18"/>
              </w:rPr>
            </w:pPr>
            <w:r>
              <w:rPr>
                <w:sz w:val="18"/>
                <w:szCs w:val="18"/>
              </w:rPr>
              <w:t xml:space="preserve">7.4 </w:t>
            </w:r>
            <w:r w:rsidRPr="00430B9D">
              <w:rPr>
                <w:sz w:val="18"/>
                <w:szCs w:val="18"/>
              </w:rPr>
              <w:t>Zvýšenie kvality, štandardu a dostupnosti eGovernment služieb pre občanov</w:t>
            </w:r>
          </w:p>
        </w:tc>
        <w:tc>
          <w:tcPr>
            <w:tcW w:w="2363" w:type="dxa"/>
          </w:tcPr>
          <w:p w:rsidR="00AC7B75" w:rsidRPr="00430B9D" w:rsidDel="00876182" w:rsidRDefault="00AC7B75" w:rsidP="00EF2741">
            <w:pPr>
              <w:rPr>
                <w:sz w:val="18"/>
                <w:szCs w:val="18"/>
              </w:rPr>
            </w:pPr>
            <w:r w:rsidRPr="00430B9D">
              <w:rPr>
                <w:sz w:val="18"/>
                <w:szCs w:val="18"/>
              </w:rPr>
              <w:t>Celková spokojnosť občanov so službami eGovernmentu</w:t>
            </w:r>
          </w:p>
        </w:tc>
      </w:tr>
      <w:tr w:rsidR="00AC7B75" w:rsidRPr="00430B9D" w:rsidTr="00EF2741">
        <w:trPr>
          <w:trHeight w:val="256"/>
          <w:jc w:val="center"/>
        </w:trPr>
        <w:tc>
          <w:tcPr>
            <w:tcW w:w="806" w:type="dxa"/>
            <w:vMerge/>
          </w:tcPr>
          <w:p w:rsidR="00AC7B75" w:rsidRPr="00430B9D" w:rsidRDefault="00AC7B75" w:rsidP="00EF2741">
            <w:pPr>
              <w:rPr>
                <w:sz w:val="18"/>
                <w:szCs w:val="18"/>
              </w:rPr>
            </w:pPr>
          </w:p>
        </w:tc>
        <w:tc>
          <w:tcPr>
            <w:tcW w:w="606" w:type="dxa"/>
            <w:vMerge/>
            <w:vAlign w:val="center"/>
          </w:tcPr>
          <w:p w:rsidR="00AC7B75" w:rsidRPr="00430B9D" w:rsidRDefault="00AC7B75" w:rsidP="00EF2741">
            <w:pPr>
              <w:jc w:val="center"/>
              <w:rPr>
                <w:color w:val="000000"/>
                <w:sz w:val="18"/>
                <w:szCs w:val="18"/>
              </w:rPr>
            </w:pPr>
          </w:p>
        </w:tc>
        <w:tc>
          <w:tcPr>
            <w:tcW w:w="1245" w:type="dxa"/>
            <w:vMerge/>
            <w:vAlign w:val="center"/>
          </w:tcPr>
          <w:p w:rsidR="00AC7B75" w:rsidRPr="00430B9D" w:rsidRDefault="00AC7B75" w:rsidP="00EF2741">
            <w:pPr>
              <w:jc w:val="center"/>
              <w:rPr>
                <w:color w:val="000000"/>
                <w:sz w:val="18"/>
                <w:szCs w:val="18"/>
              </w:rPr>
            </w:pPr>
          </w:p>
        </w:tc>
        <w:tc>
          <w:tcPr>
            <w:tcW w:w="1417" w:type="dxa"/>
            <w:vMerge/>
            <w:vAlign w:val="center"/>
          </w:tcPr>
          <w:p w:rsidR="00AC7B75" w:rsidRPr="00430B9D" w:rsidRDefault="00AC7B75" w:rsidP="00EF2741">
            <w:pPr>
              <w:jc w:val="center"/>
              <w:rPr>
                <w:sz w:val="18"/>
                <w:szCs w:val="18"/>
              </w:rPr>
            </w:pPr>
          </w:p>
        </w:tc>
        <w:tc>
          <w:tcPr>
            <w:tcW w:w="2410" w:type="dxa"/>
            <w:vMerge/>
          </w:tcPr>
          <w:p w:rsidR="00AC7B75" w:rsidRPr="00430B9D" w:rsidRDefault="00AC7B75" w:rsidP="00EF2741">
            <w:pPr>
              <w:rPr>
                <w:sz w:val="18"/>
                <w:szCs w:val="18"/>
              </w:rPr>
            </w:pPr>
          </w:p>
        </w:tc>
        <w:tc>
          <w:tcPr>
            <w:tcW w:w="2693" w:type="dxa"/>
            <w:vMerge/>
            <w:vAlign w:val="center"/>
          </w:tcPr>
          <w:p w:rsidR="00AC7B75" w:rsidRPr="00430B9D" w:rsidDel="00876182" w:rsidRDefault="00AC7B75" w:rsidP="00EF2741">
            <w:pPr>
              <w:pStyle w:val="Style30"/>
              <w:rPr>
                <w:sz w:val="18"/>
                <w:szCs w:val="18"/>
              </w:rPr>
            </w:pPr>
          </w:p>
        </w:tc>
        <w:tc>
          <w:tcPr>
            <w:tcW w:w="2730" w:type="dxa"/>
            <w:vMerge/>
            <w:vAlign w:val="center"/>
          </w:tcPr>
          <w:p w:rsidR="00AC7B75" w:rsidRDefault="00AC7B75" w:rsidP="00EF2741">
            <w:pPr>
              <w:pStyle w:val="Style30"/>
              <w:widowControl/>
              <w:rPr>
                <w:sz w:val="18"/>
                <w:szCs w:val="18"/>
              </w:rPr>
            </w:pPr>
          </w:p>
        </w:tc>
        <w:tc>
          <w:tcPr>
            <w:tcW w:w="2363" w:type="dxa"/>
          </w:tcPr>
          <w:p w:rsidR="00AC7B75" w:rsidRPr="00430B9D" w:rsidDel="00876182" w:rsidRDefault="00AC7B75" w:rsidP="00EF2741">
            <w:pPr>
              <w:rPr>
                <w:sz w:val="18"/>
                <w:szCs w:val="18"/>
              </w:rPr>
            </w:pPr>
            <w:r w:rsidRPr="00430B9D">
              <w:rPr>
                <w:sz w:val="18"/>
                <w:szCs w:val="18"/>
              </w:rPr>
              <w:t>Celkové používanie služieb eGovernmentu občanmi</w:t>
            </w:r>
          </w:p>
        </w:tc>
      </w:tr>
      <w:tr w:rsidR="00AC7B75" w:rsidRPr="00430B9D" w:rsidTr="00EF2741">
        <w:trPr>
          <w:trHeight w:val="621"/>
          <w:jc w:val="center"/>
        </w:trPr>
        <w:tc>
          <w:tcPr>
            <w:tcW w:w="806" w:type="dxa"/>
            <w:vMerge/>
          </w:tcPr>
          <w:p w:rsidR="00AC7B75" w:rsidRPr="00430B9D" w:rsidRDefault="00AC7B75" w:rsidP="00EF2741">
            <w:pPr>
              <w:rPr>
                <w:sz w:val="18"/>
                <w:szCs w:val="18"/>
              </w:rPr>
            </w:pPr>
          </w:p>
        </w:tc>
        <w:tc>
          <w:tcPr>
            <w:tcW w:w="606" w:type="dxa"/>
            <w:vMerge/>
            <w:vAlign w:val="center"/>
          </w:tcPr>
          <w:p w:rsidR="00AC7B75" w:rsidRPr="00430B9D" w:rsidRDefault="00AC7B75" w:rsidP="00EF2741">
            <w:pPr>
              <w:jc w:val="center"/>
              <w:rPr>
                <w:color w:val="000000"/>
                <w:sz w:val="18"/>
                <w:szCs w:val="18"/>
              </w:rPr>
            </w:pPr>
          </w:p>
        </w:tc>
        <w:tc>
          <w:tcPr>
            <w:tcW w:w="1245" w:type="dxa"/>
            <w:vMerge/>
            <w:vAlign w:val="center"/>
          </w:tcPr>
          <w:p w:rsidR="00AC7B75" w:rsidRPr="00430B9D" w:rsidRDefault="00AC7B75" w:rsidP="00EF2741">
            <w:pPr>
              <w:jc w:val="center"/>
              <w:rPr>
                <w:color w:val="000000"/>
                <w:sz w:val="18"/>
                <w:szCs w:val="18"/>
              </w:rPr>
            </w:pPr>
          </w:p>
        </w:tc>
        <w:tc>
          <w:tcPr>
            <w:tcW w:w="1417" w:type="dxa"/>
            <w:vMerge/>
            <w:vAlign w:val="center"/>
          </w:tcPr>
          <w:p w:rsidR="00AC7B75" w:rsidRPr="00430B9D" w:rsidRDefault="00AC7B75" w:rsidP="00EF2741">
            <w:pPr>
              <w:jc w:val="center"/>
              <w:rPr>
                <w:sz w:val="18"/>
                <w:szCs w:val="18"/>
              </w:rPr>
            </w:pPr>
          </w:p>
        </w:tc>
        <w:tc>
          <w:tcPr>
            <w:tcW w:w="2410" w:type="dxa"/>
            <w:vMerge/>
          </w:tcPr>
          <w:p w:rsidR="00AC7B75" w:rsidRPr="00430B9D" w:rsidRDefault="00AC7B75" w:rsidP="00EF2741">
            <w:pPr>
              <w:rPr>
                <w:sz w:val="18"/>
                <w:szCs w:val="18"/>
              </w:rPr>
            </w:pPr>
          </w:p>
        </w:tc>
        <w:tc>
          <w:tcPr>
            <w:tcW w:w="2693" w:type="dxa"/>
            <w:vMerge/>
            <w:vAlign w:val="center"/>
          </w:tcPr>
          <w:p w:rsidR="00AC7B75" w:rsidRPr="00430B9D" w:rsidDel="00876182" w:rsidRDefault="00AC7B75" w:rsidP="00EF2741">
            <w:pPr>
              <w:pStyle w:val="Style30"/>
              <w:rPr>
                <w:sz w:val="18"/>
                <w:szCs w:val="18"/>
              </w:rPr>
            </w:pPr>
          </w:p>
        </w:tc>
        <w:tc>
          <w:tcPr>
            <w:tcW w:w="2730" w:type="dxa"/>
            <w:vAlign w:val="center"/>
          </w:tcPr>
          <w:p w:rsidR="00AC7B75" w:rsidRPr="00430B9D" w:rsidDel="00876182" w:rsidRDefault="00AC7B75" w:rsidP="00EF2741">
            <w:pPr>
              <w:pStyle w:val="Style30"/>
              <w:widowControl/>
              <w:rPr>
                <w:sz w:val="18"/>
                <w:szCs w:val="18"/>
              </w:rPr>
            </w:pPr>
            <w:r>
              <w:rPr>
                <w:sz w:val="18"/>
                <w:szCs w:val="18"/>
              </w:rPr>
              <w:t xml:space="preserve">7.5 </w:t>
            </w:r>
            <w:r w:rsidRPr="00430B9D">
              <w:rPr>
                <w:sz w:val="18"/>
                <w:szCs w:val="18"/>
              </w:rPr>
              <w:t>Zlepšovanie celkovej dostupnosti dát verejnej správy vo forme otvorených dát</w:t>
            </w:r>
          </w:p>
        </w:tc>
        <w:tc>
          <w:tcPr>
            <w:tcW w:w="2363" w:type="dxa"/>
          </w:tcPr>
          <w:p w:rsidR="00AC7B75" w:rsidRPr="00430B9D" w:rsidDel="00876182" w:rsidRDefault="00AC7B75" w:rsidP="00EF2741">
            <w:pPr>
              <w:rPr>
                <w:sz w:val="18"/>
                <w:szCs w:val="18"/>
              </w:rPr>
            </w:pPr>
            <w:r w:rsidRPr="00430B9D">
              <w:rPr>
                <w:sz w:val="18"/>
                <w:szCs w:val="18"/>
              </w:rPr>
              <w:t>Počet stiahnutí otvorených dát</w:t>
            </w:r>
          </w:p>
        </w:tc>
      </w:tr>
      <w:tr w:rsidR="00AC7B75" w:rsidRPr="00430B9D" w:rsidTr="00EF2741">
        <w:trPr>
          <w:trHeight w:val="257"/>
          <w:jc w:val="center"/>
        </w:trPr>
        <w:tc>
          <w:tcPr>
            <w:tcW w:w="806" w:type="dxa"/>
            <w:vMerge/>
          </w:tcPr>
          <w:p w:rsidR="00AC7B75" w:rsidRPr="00430B9D" w:rsidRDefault="00AC7B75" w:rsidP="00EF2741">
            <w:pPr>
              <w:rPr>
                <w:sz w:val="18"/>
                <w:szCs w:val="18"/>
              </w:rPr>
            </w:pPr>
          </w:p>
        </w:tc>
        <w:tc>
          <w:tcPr>
            <w:tcW w:w="606" w:type="dxa"/>
            <w:vMerge/>
            <w:vAlign w:val="center"/>
          </w:tcPr>
          <w:p w:rsidR="00AC7B75" w:rsidRPr="00430B9D" w:rsidRDefault="00AC7B75" w:rsidP="00EF2741">
            <w:pPr>
              <w:jc w:val="center"/>
              <w:rPr>
                <w:color w:val="000000"/>
                <w:sz w:val="18"/>
                <w:szCs w:val="18"/>
              </w:rPr>
            </w:pPr>
          </w:p>
        </w:tc>
        <w:tc>
          <w:tcPr>
            <w:tcW w:w="1245" w:type="dxa"/>
            <w:vMerge/>
            <w:vAlign w:val="center"/>
          </w:tcPr>
          <w:p w:rsidR="00AC7B75" w:rsidRPr="00430B9D" w:rsidRDefault="00AC7B75" w:rsidP="00EF2741">
            <w:pPr>
              <w:jc w:val="center"/>
              <w:rPr>
                <w:color w:val="000000"/>
                <w:sz w:val="18"/>
                <w:szCs w:val="18"/>
              </w:rPr>
            </w:pPr>
          </w:p>
        </w:tc>
        <w:tc>
          <w:tcPr>
            <w:tcW w:w="1417" w:type="dxa"/>
            <w:vMerge/>
            <w:vAlign w:val="center"/>
          </w:tcPr>
          <w:p w:rsidR="00AC7B75" w:rsidRPr="00430B9D" w:rsidRDefault="00AC7B75" w:rsidP="00EF2741">
            <w:pPr>
              <w:jc w:val="center"/>
              <w:rPr>
                <w:sz w:val="18"/>
                <w:szCs w:val="18"/>
              </w:rPr>
            </w:pPr>
          </w:p>
        </w:tc>
        <w:tc>
          <w:tcPr>
            <w:tcW w:w="2410" w:type="dxa"/>
            <w:vMerge/>
          </w:tcPr>
          <w:p w:rsidR="00AC7B75" w:rsidRPr="00430B9D" w:rsidRDefault="00AC7B75" w:rsidP="00EF2741">
            <w:pPr>
              <w:rPr>
                <w:sz w:val="18"/>
                <w:szCs w:val="18"/>
              </w:rPr>
            </w:pPr>
          </w:p>
        </w:tc>
        <w:tc>
          <w:tcPr>
            <w:tcW w:w="2693" w:type="dxa"/>
            <w:vMerge/>
            <w:vAlign w:val="center"/>
          </w:tcPr>
          <w:p w:rsidR="00AC7B75" w:rsidRPr="00430B9D" w:rsidDel="00876182" w:rsidRDefault="00AC7B75" w:rsidP="00EF2741">
            <w:pPr>
              <w:pStyle w:val="Style30"/>
              <w:rPr>
                <w:sz w:val="18"/>
                <w:szCs w:val="18"/>
              </w:rPr>
            </w:pPr>
          </w:p>
        </w:tc>
        <w:tc>
          <w:tcPr>
            <w:tcW w:w="2730" w:type="dxa"/>
            <w:vMerge w:val="restart"/>
            <w:vAlign w:val="center"/>
          </w:tcPr>
          <w:p w:rsidR="00AC7B75" w:rsidRPr="00430B9D" w:rsidDel="00876182" w:rsidRDefault="00AC7B75" w:rsidP="00EF2741">
            <w:pPr>
              <w:pStyle w:val="Style30"/>
              <w:widowControl/>
              <w:rPr>
                <w:sz w:val="18"/>
                <w:szCs w:val="18"/>
              </w:rPr>
            </w:pPr>
            <w:r>
              <w:rPr>
                <w:sz w:val="18"/>
                <w:szCs w:val="18"/>
              </w:rPr>
              <w:t xml:space="preserve">7.6 </w:t>
            </w:r>
            <w:r w:rsidRPr="00430B9D">
              <w:rPr>
                <w:sz w:val="18"/>
                <w:szCs w:val="18"/>
              </w:rPr>
              <w:t>Zlepšenie digitálnych zručností a inklúzie znevýhodnených jednotlivcov do digitálneho trhu</w:t>
            </w:r>
          </w:p>
        </w:tc>
        <w:tc>
          <w:tcPr>
            <w:tcW w:w="2363" w:type="dxa"/>
          </w:tcPr>
          <w:p w:rsidR="00AC7B75" w:rsidRPr="00430B9D" w:rsidDel="00876182" w:rsidRDefault="00AC7B75" w:rsidP="00EF2741">
            <w:pPr>
              <w:rPr>
                <w:sz w:val="18"/>
                <w:szCs w:val="18"/>
              </w:rPr>
            </w:pPr>
            <w:r w:rsidRPr="00430B9D">
              <w:rPr>
                <w:sz w:val="18"/>
                <w:szCs w:val="18"/>
              </w:rPr>
              <w:t>Percento znevýhodnených jednotlivcov používajúcich internet</w:t>
            </w:r>
          </w:p>
        </w:tc>
      </w:tr>
      <w:tr w:rsidR="00AC7B75" w:rsidRPr="00430B9D" w:rsidTr="00EF2741">
        <w:trPr>
          <w:trHeight w:val="256"/>
          <w:jc w:val="center"/>
        </w:trPr>
        <w:tc>
          <w:tcPr>
            <w:tcW w:w="806" w:type="dxa"/>
            <w:vMerge/>
          </w:tcPr>
          <w:p w:rsidR="00AC7B75" w:rsidRPr="00430B9D" w:rsidRDefault="00AC7B75" w:rsidP="00EF2741">
            <w:pPr>
              <w:rPr>
                <w:sz w:val="18"/>
                <w:szCs w:val="18"/>
              </w:rPr>
            </w:pPr>
          </w:p>
        </w:tc>
        <w:tc>
          <w:tcPr>
            <w:tcW w:w="606" w:type="dxa"/>
            <w:vMerge/>
            <w:vAlign w:val="center"/>
          </w:tcPr>
          <w:p w:rsidR="00AC7B75" w:rsidRPr="00430B9D" w:rsidRDefault="00AC7B75" w:rsidP="00EF2741">
            <w:pPr>
              <w:jc w:val="center"/>
              <w:rPr>
                <w:color w:val="000000"/>
                <w:sz w:val="18"/>
                <w:szCs w:val="18"/>
              </w:rPr>
            </w:pPr>
          </w:p>
        </w:tc>
        <w:tc>
          <w:tcPr>
            <w:tcW w:w="1245" w:type="dxa"/>
            <w:vMerge/>
            <w:vAlign w:val="center"/>
          </w:tcPr>
          <w:p w:rsidR="00AC7B75" w:rsidRPr="00430B9D" w:rsidRDefault="00AC7B75" w:rsidP="00EF2741">
            <w:pPr>
              <w:jc w:val="center"/>
              <w:rPr>
                <w:color w:val="000000"/>
                <w:sz w:val="18"/>
                <w:szCs w:val="18"/>
              </w:rPr>
            </w:pPr>
          </w:p>
        </w:tc>
        <w:tc>
          <w:tcPr>
            <w:tcW w:w="1417" w:type="dxa"/>
            <w:vMerge/>
            <w:vAlign w:val="center"/>
          </w:tcPr>
          <w:p w:rsidR="00AC7B75" w:rsidRPr="00430B9D" w:rsidRDefault="00AC7B75" w:rsidP="00EF2741">
            <w:pPr>
              <w:jc w:val="center"/>
              <w:rPr>
                <w:sz w:val="18"/>
                <w:szCs w:val="18"/>
              </w:rPr>
            </w:pPr>
          </w:p>
        </w:tc>
        <w:tc>
          <w:tcPr>
            <w:tcW w:w="2410" w:type="dxa"/>
            <w:vMerge/>
          </w:tcPr>
          <w:p w:rsidR="00AC7B75" w:rsidRPr="00430B9D" w:rsidRDefault="00AC7B75" w:rsidP="00EF2741">
            <w:pPr>
              <w:rPr>
                <w:sz w:val="18"/>
                <w:szCs w:val="18"/>
              </w:rPr>
            </w:pPr>
          </w:p>
        </w:tc>
        <w:tc>
          <w:tcPr>
            <w:tcW w:w="2693" w:type="dxa"/>
            <w:vMerge/>
            <w:vAlign w:val="center"/>
          </w:tcPr>
          <w:p w:rsidR="00AC7B75" w:rsidRPr="00430B9D" w:rsidDel="00876182" w:rsidRDefault="00AC7B75" w:rsidP="00EF2741">
            <w:pPr>
              <w:pStyle w:val="Style30"/>
              <w:rPr>
                <w:sz w:val="18"/>
                <w:szCs w:val="18"/>
              </w:rPr>
            </w:pPr>
          </w:p>
        </w:tc>
        <w:tc>
          <w:tcPr>
            <w:tcW w:w="2730" w:type="dxa"/>
            <w:vMerge/>
            <w:vAlign w:val="center"/>
          </w:tcPr>
          <w:p w:rsidR="00AC7B75" w:rsidRDefault="00AC7B75" w:rsidP="00EF2741">
            <w:pPr>
              <w:pStyle w:val="Style30"/>
              <w:widowControl/>
              <w:rPr>
                <w:sz w:val="18"/>
                <w:szCs w:val="18"/>
              </w:rPr>
            </w:pPr>
          </w:p>
        </w:tc>
        <w:tc>
          <w:tcPr>
            <w:tcW w:w="2363" w:type="dxa"/>
          </w:tcPr>
          <w:p w:rsidR="00AC7B75" w:rsidRPr="00430B9D" w:rsidDel="00876182" w:rsidRDefault="00AC7B75" w:rsidP="00EF2741">
            <w:pPr>
              <w:rPr>
                <w:sz w:val="18"/>
                <w:szCs w:val="18"/>
              </w:rPr>
            </w:pPr>
            <w:r w:rsidRPr="00430B9D">
              <w:rPr>
                <w:sz w:val="18"/>
                <w:szCs w:val="18"/>
              </w:rPr>
              <w:t>Percento jednotlivcov so strednými až vysokými počítačovými zručnosťami</w:t>
            </w:r>
          </w:p>
        </w:tc>
      </w:tr>
      <w:tr w:rsidR="00AC7B75" w:rsidRPr="00430B9D" w:rsidTr="00EF2741">
        <w:trPr>
          <w:trHeight w:val="413"/>
          <w:jc w:val="center"/>
        </w:trPr>
        <w:tc>
          <w:tcPr>
            <w:tcW w:w="806" w:type="dxa"/>
            <w:vMerge/>
          </w:tcPr>
          <w:p w:rsidR="00AC7B75" w:rsidRPr="00430B9D" w:rsidRDefault="00AC7B75" w:rsidP="00EF2741">
            <w:pPr>
              <w:rPr>
                <w:sz w:val="18"/>
                <w:szCs w:val="18"/>
              </w:rPr>
            </w:pPr>
          </w:p>
        </w:tc>
        <w:tc>
          <w:tcPr>
            <w:tcW w:w="606" w:type="dxa"/>
            <w:vMerge/>
            <w:vAlign w:val="center"/>
          </w:tcPr>
          <w:p w:rsidR="00AC7B75" w:rsidRPr="00430B9D" w:rsidRDefault="00AC7B75" w:rsidP="00EF2741">
            <w:pPr>
              <w:jc w:val="center"/>
              <w:rPr>
                <w:color w:val="000000"/>
                <w:sz w:val="18"/>
                <w:szCs w:val="18"/>
              </w:rPr>
            </w:pPr>
          </w:p>
        </w:tc>
        <w:tc>
          <w:tcPr>
            <w:tcW w:w="1245" w:type="dxa"/>
            <w:vMerge/>
            <w:vAlign w:val="center"/>
          </w:tcPr>
          <w:p w:rsidR="00AC7B75" w:rsidRPr="00430B9D" w:rsidRDefault="00AC7B75" w:rsidP="00EF2741">
            <w:pPr>
              <w:jc w:val="center"/>
              <w:rPr>
                <w:color w:val="000000"/>
                <w:sz w:val="18"/>
                <w:szCs w:val="18"/>
              </w:rPr>
            </w:pPr>
          </w:p>
        </w:tc>
        <w:tc>
          <w:tcPr>
            <w:tcW w:w="1417" w:type="dxa"/>
            <w:vMerge/>
            <w:vAlign w:val="center"/>
          </w:tcPr>
          <w:p w:rsidR="00AC7B75" w:rsidRPr="00430B9D" w:rsidRDefault="00AC7B75" w:rsidP="00EF2741">
            <w:pPr>
              <w:jc w:val="center"/>
              <w:rPr>
                <w:sz w:val="18"/>
                <w:szCs w:val="18"/>
              </w:rPr>
            </w:pPr>
          </w:p>
        </w:tc>
        <w:tc>
          <w:tcPr>
            <w:tcW w:w="2410" w:type="dxa"/>
            <w:vMerge/>
          </w:tcPr>
          <w:p w:rsidR="00AC7B75" w:rsidRPr="00430B9D" w:rsidRDefault="00AC7B75" w:rsidP="00EF2741">
            <w:pPr>
              <w:rPr>
                <w:sz w:val="18"/>
                <w:szCs w:val="18"/>
              </w:rPr>
            </w:pPr>
          </w:p>
        </w:tc>
        <w:tc>
          <w:tcPr>
            <w:tcW w:w="2693" w:type="dxa"/>
            <w:vMerge/>
            <w:vAlign w:val="center"/>
          </w:tcPr>
          <w:p w:rsidR="00AC7B75" w:rsidRPr="00430B9D" w:rsidDel="00876182" w:rsidRDefault="00AC7B75" w:rsidP="00EF2741">
            <w:pPr>
              <w:pStyle w:val="Style30"/>
              <w:rPr>
                <w:sz w:val="18"/>
                <w:szCs w:val="18"/>
              </w:rPr>
            </w:pPr>
          </w:p>
        </w:tc>
        <w:tc>
          <w:tcPr>
            <w:tcW w:w="2730" w:type="dxa"/>
            <w:vAlign w:val="center"/>
          </w:tcPr>
          <w:p w:rsidR="00AC7B75" w:rsidRDefault="00AC7B75" w:rsidP="00EF2741">
            <w:pPr>
              <w:pStyle w:val="Style30"/>
              <w:widowControl/>
              <w:rPr>
                <w:sz w:val="18"/>
                <w:szCs w:val="18"/>
              </w:rPr>
            </w:pPr>
            <w:r>
              <w:rPr>
                <w:sz w:val="18"/>
                <w:szCs w:val="18"/>
              </w:rPr>
              <w:t xml:space="preserve">7.7 </w:t>
            </w:r>
            <w:r w:rsidRPr="007F1C63">
              <w:rPr>
                <w:sz w:val="18"/>
                <w:szCs w:val="18"/>
              </w:rPr>
              <w:t>Umožnenie modernizácie a racionalizácie verejnej správy IKT prostriedkami</w:t>
            </w:r>
          </w:p>
        </w:tc>
        <w:tc>
          <w:tcPr>
            <w:tcW w:w="2363" w:type="dxa"/>
          </w:tcPr>
          <w:p w:rsidR="00AC7B75" w:rsidRPr="00430B9D" w:rsidDel="00876182" w:rsidRDefault="00AC7B75" w:rsidP="00EF2741">
            <w:pPr>
              <w:rPr>
                <w:sz w:val="18"/>
                <w:szCs w:val="18"/>
              </w:rPr>
            </w:pPr>
            <w:r w:rsidRPr="00430B9D">
              <w:rPr>
                <w:sz w:val="18"/>
                <w:szCs w:val="18"/>
              </w:rPr>
              <w:t>Priemerná</w:t>
            </w:r>
            <w:r>
              <w:rPr>
                <w:sz w:val="18"/>
                <w:szCs w:val="18"/>
              </w:rPr>
              <w:t xml:space="preserve"> </w:t>
            </w:r>
            <w:r w:rsidRPr="00430B9D">
              <w:rPr>
                <w:sz w:val="18"/>
                <w:szCs w:val="18"/>
              </w:rPr>
              <w:t>doba vybavenia podania v rozhodovacej činnosti</w:t>
            </w:r>
          </w:p>
        </w:tc>
      </w:tr>
      <w:tr w:rsidR="00AC7B75" w:rsidRPr="00430B9D" w:rsidTr="00EF2741">
        <w:trPr>
          <w:trHeight w:val="413"/>
          <w:jc w:val="center"/>
        </w:trPr>
        <w:tc>
          <w:tcPr>
            <w:tcW w:w="806" w:type="dxa"/>
            <w:vMerge/>
          </w:tcPr>
          <w:p w:rsidR="00AC7B75" w:rsidRPr="00430B9D" w:rsidRDefault="00AC7B75" w:rsidP="00EF2741">
            <w:pPr>
              <w:rPr>
                <w:sz w:val="18"/>
                <w:szCs w:val="18"/>
              </w:rPr>
            </w:pPr>
          </w:p>
        </w:tc>
        <w:tc>
          <w:tcPr>
            <w:tcW w:w="606" w:type="dxa"/>
            <w:vMerge/>
            <w:vAlign w:val="center"/>
          </w:tcPr>
          <w:p w:rsidR="00AC7B75" w:rsidRPr="00430B9D" w:rsidRDefault="00AC7B75" w:rsidP="00EF2741">
            <w:pPr>
              <w:jc w:val="center"/>
              <w:rPr>
                <w:color w:val="000000"/>
                <w:sz w:val="18"/>
                <w:szCs w:val="18"/>
              </w:rPr>
            </w:pPr>
          </w:p>
        </w:tc>
        <w:tc>
          <w:tcPr>
            <w:tcW w:w="1245" w:type="dxa"/>
            <w:vMerge/>
            <w:vAlign w:val="center"/>
          </w:tcPr>
          <w:p w:rsidR="00AC7B75" w:rsidRPr="00430B9D" w:rsidRDefault="00AC7B75" w:rsidP="00EF2741">
            <w:pPr>
              <w:jc w:val="center"/>
              <w:rPr>
                <w:color w:val="000000"/>
                <w:sz w:val="18"/>
                <w:szCs w:val="18"/>
              </w:rPr>
            </w:pPr>
          </w:p>
        </w:tc>
        <w:tc>
          <w:tcPr>
            <w:tcW w:w="1417" w:type="dxa"/>
            <w:vMerge/>
            <w:vAlign w:val="center"/>
          </w:tcPr>
          <w:p w:rsidR="00AC7B75" w:rsidRPr="00430B9D" w:rsidRDefault="00AC7B75" w:rsidP="00EF2741">
            <w:pPr>
              <w:jc w:val="center"/>
              <w:rPr>
                <w:sz w:val="18"/>
                <w:szCs w:val="18"/>
              </w:rPr>
            </w:pPr>
          </w:p>
        </w:tc>
        <w:tc>
          <w:tcPr>
            <w:tcW w:w="2410" w:type="dxa"/>
            <w:vMerge/>
          </w:tcPr>
          <w:p w:rsidR="00AC7B75" w:rsidRPr="00430B9D" w:rsidRDefault="00AC7B75" w:rsidP="00EF2741">
            <w:pPr>
              <w:rPr>
                <w:sz w:val="18"/>
                <w:szCs w:val="18"/>
              </w:rPr>
            </w:pPr>
          </w:p>
        </w:tc>
        <w:tc>
          <w:tcPr>
            <w:tcW w:w="2693" w:type="dxa"/>
            <w:vMerge/>
            <w:vAlign w:val="center"/>
          </w:tcPr>
          <w:p w:rsidR="00AC7B75" w:rsidRPr="00430B9D" w:rsidDel="00876182" w:rsidRDefault="00AC7B75" w:rsidP="00EF2741">
            <w:pPr>
              <w:pStyle w:val="Style30"/>
              <w:rPr>
                <w:sz w:val="18"/>
                <w:szCs w:val="18"/>
              </w:rPr>
            </w:pPr>
          </w:p>
        </w:tc>
        <w:tc>
          <w:tcPr>
            <w:tcW w:w="2730" w:type="dxa"/>
            <w:vAlign w:val="center"/>
          </w:tcPr>
          <w:p w:rsidR="00AC7B75" w:rsidRDefault="00AC7B75" w:rsidP="00EF2741">
            <w:pPr>
              <w:pStyle w:val="Style30"/>
              <w:widowControl/>
              <w:rPr>
                <w:sz w:val="18"/>
                <w:szCs w:val="18"/>
              </w:rPr>
            </w:pPr>
            <w:r>
              <w:rPr>
                <w:sz w:val="18"/>
                <w:szCs w:val="18"/>
              </w:rPr>
              <w:t xml:space="preserve">7.8 </w:t>
            </w:r>
            <w:r w:rsidRPr="00430B9D">
              <w:rPr>
                <w:sz w:val="18"/>
                <w:szCs w:val="18"/>
              </w:rPr>
              <w:t>Racionalizácia prevádzky informačných systémov pomocou eGovernment cloudu</w:t>
            </w:r>
          </w:p>
        </w:tc>
        <w:tc>
          <w:tcPr>
            <w:tcW w:w="2363" w:type="dxa"/>
          </w:tcPr>
          <w:p w:rsidR="00AC7B75" w:rsidRPr="00430B9D" w:rsidDel="00876182" w:rsidRDefault="00AC7B75" w:rsidP="00EF2741">
            <w:pPr>
              <w:rPr>
                <w:sz w:val="18"/>
                <w:szCs w:val="18"/>
              </w:rPr>
            </w:pPr>
            <w:r w:rsidRPr="00430B9D">
              <w:rPr>
                <w:sz w:val="18"/>
                <w:szCs w:val="18"/>
              </w:rPr>
              <w:t>Celkové náklady na vlastníctvo ISVS</w:t>
            </w:r>
          </w:p>
        </w:tc>
      </w:tr>
      <w:tr w:rsidR="00AC7B75" w:rsidRPr="00430B9D" w:rsidTr="00EF2741">
        <w:trPr>
          <w:trHeight w:val="836"/>
          <w:jc w:val="center"/>
        </w:trPr>
        <w:tc>
          <w:tcPr>
            <w:tcW w:w="806" w:type="dxa"/>
            <w:vMerge/>
          </w:tcPr>
          <w:p w:rsidR="00AC7B75" w:rsidRPr="00430B9D" w:rsidRDefault="00AC7B75" w:rsidP="00EF2741">
            <w:pPr>
              <w:rPr>
                <w:sz w:val="18"/>
                <w:szCs w:val="18"/>
              </w:rPr>
            </w:pPr>
          </w:p>
        </w:tc>
        <w:tc>
          <w:tcPr>
            <w:tcW w:w="606" w:type="dxa"/>
            <w:vMerge/>
            <w:vAlign w:val="center"/>
          </w:tcPr>
          <w:p w:rsidR="00AC7B75" w:rsidRPr="00430B9D" w:rsidRDefault="00AC7B75" w:rsidP="00EF2741">
            <w:pPr>
              <w:jc w:val="center"/>
              <w:rPr>
                <w:color w:val="000000"/>
                <w:sz w:val="18"/>
                <w:szCs w:val="18"/>
              </w:rPr>
            </w:pPr>
          </w:p>
        </w:tc>
        <w:tc>
          <w:tcPr>
            <w:tcW w:w="1245" w:type="dxa"/>
            <w:vMerge/>
            <w:vAlign w:val="center"/>
          </w:tcPr>
          <w:p w:rsidR="00AC7B75" w:rsidRPr="00430B9D" w:rsidRDefault="00AC7B75" w:rsidP="00EF2741">
            <w:pPr>
              <w:jc w:val="center"/>
              <w:rPr>
                <w:color w:val="000000"/>
                <w:sz w:val="18"/>
                <w:szCs w:val="18"/>
              </w:rPr>
            </w:pPr>
          </w:p>
        </w:tc>
        <w:tc>
          <w:tcPr>
            <w:tcW w:w="1417" w:type="dxa"/>
            <w:vMerge/>
            <w:vAlign w:val="center"/>
          </w:tcPr>
          <w:p w:rsidR="00AC7B75" w:rsidRPr="00430B9D" w:rsidRDefault="00AC7B75" w:rsidP="00EF2741">
            <w:pPr>
              <w:jc w:val="center"/>
              <w:rPr>
                <w:sz w:val="18"/>
                <w:szCs w:val="18"/>
              </w:rPr>
            </w:pPr>
          </w:p>
        </w:tc>
        <w:tc>
          <w:tcPr>
            <w:tcW w:w="2410" w:type="dxa"/>
            <w:vMerge/>
          </w:tcPr>
          <w:p w:rsidR="00AC7B75" w:rsidRPr="00430B9D" w:rsidRDefault="00AC7B75" w:rsidP="00EF2741">
            <w:pPr>
              <w:rPr>
                <w:sz w:val="18"/>
                <w:szCs w:val="18"/>
              </w:rPr>
            </w:pPr>
          </w:p>
        </w:tc>
        <w:tc>
          <w:tcPr>
            <w:tcW w:w="2693" w:type="dxa"/>
            <w:vMerge/>
            <w:vAlign w:val="center"/>
          </w:tcPr>
          <w:p w:rsidR="00AC7B75" w:rsidRPr="00430B9D" w:rsidRDefault="00AC7B75" w:rsidP="00EF2741">
            <w:pPr>
              <w:pStyle w:val="Style30"/>
              <w:widowControl/>
              <w:rPr>
                <w:color w:val="000000"/>
                <w:sz w:val="18"/>
                <w:szCs w:val="18"/>
              </w:rPr>
            </w:pPr>
          </w:p>
        </w:tc>
        <w:tc>
          <w:tcPr>
            <w:tcW w:w="2730" w:type="dxa"/>
            <w:vAlign w:val="center"/>
          </w:tcPr>
          <w:p w:rsidR="00AC7B75" w:rsidRPr="00430B9D" w:rsidRDefault="00AC7B75" w:rsidP="00EF2741">
            <w:pPr>
              <w:pStyle w:val="Style30"/>
              <w:widowControl/>
              <w:rPr>
                <w:sz w:val="18"/>
                <w:szCs w:val="18"/>
              </w:rPr>
            </w:pPr>
            <w:r>
              <w:rPr>
                <w:sz w:val="18"/>
                <w:szCs w:val="18"/>
              </w:rPr>
              <w:t xml:space="preserve">7.9 </w:t>
            </w:r>
            <w:r w:rsidRPr="00430B9D">
              <w:rPr>
                <w:sz w:val="18"/>
                <w:szCs w:val="18"/>
              </w:rPr>
              <w:t>Zvýšenie kybernetickej bezpečnosti v spoločnosti</w:t>
            </w:r>
            <w:r w:rsidRPr="00430B9D" w:rsidDel="00876182">
              <w:rPr>
                <w:sz w:val="18"/>
                <w:szCs w:val="18"/>
              </w:rPr>
              <w:t xml:space="preserve"> </w:t>
            </w:r>
          </w:p>
        </w:tc>
        <w:tc>
          <w:tcPr>
            <w:tcW w:w="2363" w:type="dxa"/>
          </w:tcPr>
          <w:p w:rsidR="00AC7B75" w:rsidRPr="00430B9D" w:rsidRDefault="00AC7B75" w:rsidP="00EF2741">
            <w:pPr>
              <w:rPr>
                <w:sz w:val="18"/>
                <w:szCs w:val="18"/>
              </w:rPr>
            </w:pPr>
          </w:p>
          <w:p w:rsidR="00AC7B75" w:rsidRPr="00430B9D" w:rsidRDefault="00AC7B75" w:rsidP="00EF2741">
            <w:pPr>
              <w:rPr>
                <w:sz w:val="18"/>
                <w:szCs w:val="18"/>
              </w:rPr>
            </w:pPr>
            <w:r w:rsidRPr="00430B9D">
              <w:rPr>
                <w:sz w:val="18"/>
                <w:szCs w:val="18"/>
              </w:rPr>
              <w:t>Globálny index kybernetickej bezpečnosti</w:t>
            </w:r>
            <w:r w:rsidRPr="00430B9D" w:rsidDel="00876182">
              <w:rPr>
                <w:sz w:val="18"/>
                <w:szCs w:val="18"/>
              </w:rPr>
              <w:t xml:space="preserve"> </w:t>
            </w:r>
          </w:p>
        </w:tc>
      </w:tr>
      <w:tr w:rsidR="00AC7B75" w:rsidRPr="00430B9D" w:rsidTr="00EF2741">
        <w:trPr>
          <w:trHeight w:val="340"/>
          <w:jc w:val="center"/>
        </w:trPr>
        <w:tc>
          <w:tcPr>
            <w:tcW w:w="806" w:type="dxa"/>
            <w:vAlign w:val="center"/>
          </w:tcPr>
          <w:p w:rsidR="00AC7B75" w:rsidRPr="00430B9D" w:rsidRDefault="00AC7B75" w:rsidP="00EF2741">
            <w:pPr>
              <w:pStyle w:val="Style40"/>
              <w:widowControl/>
              <w:rPr>
                <w:rStyle w:val="FontStyle93"/>
                <w:sz w:val="18"/>
                <w:szCs w:val="18"/>
                <w:lang w:eastAsia="fr-FR"/>
              </w:rPr>
            </w:pPr>
            <w:r w:rsidRPr="00430B9D">
              <w:rPr>
                <w:rStyle w:val="FontStyle93"/>
                <w:sz w:val="18"/>
                <w:szCs w:val="18"/>
                <w:lang w:eastAsia="fr-FR"/>
              </w:rPr>
              <w:t>TP</w:t>
            </w:r>
          </w:p>
        </w:tc>
        <w:tc>
          <w:tcPr>
            <w:tcW w:w="606" w:type="dxa"/>
            <w:vAlign w:val="center"/>
          </w:tcPr>
          <w:p w:rsidR="00AC7B75" w:rsidRPr="00430B9D" w:rsidRDefault="00AC7B75" w:rsidP="00EF2741">
            <w:pPr>
              <w:pStyle w:val="Style30"/>
              <w:widowControl/>
              <w:jc w:val="center"/>
              <w:rPr>
                <w:sz w:val="18"/>
                <w:szCs w:val="18"/>
              </w:rPr>
            </w:pPr>
            <w:r w:rsidRPr="00430B9D">
              <w:rPr>
                <w:sz w:val="18"/>
                <w:szCs w:val="18"/>
              </w:rPr>
              <w:t>EFRR</w:t>
            </w:r>
          </w:p>
        </w:tc>
        <w:tc>
          <w:tcPr>
            <w:tcW w:w="1245" w:type="dxa"/>
            <w:vAlign w:val="center"/>
          </w:tcPr>
          <w:p w:rsidR="00AC7B75" w:rsidRPr="00430B9D" w:rsidRDefault="00AC7B75" w:rsidP="00EF2741">
            <w:pPr>
              <w:pStyle w:val="Style40"/>
              <w:widowControl/>
              <w:jc w:val="right"/>
              <w:rPr>
                <w:rStyle w:val="FontStyle93"/>
                <w:sz w:val="18"/>
                <w:szCs w:val="18"/>
                <w:lang w:eastAsia="de-DE"/>
              </w:rPr>
            </w:pPr>
            <w:r w:rsidRPr="00430B9D">
              <w:rPr>
                <w:rStyle w:val="FontStyle93"/>
                <w:sz w:val="18"/>
                <w:szCs w:val="18"/>
                <w:lang w:eastAsia="de-DE"/>
              </w:rPr>
              <w:t>85 000 000</w:t>
            </w:r>
          </w:p>
        </w:tc>
        <w:tc>
          <w:tcPr>
            <w:tcW w:w="1417" w:type="dxa"/>
            <w:vAlign w:val="center"/>
          </w:tcPr>
          <w:p w:rsidR="00AC7B75" w:rsidRPr="00430B9D" w:rsidRDefault="00AC7B75" w:rsidP="00EF2741">
            <w:pPr>
              <w:jc w:val="center"/>
              <w:rPr>
                <w:rStyle w:val="FontStyle93"/>
                <w:sz w:val="18"/>
                <w:szCs w:val="18"/>
                <w:lang w:eastAsia="en-US"/>
              </w:rPr>
            </w:pPr>
            <w:r>
              <w:rPr>
                <w:rStyle w:val="FontStyle93"/>
                <w:sz w:val="18"/>
                <w:szCs w:val="18"/>
                <w:lang w:eastAsia="de-DE"/>
              </w:rPr>
              <w:t>2,1 %</w:t>
            </w:r>
          </w:p>
        </w:tc>
        <w:tc>
          <w:tcPr>
            <w:tcW w:w="2410" w:type="dxa"/>
            <w:vAlign w:val="center"/>
          </w:tcPr>
          <w:p w:rsidR="00AC7B75" w:rsidRPr="00430B9D" w:rsidRDefault="00AC7B75" w:rsidP="00EF2741">
            <w:pPr>
              <w:pStyle w:val="Style40"/>
              <w:widowControl/>
              <w:rPr>
                <w:rStyle w:val="FontStyle93"/>
                <w:sz w:val="18"/>
                <w:szCs w:val="18"/>
                <w:lang w:eastAsia="en-US"/>
              </w:rPr>
            </w:pPr>
            <w:r w:rsidRPr="00430B9D">
              <w:rPr>
                <w:rStyle w:val="FontStyle93"/>
                <w:sz w:val="18"/>
                <w:szCs w:val="18"/>
                <w:lang w:eastAsia="en-US"/>
              </w:rPr>
              <w:t>nerelevantné</w:t>
            </w:r>
          </w:p>
        </w:tc>
        <w:tc>
          <w:tcPr>
            <w:tcW w:w="2693" w:type="dxa"/>
            <w:vAlign w:val="center"/>
          </w:tcPr>
          <w:p w:rsidR="00AC7B75" w:rsidRPr="00430B9D" w:rsidRDefault="00AC7B75" w:rsidP="00EF2741">
            <w:pPr>
              <w:pStyle w:val="Style42"/>
              <w:widowControl/>
              <w:spacing w:line="240" w:lineRule="auto"/>
              <w:rPr>
                <w:rStyle w:val="FontStyle83"/>
                <w:spacing w:val="-20"/>
                <w:sz w:val="18"/>
                <w:szCs w:val="18"/>
                <w:lang w:eastAsia="en-US"/>
              </w:rPr>
            </w:pPr>
            <w:r w:rsidRPr="00430B9D">
              <w:rPr>
                <w:rStyle w:val="FontStyle93"/>
                <w:sz w:val="18"/>
                <w:szCs w:val="18"/>
                <w:lang w:eastAsia="en-US"/>
              </w:rPr>
              <w:t>nerelevantné</w:t>
            </w:r>
          </w:p>
        </w:tc>
        <w:tc>
          <w:tcPr>
            <w:tcW w:w="2730" w:type="dxa"/>
            <w:vAlign w:val="center"/>
          </w:tcPr>
          <w:p w:rsidR="00AC7B75" w:rsidRPr="00430B9D" w:rsidRDefault="00AC7B75" w:rsidP="00EF2741">
            <w:pPr>
              <w:pStyle w:val="Style30"/>
              <w:widowControl/>
              <w:rPr>
                <w:sz w:val="18"/>
                <w:szCs w:val="18"/>
              </w:rPr>
            </w:pPr>
            <w:r w:rsidRPr="00430B9D">
              <w:rPr>
                <w:rStyle w:val="FontStyle93"/>
                <w:sz w:val="18"/>
                <w:szCs w:val="18"/>
                <w:lang w:eastAsia="en-US"/>
              </w:rPr>
              <w:t>nerelevantné</w:t>
            </w:r>
          </w:p>
        </w:tc>
        <w:tc>
          <w:tcPr>
            <w:tcW w:w="2363" w:type="dxa"/>
            <w:vAlign w:val="center"/>
          </w:tcPr>
          <w:p w:rsidR="00AC7B75" w:rsidRPr="00430B9D" w:rsidRDefault="00AC7B75" w:rsidP="00EF2741">
            <w:pPr>
              <w:pStyle w:val="Style30"/>
              <w:widowControl/>
              <w:rPr>
                <w:sz w:val="18"/>
                <w:szCs w:val="18"/>
              </w:rPr>
            </w:pPr>
            <w:r w:rsidRPr="00430B9D">
              <w:rPr>
                <w:rStyle w:val="FontStyle93"/>
                <w:sz w:val="18"/>
                <w:szCs w:val="18"/>
                <w:lang w:eastAsia="en-US"/>
              </w:rPr>
              <w:t>nerelevantné</w:t>
            </w:r>
          </w:p>
        </w:tc>
      </w:tr>
    </w:tbl>
    <w:p w:rsidR="00A46625" w:rsidRPr="00B42F79" w:rsidRDefault="00357587" w:rsidP="00B42F79">
      <w:pPr>
        <w:spacing w:before="60"/>
        <w:rPr>
          <w:sz w:val="20"/>
          <w:szCs w:val="20"/>
        </w:rPr>
        <w:sectPr w:rsidR="00A46625" w:rsidRPr="00B42F79" w:rsidSect="00ED5953">
          <w:headerReference w:type="default" r:id="rId15"/>
          <w:footerReference w:type="default" r:id="rId16"/>
          <w:pgSz w:w="16838" w:h="11906" w:orient="landscape" w:code="9"/>
          <w:pgMar w:top="2041" w:right="1304" w:bottom="1304" w:left="1304" w:header="1474" w:footer="709" w:gutter="0"/>
          <w:cols w:space="708"/>
          <w:docGrid w:linePitch="360"/>
        </w:sectPr>
      </w:pPr>
      <w:r>
        <w:rPr>
          <w:lang w:eastAsia="cs-CZ"/>
        </w:rPr>
        <w:t>*</w:t>
      </w:r>
      <w:r>
        <w:rPr>
          <w:lang w:eastAsia="cs-CZ"/>
        </w:rPr>
        <w:tab/>
      </w:r>
      <w:r w:rsidR="00B42F79" w:rsidRPr="00B42F79">
        <w:rPr>
          <w:sz w:val="20"/>
          <w:szCs w:val="20"/>
        </w:rPr>
        <w:t>Ukazovateľ je aplikovateľný v prípade realizácie projektového zámeru týkajúceho sa zlepšenie splavnosti dunajskej vodnej cesty.</w:t>
      </w:r>
    </w:p>
    <w:p w:rsidR="0079492E" w:rsidRDefault="009411B0" w:rsidP="001A218B">
      <w:pPr>
        <w:pStyle w:val="Nadpis1"/>
      </w:pPr>
      <w:bookmarkStart w:id="14" w:name="_Toc385310676"/>
      <w:r>
        <w:lastRenderedPageBreak/>
        <w:t>Prioritné osi</w:t>
      </w:r>
      <w:bookmarkEnd w:id="14"/>
    </w:p>
    <w:p w:rsidR="00A46625" w:rsidRPr="008E22E0" w:rsidRDefault="009411B0" w:rsidP="0049252B">
      <w:pPr>
        <w:pStyle w:val="PRIORITNA"/>
        <w:numPr>
          <w:ilvl w:val="0"/>
          <w:numId w:val="0"/>
        </w:numPr>
        <w:rPr>
          <w:iCs w:val="0"/>
          <w:color w:val="1F497D" w:themeColor="text2"/>
          <w:sz w:val="22"/>
          <w:szCs w:val="26"/>
        </w:rPr>
      </w:pPr>
      <w:bookmarkStart w:id="15" w:name="_Toc385310677"/>
      <w:r w:rsidRPr="008E22E0">
        <w:rPr>
          <w:iCs w:val="0"/>
          <w:color w:val="1F497D" w:themeColor="text2"/>
          <w:sz w:val="22"/>
          <w:szCs w:val="26"/>
        </w:rPr>
        <w:t>Popis prioritných osí okrem technickej pomoci</w:t>
      </w:r>
      <w:bookmarkEnd w:id="15"/>
    </w:p>
    <w:p w:rsidR="008E22E0" w:rsidRPr="008E22E0" w:rsidRDefault="00E823D3" w:rsidP="0049252B">
      <w:pPr>
        <w:pStyle w:val="Nadpis2"/>
      </w:pPr>
      <w:bookmarkStart w:id="16" w:name="_Toc385310678"/>
      <w:r>
        <w:t>PRIORITNÁ OS 1:</w:t>
      </w:r>
      <w:r w:rsidR="00301C7E">
        <w:t xml:space="preserve"> </w:t>
      </w:r>
      <w:r>
        <w:t>ŽELEZNIČNÁ INFRAŠTRUKTÚRA TEN-T CORE A OBNOVA MOBILNÝCH PROSTRIEDKOV</w:t>
      </w:r>
      <w:bookmarkEnd w:id="16"/>
    </w:p>
    <w:tbl>
      <w:tblPr>
        <w:tblStyle w:val="Mriekatabuky"/>
        <w:tblW w:w="7938" w:type="dxa"/>
        <w:jc w:val="center"/>
        <w:tblLook w:val="04A0"/>
      </w:tblPr>
      <w:tblGrid>
        <w:gridCol w:w="4396"/>
        <w:gridCol w:w="3542"/>
      </w:tblGrid>
      <w:tr w:rsidR="00863337" w:rsidTr="00D83282">
        <w:trPr>
          <w:trHeight w:val="284"/>
          <w:jc w:val="center"/>
        </w:trPr>
        <w:tc>
          <w:tcPr>
            <w:tcW w:w="4396" w:type="dxa"/>
            <w:shd w:val="clear" w:color="auto" w:fill="DBE5F1" w:themeFill="accent1" w:themeFillTint="33"/>
            <w:vAlign w:val="center"/>
          </w:tcPr>
          <w:p w:rsidR="00863337" w:rsidRDefault="00863337" w:rsidP="00750A42">
            <w:pPr>
              <w:ind w:left="0"/>
            </w:pPr>
            <w:r w:rsidRPr="00863337">
              <w:rPr>
                <w:b/>
                <w:i/>
                <w:sz w:val="20"/>
                <w:szCs w:val="20"/>
              </w:rPr>
              <w:t>ID prioritnej osi</w:t>
            </w:r>
          </w:p>
        </w:tc>
        <w:tc>
          <w:tcPr>
            <w:tcW w:w="3542" w:type="dxa"/>
            <w:vAlign w:val="center"/>
          </w:tcPr>
          <w:p w:rsidR="00863337" w:rsidRDefault="00863337" w:rsidP="00D83282">
            <w:pPr>
              <w:pStyle w:val="PRIORITNA"/>
              <w:numPr>
                <w:ilvl w:val="0"/>
                <w:numId w:val="0"/>
              </w:numPr>
              <w:spacing w:after="0"/>
              <w:jc w:val="left"/>
            </w:pPr>
          </w:p>
        </w:tc>
      </w:tr>
      <w:tr w:rsidR="00863337" w:rsidTr="00D83282">
        <w:trPr>
          <w:trHeight w:val="284"/>
          <w:jc w:val="center"/>
        </w:trPr>
        <w:tc>
          <w:tcPr>
            <w:tcW w:w="4396" w:type="dxa"/>
            <w:shd w:val="clear" w:color="auto" w:fill="DBE5F1" w:themeFill="accent1" w:themeFillTint="33"/>
            <w:vAlign w:val="center"/>
          </w:tcPr>
          <w:p w:rsidR="00750A42" w:rsidRPr="003D6170" w:rsidRDefault="00863337" w:rsidP="003D6170">
            <w:pPr>
              <w:ind w:left="0"/>
              <w:rPr>
                <w:b/>
                <w:i/>
                <w:sz w:val="20"/>
                <w:szCs w:val="20"/>
              </w:rPr>
            </w:pPr>
            <w:r w:rsidRPr="003D6170">
              <w:rPr>
                <w:b/>
                <w:i/>
                <w:sz w:val="20"/>
                <w:szCs w:val="20"/>
              </w:rPr>
              <w:t>Názov prioritnej osi</w:t>
            </w:r>
          </w:p>
        </w:tc>
        <w:tc>
          <w:tcPr>
            <w:tcW w:w="3542" w:type="dxa"/>
            <w:vAlign w:val="center"/>
          </w:tcPr>
          <w:p w:rsidR="00863337" w:rsidRPr="00750A42" w:rsidRDefault="00750A42" w:rsidP="00D83282">
            <w:pPr>
              <w:ind w:left="0"/>
              <w:jc w:val="both"/>
              <w:rPr>
                <w:sz w:val="20"/>
                <w:szCs w:val="20"/>
              </w:rPr>
            </w:pPr>
            <w:r w:rsidRPr="00750A42">
              <w:rPr>
                <w:sz w:val="20"/>
                <w:szCs w:val="20"/>
              </w:rPr>
              <w:t>Železničná infraštruktúra</w:t>
            </w:r>
            <w:r>
              <w:rPr>
                <w:sz w:val="20"/>
                <w:szCs w:val="20"/>
              </w:rPr>
              <w:t xml:space="preserve"> TEN-T CORE a obnova mobilných prostriedkov</w:t>
            </w:r>
            <w:r>
              <w:t xml:space="preserve"> </w:t>
            </w:r>
          </w:p>
        </w:tc>
      </w:tr>
    </w:tbl>
    <w:p w:rsidR="00863337" w:rsidRDefault="00863337" w:rsidP="00D83282">
      <w:pPr>
        <w:pStyle w:val="PRIORITNA"/>
        <w:numPr>
          <w:ilvl w:val="0"/>
          <w:numId w:val="0"/>
        </w:numPr>
        <w:spacing w:after="0"/>
      </w:pPr>
    </w:p>
    <w:tbl>
      <w:tblPr>
        <w:tblStyle w:val="Mriekatabuky"/>
        <w:tblW w:w="7938" w:type="dxa"/>
        <w:jc w:val="center"/>
        <w:tblLook w:val="04A0"/>
      </w:tblPr>
      <w:tblGrid>
        <w:gridCol w:w="4396"/>
        <w:gridCol w:w="3542"/>
      </w:tblGrid>
      <w:tr w:rsidR="00750A42" w:rsidRPr="00765DFA" w:rsidTr="00D83282">
        <w:trPr>
          <w:trHeight w:val="255"/>
          <w:jc w:val="center"/>
        </w:trPr>
        <w:tc>
          <w:tcPr>
            <w:tcW w:w="4396" w:type="dxa"/>
            <w:shd w:val="clear" w:color="auto" w:fill="DBE5F1" w:themeFill="accent1" w:themeFillTint="33"/>
            <w:vAlign w:val="center"/>
          </w:tcPr>
          <w:p w:rsidR="00750A42" w:rsidRPr="00765DFA" w:rsidRDefault="00750A42" w:rsidP="006A2D5B">
            <w:pPr>
              <w:ind w:left="0"/>
              <w:rPr>
                <w:b/>
                <w:i/>
                <w:sz w:val="20"/>
                <w:szCs w:val="20"/>
              </w:rPr>
            </w:pPr>
            <w:r>
              <w:rPr>
                <w:b/>
                <w:i/>
                <w:sz w:val="20"/>
                <w:szCs w:val="20"/>
              </w:rPr>
              <w:t xml:space="preserve">Celá prioritná os bude realizovaná výhradne prostredníctvom finančných nástrojov </w:t>
            </w:r>
          </w:p>
        </w:tc>
        <w:tc>
          <w:tcPr>
            <w:tcW w:w="3542" w:type="dxa"/>
            <w:vAlign w:val="center"/>
          </w:tcPr>
          <w:p w:rsidR="00750A42" w:rsidRPr="00765DFA" w:rsidRDefault="00750A42" w:rsidP="006A2D5B">
            <w:pPr>
              <w:ind w:left="0"/>
              <w:rPr>
                <w:sz w:val="20"/>
                <w:szCs w:val="20"/>
              </w:rPr>
            </w:pPr>
            <w:r>
              <w:rPr>
                <w:sz w:val="20"/>
                <w:szCs w:val="20"/>
              </w:rPr>
              <w:t>Nie</w:t>
            </w:r>
          </w:p>
        </w:tc>
      </w:tr>
      <w:tr w:rsidR="00750A42" w:rsidRPr="00765DFA" w:rsidTr="00D83282">
        <w:trPr>
          <w:trHeight w:val="255"/>
          <w:jc w:val="center"/>
        </w:trPr>
        <w:tc>
          <w:tcPr>
            <w:tcW w:w="4396" w:type="dxa"/>
            <w:shd w:val="clear" w:color="auto" w:fill="DBE5F1" w:themeFill="accent1" w:themeFillTint="33"/>
            <w:vAlign w:val="center"/>
          </w:tcPr>
          <w:p w:rsidR="00750A42" w:rsidRPr="00765DFA" w:rsidRDefault="00750A42" w:rsidP="006A2D5B">
            <w:pPr>
              <w:ind w:left="0"/>
              <w:rPr>
                <w:b/>
                <w:i/>
                <w:sz w:val="20"/>
                <w:szCs w:val="20"/>
              </w:rPr>
            </w:pPr>
            <w:r>
              <w:rPr>
                <w:b/>
                <w:i/>
                <w:sz w:val="20"/>
                <w:szCs w:val="20"/>
              </w:rPr>
              <w:t>Celá prioritná os bude realizovaná výhradne prostredníctvom finančných nástrojov vytvorených na úrovni Únie</w:t>
            </w:r>
          </w:p>
        </w:tc>
        <w:tc>
          <w:tcPr>
            <w:tcW w:w="3542" w:type="dxa"/>
            <w:vAlign w:val="center"/>
          </w:tcPr>
          <w:p w:rsidR="00750A42" w:rsidRPr="00765DFA" w:rsidRDefault="00750A42" w:rsidP="006A2D5B">
            <w:pPr>
              <w:ind w:left="0"/>
              <w:rPr>
                <w:sz w:val="20"/>
                <w:szCs w:val="20"/>
              </w:rPr>
            </w:pPr>
            <w:r>
              <w:rPr>
                <w:sz w:val="20"/>
                <w:szCs w:val="20"/>
              </w:rPr>
              <w:t>Nie</w:t>
            </w:r>
          </w:p>
        </w:tc>
      </w:tr>
      <w:tr w:rsidR="00750A42" w:rsidRPr="00750A42" w:rsidTr="00D83282">
        <w:trPr>
          <w:trHeight w:val="70"/>
          <w:jc w:val="center"/>
        </w:trPr>
        <w:tc>
          <w:tcPr>
            <w:tcW w:w="4396" w:type="dxa"/>
            <w:shd w:val="clear" w:color="auto" w:fill="DBE5F1" w:themeFill="accent1" w:themeFillTint="33"/>
            <w:vAlign w:val="center"/>
          </w:tcPr>
          <w:p w:rsidR="00750A42" w:rsidRPr="00765DFA" w:rsidRDefault="00750A42" w:rsidP="00750A42">
            <w:pPr>
              <w:ind w:left="0"/>
              <w:rPr>
                <w:b/>
                <w:i/>
                <w:sz w:val="20"/>
                <w:szCs w:val="20"/>
              </w:rPr>
            </w:pPr>
            <w:r>
              <w:rPr>
                <w:b/>
                <w:i/>
                <w:sz w:val="20"/>
                <w:szCs w:val="20"/>
              </w:rPr>
              <w:t xml:space="preserve">Celá prioritná os bude realizovaná prostredníctvom </w:t>
            </w:r>
            <w:r w:rsidR="00504EAB">
              <w:rPr>
                <w:b/>
                <w:i/>
                <w:sz w:val="20"/>
                <w:szCs w:val="20"/>
              </w:rPr>
              <w:t xml:space="preserve">komunitne vedeného </w:t>
            </w:r>
            <w:r>
              <w:rPr>
                <w:b/>
                <w:i/>
                <w:sz w:val="20"/>
                <w:szCs w:val="20"/>
              </w:rPr>
              <w:t>miestneho rozvoja</w:t>
            </w:r>
          </w:p>
        </w:tc>
        <w:tc>
          <w:tcPr>
            <w:tcW w:w="3542" w:type="dxa"/>
            <w:vAlign w:val="center"/>
          </w:tcPr>
          <w:p w:rsidR="00750A42" w:rsidRPr="00750A42" w:rsidRDefault="00750A42" w:rsidP="006A2D5B">
            <w:pPr>
              <w:ind w:left="0"/>
              <w:rPr>
                <w:sz w:val="20"/>
                <w:szCs w:val="20"/>
              </w:rPr>
            </w:pPr>
            <w:r>
              <w:rPr>
                <w:sz w:val="20"/>
                <w:szCs w:val="20"/>
              </w:rPr>
              <w:t>Nie</w:t>
            </w:r>
          </w:p>
        </w:tc>
      </w:tr>
      <w:tr w:rsidR="00750A42" w:rsidRPr="00765DFA" w:rsidTr="00D83282">
        <w:trPr>
          <w:jc w:val="center"/>
        </w:trPr>
        <w:tc>
          <w:tcPr>
            <w:tcW w:w="4396" w:type="dxa"/>
            <w:shd w:val="clear" w:color="auto" w:fill="DBE5F1" w:themeFill="accent1" w:themeFillTint="33"/>
          </w:tcPr>
          <w:p w:rsidR="00750A42" w:rsidRPr="00765DFA" w:rsidRDefault="00504EAB" w:rsidP="00504EAB">
            <w:pPr>
              <w:ind w:left="0"/>
              <w:rPr>
                <w:b/>
                <w:i/>
                <w:sz w:val="20"/>
                <w:szCs w:val="20"/>
              </w:rPr>
            </w:pPr>
            <w:r>
              <w:rPr>
                <w:b/>
                <w:i/>
                <w:sz w:val="20"/>
                <w:szCs w:val="20"/>
              </w:rPr>
              <w:t>Pre ESF: Celá prioritná os je zameraná na sociálnu inováciu alebo nadnárodnú spoluprácu, alebo oboje</w:t>
            </w:r>
          </w:p>
        </w:tc>
        <w:tc>
          <w:tcPr>
            <w:tcW w:w="3542" w:type="dxa"/>
            <w:vAlign w:val="center"/>
          </w:tcPr>
          <w:p w:rsidR="00750A42" w:rsidRPr="00765DFA" w:rsidRDefault="00504EAB" w:rsidP="00504EAB">
            <w:pPr>
              <w:ind w:left="0"/>
              <w:rPr>
                <w:sz w:val="20"/>
                <w:szCs w:val="20"/>
              </w:rPr>
            </w:pPr>
            <w:r>
              <w:rPr>
                <w:sz w:val="20"/>
                <w:szCs w:val="20"/>
              </w:rPr>
              <w:t>N/A</w:t>
            </w:r>
          </w:p>
        </w:tc>
      </w:tr>
    </w:tbl>
    <w:p w:rsidR="001A218B" w:rsidRDefault="001A218B" w:rsidP="001A218B">
      <w:pPr>
        <w:pStyle w:val="Nadpis3"/>
      </w:pPr>
      <w:bookmarkStart w:id="17" w:name="_Toc383236540"/>
      <w:bookmarkStart w:id="18" w:name="_Toc385310679"/>
      <w:r>
        <w:t>Fond, kategória regiónu a základ pre výpočet podpory Únie</w:t>
      </w:r>
      <w:bookmarkEnd w:id="17"/>
      <w:bookmarkEnd w:id="18"/>
    </w:p>
    <w:tbl>
      <w:tblPr>
        <w:tblStyle w:val="Mriekatabuky"/>
        <w:tblW w:w="7938" w:type="dxa"/>
        <w:jc w:val="center"/>
        <w:tblLook w:val="04A0"/>
      </w:tblPr>
      <w:tblGrid>
        <w:gridCol w:w="4396"/>
        <w:gridCol w:w="3542"/>
      </w:tblGrid>
      <w:tr w:rsidR="00DC14D0" w:rsidTr="00D83282">
        <w:trPr>
          <w:trHeight w:val="255"/>
          <w:jc w:val="center"/>
        </w:trPr>
        <w:tc>
          <w:tcPr>
            <w:tcW w:w="4396" w:type="dxa"/>
            <w:shd w:val="clear" w:color="auto" w:fill="DBE5F1" w:themeFill="accent1" w:themeFillTint="33"/>
            <w:vAlign w:val="center"/>
          </w:tcPr>
          <w:p w:rsidR="00DC14D0" w:rsidRPr="00765DFA" w:rsidRDefault="00DC14D0" w:rsidP="001124FB">
            <w:pPr>
              <w:ind w:left="0"/>
              <w:rPr>
                <w:b/>
                <w:i/>
                <w:sz w:val="20"/>
                <w:szCs w:val="20"/>
              </w:rPr>
            </w:pPr>
            <w:r w:rsidRPr="00765DFA">
              <w:rPr>
                <w:b/>
                <w:i/>
                <w:sz w:val="20"/>
                <w:szCs w:val="20"/>
              </w:rPr>
              <w:t>Fond</w:t>
            </w:r>
          </w:p>
        </w:tc>
        <w:tc>
          <w:tcPr>
            <w:tcW w:w="3542" w:type="dxa"/>
            <w:vAlign w:val="center"/>
          </w:tcPr>
          <w:p w:rsidR="00DC14D0" w:rsidRPr="00765DFA" w:rsidRDefault="00DC14D0" w:rsidP="008E22E0">
            <w:pPr>
              <w:ind w:left="0"/>
              <w:rPr>
                <w:sz w:val="20"/>
                <w:szCs w:val="20"/>
              </w:rPr>
            </w:pPr>
            <w:r w:rsidRPr="00765DFA">
              <w:rPr>
                <w:sz w:val="20"/>
                <w:szCs w:val="20"/>
              </w:rPr>
              <w:t>Kohézny fond</w:t>
            </w:r>
          </w:p>
        </w:tc>
      </w:tr>
      <w:tr w:rsidR="00DC14D0" w:rsidTr="00D83282">
        <w:trPr>
          <w:trHeight w:val="255"/>
          <w:jc w:val="center"/>
        </w:trPr>
        <w:tc>
          <w:tcPr>
            <w:tcW w:w="4396" w:type="dxa"/>
            <w:shd w:val="clear" w:color="auto" w:fill="DBE5F1" w:themeFill="accent1" w:themeFillTint="33"/>
            <w:vAlign w:val="center"/>
          </w:tcPr>
          <w:p w:rsidR="00DC14D0" w:rsidRPr="00765DFA" w:rsidRDefault="00DC14D0" w:rsidP="001124FB">
            <w:pPr>
              <w:ind w:left="0"/>
              <w:rPr>
                <w:b/>
                <w:i/>
                <w:sz w:val="20"/>
                <w:szCs w:val="20"/>
              </w:rPr>
            </w:pPr>
            <w:r w:rsidRPr="00765DFA">
              <w:rPr>
                <w:b/>
                <w:i/>
                <w:sz w:val="20"/>
                <w:szCs w:val="20"/>
              </w:rPr>
              <w:t>Kategória regiónu</w:t>
            </w:r>
          </w:p>
        </w:tc>
        <w:tc>
          <w:tcPr>
            <w:tcW w:w="3542" w:type="dxa"/>
            <w:vAlign w:val="center"/>
          </w:tcPr>
          <w:p w:rsidR="00DC14D0" w:rsidRPr="00765DFA" w:rsidRDefault="00DC14D0" w:rsidP="008E22E0">
            <w:pPr>
              <w:ind w:left="0"/>
              <w:rPr>
                <w:sz w:val="20"/>
                <w:szCs w:val="20"/>
              </w:rPr>
            </w:pPr>
            <w:r w:rsidRPr="00765DFA">
              <w:rPr>
                <w:sz w:val="20"/>
                <w:szCs w:val="20"/>
              </w:rPr>
              <w:t>N/A</w:t>
            </w:r>
          </w:p>
        </w:tc>
      </w:tr>
      <w:tr w:rsidR="00DC14D0" w:rsidTr="00D83282">
        <w:trPr>
          <w:trHeight w:val="255"/>
          <w:jc w:val="center"/>
        </w:trPr>
        <w:tc>
          <w:tcPr>
            <w:tcW w:w="4396" w:type="dxa"/>
            <w:shd w:val="clear" w:color="auto" w:fill="DBE5F1" w:themeFill="accent1" w:themeFillTint="33"/>
            <w:vAlign w:val="center"/>
          </w:tcPr>
          <w:p w:rsidR="00DC14D0" w:rsidRPr="00765DFA" w:rsidRDefault="00DC14D0" w:rsidP="001124FB">
            <w:pPr>
              <w:ind w:left="0"/>
              <w:rPr>
                <w:b/>
                <w:i/>
                <w:sz w:val="20"/>
                <w:szCs w:val="20"/>
              </w:rPr>
            </w:pPr>
            <w:r w:rsidRPr="00765DFA">
              <w:rPr>
                <w:b/>
                <w:i/>
                <w:sz w:val="20"/>
                <w:szCs w:val="20"/>
              </w:rPr>
              <w:t>Základ pre výpočet (celkový</w:t>
            </w:r>
            <w:r w:rsidR="008E22E0">
              <w:rPr>
                <w:b/>
                <w:i/>
                <w:sz w:val="20"/>
                <w:szCs w:val="20"/>
              </w:rPr>
              <w:t xml:space="preserve"> oprávnený</w:t>
            </w:r>
            <w:r w:rsidRPr="00765DFA">
              <w:rPr>
                <w:b/>
                <w:i/>
                <w:sz w:val="20"/>
                <w:szCs w:val="20"/>
              </w:rPr>
              <w:t xml:space="preserve"> príspevok)</w:t>
            </w:r>
          </w:p>
        </w:tc>
        <w:tc>
          <w:tcPr>
            <w:tcW w:w="3542" w:type="dxa"/>
            <w:vAlign w:val="center"/>
          </w:tcPr>
          <w:p w:rsidR="00DC14D0" w:rsidRPr="00765DFA" w:rsidRDefault="00DC14D0" w:rsidP="008E22E0">
            <w:pPr>
              <w:ind w:left="0"/>
              <w:rPr>
                <w:sz w:val="20"/>
                <w:szCs w:val="20"/>
                <w:lang w:val="en-US"/>
              </w:rPr>
            </w:pPr>
            <w:r>
              <w:rPr>
                <w:sz w:val="20"/>
                <w:szCs w:val="20"/>
                <w:lang w:val="en-US"/>
              </w:rPr>
              <w:t>853 928</w:t>
            </w:r>
            <w:r w:rsidR="00AE12DF">
              <w:rPr>
                <w:sz w:val="20"/>
                <w:szCs w:val="20"/>
                <w:lang w:val="en-US"/>
              </w:rPr>
              <w:t> </w:t>
            </w:r>
            <w:r>
              <w:rPr>
                <w:sz w:val="20"/>
                <w:szCs w:val="20"/>
                <w:lang w:val="en-US"/>
              </w:rPr>
              <w:t>431</w:t>
            </w:r>
            <w:r w:rsidR="00AE12DF">
              <w:rPr>
                <w:sz w:val="20"/>
                <w:szCs w:val="20"/>
                <w:lang w:val="en-US"/>
              </w:rPr>
              <w:t xml:space="preserve"> EUR</w:t>
            </w:r>
          </w:p>
        </w:tc>
      </w:tr>
      <w:tr w:rsidR="00DC14D0" w:rsidTr="00D83282">
        <w:trPr>
          <w:jc w:val="center"/>
        </w:trPr>
        <w:tc>
          <w:tcPr>
            <w:tcW w:w="4396" w:type="dxa"/>
            <w:shd w:val="clear" w:color="auto" w:fill="DBE5F1" w:themeFill="accent1" w:themeFillTint="33"/>
          </w:tcPr>
          <w:p w:rsidR="00DC14D0" w:rsidRPr="00765DFA" w:rsidRDefault="00DC14D0" w:rsidP="001124FB">
            <w:pPr>
              <w:ind w:left="0"/>
              <w:rPr>
                <w:b/>
                <w:i/>
                <w:sz w:val="20"/>
                <w:szCs w:val="20"/>
              </w:rPr>
            </w:pPr>
            <w:r w:rsidRPr="00765DFA">
              <w:rPr>
                <w:b/>
                <w:i/>
                <w:sz w:val="20"/>
                <w:szCs w:val="20"/>
              </w:rPr>
              <w:t>Kategória regiónu p</w:t>
            </w:r>
            <w:r w:rsidR="008E22E0">
              <w:rPr>
                <w:b/>
                <w:i/>
                <w:sz w:val="20"/>
                <w:szCs w:val="20"/>
              </w:rPr>
              <w:t xml:space="preserve">re najvzdialenejšie regióny </w:t>
            </w:r>
            <w:r w:rsidRPr="00765DFA">
              <w:rPr>
                <w:b/>
                <w:i/>
                <w:sz w:val="20"/>
                <w:szCs w:val="20"/>
              </w:rPr>
              <w:t>a severné riedko osídlené regióny (ak je to vhodné)</w:t>
            </w:r>
          </w:p>
        </w:tc>
        <w:tc>
          <w:tcPr>
            <w:tcW w:w="3542" w:type="dxa"/>
            <w:vAlign w:val="center"/>
          </w:tcPr>
          <w:p w:rsidR="00DC14D0" w:rsidRPr="00765DFA" w:rsidRDefault="00DC14D0" w:rsidP="008E22E0">
            <w:pPr>
              <w:ind w:left="0"/>
              <w:rPr>
                <w:sz w:val="20"/>
                <w:szCs w:val="20"/>
              </w:rPr>
            </w:pPr>
            <w:r w:rsidRPr="00765DFA">
              <w:rPr>
                <w:sz w:val="20"/>
                <w:szCs w:val="20"/>
              </w:rPr>
              <w:t>N/A</w:t>
            </w:r>
          </w:p>
        </w:tc>
      </w:tr>
    </w:tbl>
    <w:p w:rsidR="001A218B" w:rsidRDefault="001A218B" w:rsidP="009A627A">
      <w:pPr>
        <w:pStyle w:val="Nadpis3"/>
        <w:jc w:val="both"/>
      </w:pPr>
      <w:bookmarkStart w:id="19" w:name="_Toc383236541"/>
      <w:bookmarkStart w:id="20" w:name="_Toc385310680"/>
      <w:r>
        <w:t>INVEST</w:t>
      </w:r>
      <w:r w:rsidR="008E22E0">
        <w:t>I</w:t>
      </w:r>
      <w:r w:rsidR="00301C7E">
        <w:t>ČNÁ PRIORITA</w:t>
      </w:r>
      <w:r w:rsidR="00860925">
        <w:t xml:space="preserve"> 7a)</w:t>
      </w:r>
      <w:r>
        <w:t xml:space="preserve">: </w:t>
      </w:r>
      <w:r w:rsidRPr="00D25728">
        <w:t>Podpora multimodálneho jednotného európskeho dopravného priestoru pomocou investícií do TEN-T</w:t>
      </w:r>
      <w:bookmarkEnd w:id="19"/>
      <w:bookmarkEnd w:id="20"/>
    </w:p>
    <w:p w:rsidR="001A218B" w:rsidRDefault="001A218B" w:rsidP="001B2070">
      <w:pPr>
        <w:pStyle w:val="tl3"/>
      </w:pPr>
      <w:r>
        <w:t>Špecifické ciele investičnej priority a očakávané výsledky</w:t>
      </w:r>
    </w:p>
    <w:p w:rsidR="004F0234" w:rsidRPr="004F0234" w:rsidRDefault="004F0234" w:rsidP="002E1021">
      <w:pPr>
        <w:shd w:val="clear" w:color="auto" w:fill="FFFFCC"/>
        <w:jc w:val="both"/>
        <w:rPr>
          <w:b/>
          <w:i/>
        </w:rPr>
      </w:pPr>
      <w:r w:rsidRPr="004F0234">
        <w:rPr>
          <w:i/>
        </w:rPr>
        <w:t xml:space="preserve">ŠPECIFICKÝ CIEĽ </w:t>
      </w:r>
      <w:r>
        <w:rPr>
          <w:i/>
        </w:rPr>
        <w:t>1</w:t>
      </w:r>
      <w:r w:rsidR="00A80038">
        <w:rPr>
          <w:i/>
        </w:rPr>
        <w:t>.1</w:t>
      </w:r>
      <w:r w:rsidRPr="004F0234">
        <w:rPr>
          <w:i/>
        </w:rPr>
        <w:t xml:space="preserve">: </w:t>
      </w:r>
      <w:r w:rsidRPr="004F0234">
        <w:rPr>
          <w:b/>
          <w:i/>
        </w:rPr>
        <w:t>Modernizácia a rozvoj hlavných železničných tratí a uzlov dopravne významných z hľadiska medzinárodnej a vnútroštátnej dopravy</w:t>
      </w:r>
    </w:p>
    <w:p w:rsidR="005F76B2" w:rsidRDefault="00032E50" w:rsidP="00032E50">
      <w:pPr>
        <w:spacing w:before="180"/>
        <w:jc w:val="both"/>
        <w:rPr>
          <w:sz w:val="22"/>
          <w:szCs w:val="23"/>
        </w:rPr>
      </w:pPr>
      <w:r>
        <w:rPr>
          <w:sz w:val="22"/>
          <w:szCs w:val="22"/>
        </w:rPr>
        <w:t>Výkonnosť a efektívnosť železníc závisí od stavu železničnej infraštruktúry, ktorá</w:t>
      </w:r>
      <w:r w:rsidR="00AE12DF">
        <w:rPr>
          <w:sz w:val="22"/>
          <w:szCs w:val="22"/>
        </w:rPr>
        <w:t xml:space="preserve"> na Slovensku</w:t>
      </w:r>
      <w:r>
        <w:rPr>
          <w:sz w:val="22"/>
          <w:szCs w:val="22"/>
        </w:rPr>
        <w:t xml:space="preserve"> síce vykazuje vysokú hustotu siete, ale so zastaranou technológiou a nízkou využiteľnosťou jej kapacity</w:t>
      </w:r>
      <w:r>
        <w:rPr>
          <w:sz w:val="22"/>
          <w:szCs w:val="23"/>
        </w:rPr>
        <w:t xml:space="preserve">. </w:t>
      </w:r>
      <w:r w:rsidR="005F76B2">
        <w:rPr>
          <w:sz w:val="22"/>
          <w:szCs w:val="22"/>
        </w:rPr>
        <w:t xml:space="preserve">Strategický plán </w:t>
      </w:r>
      <w:r w:rsidR="005F76B2" w:rsidRPr="00AA3954">
        <w:rPr>
          <w:sz w:val="22"/>
          <w:szCs w:val="22"/>
        </w:rPr>
        <w:t>a</w:t>
      </w:r>
      <w:r w:rsidR="005F76B2">
        <w:rPr>
          <w:sz w:val="22"/>
          <w:szCs w:val="22"/>
        </w:rPr>
        <w:t> </w:t>
      </w:r>
      <w:r w:rsidR="005F76B2" w:rsidRPr="00AA3954">
        <w:rPr>
          <w:sz w:val="22"/>
          <w:szCs w:val="22"/>
        </w:rPr>
        <w:t xml:space="preserve">Stratégia </w:t>
      </w:r>
      <w:r w:rsidR="00A32FFD">
        <w:rPr>
          <w:sz w:val="22"/>
          <w:szCs w:val="22"/>
        </w:rPr>
        <w:t>VOD</w:t>
      </w:r>
      <w:r w:rsidR="00A32FFD">
        <w:rPr>
          <w:rStyle w:val="Odkaznapoznmkupodiarou"/>
          <w:sz w:val="22"/>
          <w:szCs w:val="22"/>
        </w:rPr>
        <w:footnoteReference w:id="6"/>
      </w:r>
      <w:r w:rsidR="005F76B2" w:rsidRPr="00AA3954">
        <w:rPr>
          <w:sz w:val="22"/>
          <w:szCs w:val="22"/>
        </w:rPr>
        <w:t xml:space="preserve"> identifikovali ako hlavné obmedz</w:t>
      </w:r>
      <w:r w:rsidR="00A32FFD">
        <w:rPr>
          <w:sz w:val="22"/>
          <w:szCs w:val="22"/>
        </w:rPr>
        <w:t>ujúce faktory tejto situácie na </w:t>
      </w:r>
      <w:r w:rsidR="005F76B2" w:rsidRPr="00AA3954">
        <w:rPr>
          <w:sz w:val="22"/>
          <w:szCs w:val="22"/>
        </w:rPr>
        <w:t>Slovensku najmä kapacitné a</w:t>
      </w:r>
      <w:r w:rsidR="005F76B2">
        <w:rPr>
          <w:sz w:val="22"/>
          <w:szCs w:val="22"/>
        </w:rPr>
        <w:t> </w:t>
      </w:r>
      <w:r w:rsidR="005F76B2" w:rsidRPr="00AA3954">
        <w:rPr>
          <w:sz w:val="22"/>
          <w:szCs w:val="22"/>
        </w:rPr>
        <w:t>bezpečnostné obmedzenia železničnej infraštruktúry</w:t>
      </w:r>
      <w:r w:rsidR="005F76B2">
        <w:rPr>
          <w:sz w:val="22"/>
          <w:szCs w:val="22"/>
        </w:rPr>
        <w:t xml:space="preserve">. Podľa Sektorovej analýzy železničnej dopravy SR nie je technická základňa infraštruktúry železničnej dopravy dostatočne pripravená na meniace sa podmienky a štruktúru dopravného trhu. Technický stav väčšiny infraštruktúrnych zariadení je neuspokojivý. To sa prejavuje predovšetkým významným počtom odchýlok od konštrukčných parametrov prevádzkovaných </w:t>
      </w:r>
      <w:r w:rsidR="00A32FFD">
        <w:rPr>
          <w:sz w:val="22"/>
          <w:szCs w:val="22"/>
        </w:rPr>
        <w:t>železničných tratí, najmä čo do </w:t>
      </w:r>
      <w:r w:rsidR="005F76B2">
        <w:rPr>
          <w:sz w:val="22"/>
          <w:szCs w:val="22"/>
        </w:rPr>
        <w:t>rýchlosti a únosnosti. Trvalé alebo prechodné obmedzenia najvyššej traťovej rýchlosti sú spôsobené najmä nevyhovujúcimi polomermi oblúkov, nevyhovujúcimi parametrami železničného zvršku, kategóriami staničného zabezpečovacieho zariadenia a pod.</w:t>
      </w:r>
    </w:p>
    <w:p w:rsidR="00032E50" w:rsidRDefault="00032E50" w:rsidP="00032E50">
      <w:pPr>
        <w:spacing w:before="180"/>
        <w:jc w:val="both"/>
        <w:rPr>
          <w:sz w:val="22"/>
          <w:szCs w:val="22"/>
        </w:rPr>
      </w:pPr>
      <w:r w:rsidRPr="007877CC">
        <w:rPr>
          <w:sz w:val="22"/>
          <w:szCs w:val="23"/>
        </w:rPr>
        <w:t>Ďalší rozvoj infraštruktúry železničnej dopravy je preto uskutočniteľný hlavne cestou jej modernizácie</w:t>
      </w:r>
      <w:r>
        <w:rPr>
          <w:sz w:val="22"/>
          <w:szCs w:val="23"/>
        </w:rPr>
        <w:t>, a to </w:t>
      </w:r>
      <w:r w:rsidRPr="00470DAD">
        <w:rPr>
          <w:sz w:val="22"/>
          <w:szCs w:val="23"/>
        </w:rPr>
        <w:t>najmä na hlavných medzinárodných koridoroch</w:t>
      </w:r>
      <w:r w:rsidR="007877CC">
        <w:rPr>
          <w:sz w:val="22"/>
          <w:szCs w:val="23"/>
        </w:rPr>
        <w:t xml:space="preserve"> (</w:t>
      </w:r>
      <w:r>
        <w:rPr>
          <w:sz w:val="22"/>
          <w:szCs w:val="22"/>
        </w:rPr>
        <w:t>siete TEN-T</w:t>
      </w:r>
      <w:r w:rsidR="007877CC">
        <w:rPr>
          <w:sz w:val="22"/>
          <w:szCs w:val="22"/>
        </w:rPr>
        <w:t>)</w:t>
      </w:r>
      <w:r>
        <w:rPr>
          <w:sz w:val="22"/>
          <w:szCs w:val="22"/>
        </w:rPr>
        <w:t>.</w:t>
      </w:r>
      <w:r w:rsidR="007877CC">
        <w:rPr>
          <w:sz w:val="22"/>
          <w:szCs w:val="22"/>
        </w:rPr>
        <w:t xml:space="preserve"> Táto modernizácia vychádza z </w:t>
      </w:r>
      <w:r>
        <w:rPr>
          <w:sz w:val="22"/>
          <w:szCs w:val="22"/>
        </w:rPr>
        <w:t>potrieb ponuky kvalitnej železničnej infraštruk</w:t>
      </w:r>
      <w:r w:rsidR="0095191D">
        <w:rPr>
          <w:sz w:val="22"/>
          <w:szCs w:val="22"/>
        </w:rPr>
        <w:t>túry pre služby medzinárodnej a </w:t>
      </w:r>
      <w:r>
        <w:rPr>
          <w:sz w:val="22"/>
          <w:szCs w:val="22"/>
        </w:rPr>
        <w:t>vnútroštátnej osobnej a nákladnej dopravy v smere sever-juh a východ-západ.</w:t>
      </w:r>
    </w:p>
    <w:p w:rsidR="007877CC" w:rsidRPr="009B2843" w:rsidRDefault="007877CC" w:rsidP="007877CC">
      <w:pPr>
        <w:spacing w:before="180"/>
        <w:jc w:val="both"/>
        <w:rPr>
          <w:b/>
          <w:sz w:val="22"/>
          <w:szCs w:val="22"/>
        </w:rPr>
      </w:pPr>
      <w:r>
        <w:rPr>
          <w:b/>
          <w:sz w:val="22"/>
          <w:szCs w:val="22"/>
        </w:rPr>
        <w:lastRenderedPageBreak/>
        <w:t>Modernizáciou železničnej dopravnej infraštruktúry dôjde k</w:t>
      </w:r>
      <w:r w:rsidR="00AE12DF">
        <w:rPr>
          <w:b/>
          <w:sz w:val="22"/>
          <w:szCs w:val="22"/>
        </w:rPr>
        <w:t> odstráneniu technických prekážok a</w:t>
      </w:r>
      <w:r>
        <w:rPr>
          <w:b/>
          <w:sz w:val="22"/>
          <w:szCs w:val="22"/>
        </w:rPr>
        <w:t xml:space="preserve"> úzkych miest v tejto kľúčovej sieťovej infraštruktúre. Rozvoj a podpora železničnej dopravy ako environmentálne prijateľného módu prispieva k dekar</w:t>
      </w:r>
      <w:r w:rsidR="0095191D">
        <w:rPr>
          <w:b/>
          <w:sz w:val="22"/>
          <w:szCs w:val="22"/>
        </w:rPr>
        <w:t>bonizácii a znižovaniu emisií v </w:t>
      </w:r>
      <w:r>
        <w:rPr>
          <w:b/>
          <w:sz w:val="22"/>
          <w:szCs w:val="22"/>
        </w:rPr>
        <w:t xml:space="preserve">doprave, čím sa </w:t>
      </w:r>
      <w:r w:rsidRPr="001718E1">
        <w:rPr>
          <w:b/>
          <w:sz w:val="22"/>
          <w:szCs w:val="22"/>
        </w:rPr>
        <w:t xml:space="preserve">podporí </w:t>
      </w:r>
      <w:r>
        <w:rPr>
          <w:b/>
          <w:sz w:val="22"/>
          <w:szCs w:val="22"/>
        </w:rPr>
        <w:t>udržateľná doprava.</w:t>
      </w:r>
    </w:p>
    <w:p w:rsidR="0095191D" w:rsidRDefault="00032E50" w:rsidP="00032E50">
      <w:pPr>
        <w:spacing w:before="180"/>
        <w:jc w:val="both"/>
        <w:rPr>
          <w:sz w:val="22"/>
          <w:szCs w:val="22"/>
        </w:rPr>
      </w:pPr>
      <w:r>
        <w:rPr>
          <w:sz w:val="22"/>
          <w:szCs w:val="22"/>
        </w:rPr>
        <w:t xml:space="preserve">Špecifický cieľ 1.1 bol navrhnutý s cieľom kontinuálne nadviazať </w:t>
      </w:r>
      <w:r w:rsidRPr="00294A76">
        <w:rPr>
          <w:sz w:val="22"/>
          <w:szCs w:val="22"/>
        </w:rPr>
        <w:t>na aktivity implementované v predchádzajúcich obdobiach</w:t>
      </w:r>
      <w:r>
        <w:rPr>
          <w:sz w:val="22"/>
          <w:szCs w:val="22"/>
        </w:rPr>
        <w:t>. Vychádza z priority rozvoja železničnej dopravy „</w:t>
      </w:r>
      <w:r w:rsidRPr="007877CC">
        <w:rPr>
          <w:i/>
          <w:sz w:val="22"/>
          <w:szCs w:val="22"/>
        </w:rPr>
        <w:t>Modernizácia a rozvoj železničnej dopravnej cesty tam, kde je to účelné</w:t>
      </w:r>
      <w:r>
        <w:rPr>
          <w:sz w:val="22"/>
          <w:szCs w:val="22"/>
        </w:rPr>
        <w:t xml:space="preserve">“ definovanej v Strategickom pláne a kladie dôraz na potrebu modernizácie v osiach s vysokým dopytom po železničnej osobnej alebo nákladnej doprave. </w:t>
      </w:r>
      <w:r w:rsidR="00E823D3">
        <w:rPr>
          <w:sz w:val="22"/>
          <w:szCs w:val="22"/>
        </w:rPr>
        <w:t>I</w:t>
      </w:r>
      <w:r w:rsidR="007877CC">
        <w:rPr>
          <w:sz w:val="22"/>
          <w:szCs w:val="22"/>
        </w:rPr>
        <w:t>de</w:t>
      </w:r>
      <w:r w:rsidR="00E823D3">
        <w:rPr>
          <w:sz w:val="22"/>
          <w:szCs w:val="22"/>
        </w:rPr>
        <w:t xml:space="preserve"> najmä o hlavné železničné trate zaradené do základnej siete</w:t>
      </w:r>
      <w:r>
        <w:rPr>
          <w:sz w:val="22"/>
          <w:szCs w:val="22"/>
        </w:rPr>
        <w:t xml:space="preserve"> TEN-T, ktorých modernizácia (</w:t>
      </w:r>
      <w:r w:rsidRPr="009B2843">
        <w:rPr>
          <w:sz w:val="22"/>
          <w:szCs w:val="22"/>
        </w:rPr>
        <w:t xml:space="preserve">na parametre definované </w:t>
      </w:r>
      <w:r>
        <w:rPr>
          <w:sz w:val="22"/>
          <w:szCs w:val="22"/>
        </w:rPr>
        <w:t>v legislatíve EÚ) bude hlavnou prio</w:t>
      </w:r>
      <w:r w:rsidR="0097314E">
        <w:rPr>
          <w:sz w:val="22"/>
          <w:szCs w:val="22"/>
        </w:rPr>
        <w:t>ritou pri napĺňaní tohto cieľa.</w:t>
      </w:r>
    </w:p>
    <w:p w:rsidR="007877CC" w:rsidRDefault="007877CC" w:rsidP="00032E50">
      <w:pPr>
        <w:spacing w:before="180"/>
        <w:jc w:val="both"/>
        <w:rPr>
          <w:sz w:val="22"/>
          <w:szCs w:val="22"/>
        </w:rPr>
      </w:pPr>
      <w:r w:rsidRPr="009B2843">
        <w:rPr>
          <w:b/>
          <w:sz w:val="22"/>
          <w:szCs w:val="22"/>
        </w:rPr>
        <w:t>Projekty</w:t>
      </w:r>
      <w:r>
        <w:rPr>
          <w:b/>
          <w:sz w:val="22"/>
          <w:szCs w:val="22"/>
        </w:rPr>
        <w:t xml:space="preserve"> v oblasti</w:t>
      </w:r>
      <w:r w:rsidRPr="009B2843">
        <w:rPr>
          <w:b/>
          <w:sz w:val="22"/>
          <w:szCs w:val="22"/>
        </w:rPr>
        <w:t xml:space="preserve"> modernizácie </w:t>
      </w:r>
      <w:r>
        <w:rPr>
          <w:b/>
          <w:sz w:val="22"/>
          <w:szCs w:val="22"/>
        </w:rPr>
        <w:t xml:space="preserve">a rozvoja </w:t>
      </w:r>
      <w:r w:rsidRPr="009B2843">
        <w:rPr>
          <w:b/>
          <w:sz w:val="22"/>
          <w:szCs w:val="22"/>
        </w:rPr>
        <w:t xml:space="preserve">železničnej dopravnej infraštruktúry budú realizované na tých tratiach, ktoré majú rozhodujúci význam </w:t>
      </w:r>
      <w:r>
        <w:rPr>
          <w:b/>
          <w:sz w:val="22"/>
          <w:szCs w:val="22"/>
        </w:rPr>
        <w:t>pre rast hospodárstva a zlepšenie mobility obyvateľstva SR a EÚ.</w:t>
      </w:r>
    </w:p>
    <w:p w:rsidR="00032E50" w:rsidRPr="009B2843" w:rsidRDefault="00032E50" w:rsidP="00032E50">
      <w:pPr>
        <w:spacing w:before="180"/>
        <w:jc w:val="both"/>
        <w:rPr>
          <w:b/>
          <w:sz w:val="22"/>
          <w:szCs w:val="22"/>
        </w:rPr>
      </w:pPr>
      <w:r w:rsidRPr="004A300A">
        <w:rPr>
          <w:sz w:val="22"/>
          <w:szCs w:val="23"/>
        </w:rPr>
        <w:t>Pokračovanie v modernizácii železničných koridorov je podmienené spracovaní</w:t>
      </w:r>
      <w:r w:rsidR="00966BCE">
        <w:rPr>
          <w:sz w:val="22"/>
          <w:szCs w:val="23"/>
        </w:rPr>
        <w:t>m aktualizácie, resp. vypracovaným nových štúdií realizovateľnosti jednotlivých železničných koridorov.</w:t>
      </w:r>
      <w:r>
        <w:rPr>
          <w:sz w:val="22"/>
          <w:szCs w:val="23"/>
        </w:rPr>
        <w:t xml:space="preserve"> </w:t>
      </w:r>
      <w:r w:rsidR="00966BCE">
        <w:rPr>
          <w:sz w:val="22"/>
          <w:szCs w:val="23"/>
        </w:rPr>
        <w:t>Na tieto štúdie bude nadväzovať</w:t>
      </w:r>
      <w:r w:rsidRPr="004A300A">
        <w:rPr>
          <w:sz w:val="22"/>
          <w:szCs w:val="23"/>
        </w:rPr>
        <w:t xml:space="preserve"> projekto</w:t>
      </w:r>
      <w:r w:rsidRPr="008D3754">
        <w:rPr>
          <w:sz w:val="22"/>
          <w:szCs w:val="23"/>
        </w:rPr>
        <w:t>vá príprava jednotlivých úsekov</w:t>
      </w:r>
      <w:r>
        <w:rPr>
          <w:sz w:val="22"/>
          <w:szCs w:val="23"/>
        </w:rPr>
        <w:t>, v ktorej budú zohľadnené optimalizované modernizačné opatrenia a traťové rýchlosti prisp</w:t>
      </w:r>
      <w:r w:rsidR="00E823D3">
        <w:rPr>
          <w:sz w:val="22"/>
          <w:szCs w:val="23"/>
        </w:rPr>
        <w:t>ôsobené geografickým podmienkam</w:t>
      </w:r>
      <w:r>
        <w:rPr>
          <w:sz w:val="22"/>
          <w:szCs w:val="23"/>
        </w:rPr>
        <w:t>.</w:t>
      </w:r>
      <w:r>
        <w:rPr>
          <w:sz w:val="22"/>
          <w:szCs w:val="22"/>
        </w:rPr>
        <w:t xml:space="preserve"> Zvyšov</w:t>
      </w:r>
      <w:r w:rsidR="007877CC">
        <w:rPr>
          <w:sz w:val="22"/>
          <w:szCs w:val="22"/>
        </w:rPr>
        <w:t>anie traťových rýchlostí na 160 </w:t>
      </w:r>
      <w:r>
        <w:rPr>
          <w:sz w:val="22"/>
          <w:szCs w:val="22"/>
        </w:rPr>
        <w:t>km/h bude realizované len v tých úsekoch</w:t>
      </w:r>
      <w:r w:rsidRPr="009B2843">
        <w:rPr>
          <w:sz w:val="22"/>
          <w:szCs w:val="22"/>
        </w:rPr>
        <w:t>, kde je to vzhľadom na</w:t>
      </w:r>
      <w:r w:rsidR="0095191D">
        <w:rPr>
          <w:sz w:val="22"/>
          <w:szCs w:val="22"/>
        </w:rPr>
        <w:t> </w:t>
      </w:r>
      <w:r w:rsidR="00D21821">
        <w:rPr>
          <w:sz w:val="22"/>
          <w:szCs w:val="22"/>
        </w:rPr>
        <w:t>geomorfologické a</w:t>
      </w:r>
      <w:r w:rsidRPr="009B2843">
        <w:rPr>
          <w:sz w:val="22"/>
          <w:szCs w:val="22"/>
        </w:rPr>
        <w:t xml:space="preserve"> geografické podmienky</w:t>
      </w:r>
      <w:r>
        <w:rPr>
          <w:sz w:val="22"/>
          <w:szCs w:val="22"/>
        </w:rPr>
        <w:t xml:space="preserve"> a investičnú efektívnosť</w:t>
      </w:r>
      <w:r w:rsidRPr="009B2843">
        <w:rPr>
          <w:sz w:val="22"/>
          <w:szCs w:val="22"/>
        </w:rPr>
        <w:t xml:space="preserve"> možné</w:t>
      </w:r>
      <w:r>
        <w:rPr>
          <w:sz w:val="22"/>
          <w:szCs w:val="22"/>
        </w:rPr>
        <w:t>.</w:t>
      </w:r>
    </w:p>
    <w:p w:rsidR="00032E50" w:rsidRDefault="00032E50" w:rsidP="00032E50">
      <w:pPr>
        <w:spacing w:before="180"/>
        <w:jc w:val="both"/>
        <w:rPr>
          <w:sz w:val="22"/>
          <w:szCs w:val="22"/>
        </w:rPr>
      </w:pPr>
      <w:r>
        <w:rPr>
          <w:sz w:val="22"/>
          <w:szCs w:val="22"/>
        </w:rPr>
        <w:t>Ďalším z cieľov je technologické zaistenie interoperability pri </w:t>
      </w:r>
      <w:r w:rsidRPr="009B2843">
        <w:rPr>
          <w:sz w:val="22"/>
          <w:szCs w:val="22"/>
        </w:rPr>
        <w:t>modernizovaní a rekonštrukcii tratí v súlade s</w:t>
      </w:r>
      <w:r>
        <w:rPr>
          <w:sz w:val="22"/>
          <w:szCs w:val="22"/>
        </w:rPr>
        <w:t xml:space="preserve">o smernicou </w:t>
      </w:r>
      <w:r w:rsidRPr="009B2843">
        <w:rPr>
          <w:sz w:val="22"/>
          <w:szCs w:val="22"/>
        </w:rPr>
        <w:t>o interoperabilite a</w:t>
      </w:r>
      <w:r>
        <w:rPr>
          <w:sz w:val="22"/>
          <w:szCs w:val="22"/>
        </w:rPr>
        <w:t> TSI, ktorému sa detailnejšie venuje Špecifický cieľ 1.2.</w:t>
      </w:r>
    </w:p>
    <w:p w:rsidR="00DC14D0" w:rsidRPr="001B2070" w:rsidRDefault="00DC14D0" w:rsidP="001B2070">
      <w:pPr>
        <w:spacing w:before="180" w:after="120"/>
        <w:rPr>
          <w:rFonts w:ascii="Arial Narrow" w:hAnsi="Arial Narrow"/>
          <w:b/>
          <w:i/>
          <w:color w:val="548DD4" w:themeColor="text2" w:themeTint="99"/>
          <w:sz w:val="22"/>
          <w:szCs w:val="22"/>
        </w:rPr>
      </w:pPr>
      <w:r w:rsidRPr="001B2070">
        <w:rPr>
          <w:rFonts w:ascii="Arial Narrow" w:hAnsi="Arial Narrow"/>
          <w:b/>
          <w:i/>
          <w:color w:val="548DD4" w:themeColor="text2" w:themeTint="99"/>
          <w:sz w:val="22"/>
          <w:szCs w:val="22"/>
        </w:rPr>
        <w:t>VÝSLEDKY</w:t>
      </w:r>
    </w:p>
    <w:p w:rsidR="005665D4" w:rsidRDefault="005665D4" w:rsidP="00FE6025">
      <w:pPr>
        <w:pStyle w:val="Odsekzoznamu"/>
        <w:numPr>
          <w:ilvl w:val="0"/>
          <w:numId w:val="44"/>
        </w:numPr>
        <w:autoSpaceDE w:val="0"/>
        <w:autoSpaceDN w:val="0"/>
        <w:adjustRightInd w:val="0"/>
        <w:ind w:left="709" w:hanging="425"/>
        <w:jc w:val="both"/>
        <w:rPr>
          <w:sz w:val="22"/>
          <w:szCs w:val="22"/>
        </w:rPr>
      </w:pPr>
      <w:r w:rsidRPr="00186DB7">
        <w:rPr>
          <w:sz w:val="22"/>
          <w:szCs w:val="22"/>
        </w:rPr>
        <w:t>odstránenie kľúčových úzkych miest na základnej sieti TEN-T</w:t>
      </w:r>
      <w:r w:rsidR="007877CC">
        <w:rPr>
          <w:sz w:val="22"/>
          <w:szCs w:val="22"/>
        </w:rPr>
        <w:t xml:space="preserve"> (najmä </w:t>
      </w:r>
      <w:r w:rsidRPr="00186DB7">
        <w:rPr>
          <w:sz w:val="22"/>
          <w:szCs w:val="22"/>
        </w:rPr>
        <w:t xml:space="preserve">v úseku </w:t>
      </w:r>
      <w:r>
        <w:rPr>
          <w:sz w:val="22"/>
          <w:szCs w:val="22"/>
        </w:rPr>
        <w:t>Žilina</w:t>
      </w:r>
      <w:r w:rsidR="00B12931">
        <w:rPr>
          <w:sz w:val="22"/>
          <w:szCs w:val="22"/>
        </w:rPr>
        <w:t xml:space="preserve"> – Košice a Krásno nad Kysucou – št. hr. SR/ČR</w:t>
      </w:r>
      <w:r w:rsidR="007877CC">
        <w:rPr>
          <w:sz w:val="22"/>
          <w:szCs w:val="22"/>
        </w:rPr>
        <w:t>)</w:t>
      </w:r>
      <w:r>
        <w:rPr>
          <w:sz w:val="22"/>
          <w:szCs w:val="22"/>
        </w:rPr>
        <w:t>,</w:t>
      </w:r>
    </w:p>
    <w:p w:rsidR="00750184" w:rsidRDefault="00FA32B6" w:rsidP="00FE6025">
      <w:pPr>
        <w:pStyle w:val="Odsekzoznamu"/>
        <w:numPr>
          <w:ilvl w:val="0"/>
          <w:numId w:val="44"/>
        </w:numPr>
        <w:autoSpaceDE w:val="0"/>
        <w:autoSpaceDN w:val="0"/>
        <w:adjustRightInd w:val="0"/>
        <w:ind w:left="709" w:hanging="425"/>
        <w:jc w:val="both"/>
        <w:rPr>
          <w:sz w:val="22"/>
          <w:szCs w:val="22"/>
        </w:rPr>
      </w:pPr>
      <w:r>
        <w:rPr>
          <w:sz w:val="22"/>
          <w:szCs w:val="22"/>
        </w:rPr>
        <w:t>zníženie časových strát a prevádzkových nákladov,</w:t>
      </w:r>
    </w:p>
    <w:p w:rsidR="00750184" w:rsidRDefault="00750184" w:rsidP="00FE6025">
      <w:pPr>
        <w:pStyle w:val="Odsekzoznamu"/>
        <w:numPr>
          <w:ilvl w:val="0"/>
          <w:numId w:val="44"/>
        </w:numPr>
        <w:autoSpaceDE w:val="0"/>
        <w:autoSpaceDN w:val="0"/>
        <w:adjustRightInd w:val="0"/>
        <w:ind w:left="709" w:hanging="425"/>
        <w:jc w:val="both"/>
        <w:rPr>
          <w:sz w:val="22"/>
          <w:szCs w:val="22"/>
        </w:rPr>
      </w:pPr>
      <w:r>
        <w:rPr>
          <w:sz w:val="22"/>
          <w:szCs w:val="22"/>
        </w:rPr>
        <w:t>zníženie negatívnych vplyvov na životné prostredie (zníženie hlukovej a emisnej záťaže),</w:t>
      </w:r>
    </w:p>
    <w:p w:rsidR="006012B4" w:rsidRPr="00750184" w:rsidRDefault="006012B4" w:rsidP="00FE6025">
      <w:pPr>
        <w:pStyle w:val="Odsekzoznamu"/>
        <w:numPr>
          <w:ilvl w:val="0"/>
          <w:numId w:val="44"/>
        </w:numPr>
        <w:autoSpaceDE w:val="0"/>
        <w:autoSpaceDN w:val="0"/>
        <w:adjustRightInd w:val="0"/>
        <w:ind w:left="709" w:hanging="425"/>
        <w:jc w:val="both"/>
        <w:rPr>
          <w:sz w:val="22"/>
          <w:szCs w:val="22"/>
        </w:rPr>
      </w:pPr>
      <w:r w:rsidRPr="00750184">
        <w:rPr>
          <w:color w:val="000000" w:themeColor="text1"/>
          <w:sz w:val="22"/>
          <w:szCs w:val="22"/>
        </w:rPr>
        <w:t>vytváranie predpokladov na zvýšenie podielu železničnej osobnej a nákladnej dopravy na deľbe prepravnej práce,</w:t>
      </w:r>
    </w:p>
    <w:p w:rsidR="005665D4" w:rsidRPr="00FA32B6" w:rsidRDefault="00FA32B6" w:rsidP="00FE6025">
      <w:pPr>
        <w:pStyle w:val="Odsekzoznamu"/>
        <w:numPr>
          <w:ilvl w:val="0"/>
          <w:numId w:val="44"/>
        </w:numPr>
        <w:autoSpaceDE w:val="0"/>
        <w:autoSpaceDN w:val="0"/>
        <w:adjustRightInd w:val="0"/>
        <w:ind w:left="709" w:hanging="425"/>
        <w:jc w:val="both"/>
        <w:rPr>
          <w:snapToGrid w:val="0"/>
          <w:sz w:val="22"/>
          <w:szCs w:val="23"/>
          <w:lang w:eastAsia="cs-CZ"/>
        </w:rPr>
      </w:pPr>
      <w:r w:rsidRPr="00B715C0">
        <w:rPr>
          <w:sz w:val="22"/>
          <w:szCs w:val="22"/>
        </w:rPr>
        <w:t>vytváranie predpokladov pre zvýšenie konkurencieschopnosti regiónov</w:t>
      </w:r>
      <w:r w:rsidR="00D21821">
        <w:rPr>
          <w:sz w:val="22"/>
          <w:szCs w:val="22"/>
        </w:rPr>
        <w:t>, zlepšenie</w:t>
      </w:r>
      <w:r>
        <w:rPr>
          <w:sz w:val="22"/>
          <w:szCs w:val="22"/>
        </w:rPr>
        <w:t xml:space="preserve"> mobility obyvateľov</w:t>
      </w:r>
      <w:r w:rsidRPr="00B715C0">
        <w:rPr>
          <w:sz w:val="22"/>
          <w:szCs w:val="22"/>
        </w:rPr>
        <w:t xml:space="preserve"> a potenciálu </w:t>
      </w:r>
      <w:r w:rsidR="00615FA5">
        <w:rPr>
          <w:sz w:val="22"/>
          <w:szCs w:val="22"/>
        </w:rPr>
        <w:t>rastu zamestnanosti</w:t>
      </w:r>
      <w:r>
        <w:rPr>
          <w:sz w:val="22"/>
          <w:szCs w:val="22"/>
        </w:rPr>
        <w:t>.</w:t>
      </w:r>
    </w:p>
    <w:p w:rsidR="001A218B" w:rsidRDefault="00AB18C1" w:rsidP="004F0234">
      <w:pPr>
        <w:pStyle w:val="Tab"/>
      </w:pPr>
      <w:r>
        <w:t>Špecifické v</w:t>
      </w:r>
      <w:r w:rsidR="004F0234" w:rsidRPr="004F0234">
        <w:t>ýsledkové ukazovatele zodpovedajúce špecifickému cieľu</w:t>
      </w:r>
      <w:r w:rsidR="00350B96">
        <w:t xml:space="preserve"> 1.1</w:t>
      </w:r>
    </w:p>
    <w:tbl>
      <w:tblPr>
        <w:tblStyle w:val="Mriekatabuky"/>
        <w:tblW w:w="928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56"/>
        <w:gridCol w:w="1304"/>
        <w:gridCol w:w="898"/>
        <w:gridCol w:w="1025"/>
        <w:gridCol w:w="1297"/>
        <w:gridCol w:w="1297"/>
        <w:gridCol w:w="911"/>
        <w:gridCol w:w="789"/>
        <w:gridCol w:w="1210"/>
      </w:tblGrid>
      <w:tr w:rsidR="00AB18C1" w:rsidTr="0095191D">
        <w:trPr>
          <w:trHeight w:val="487"/>
          <w:jc w:val="center"/>
        </w:trPr>
        <w:tc>
          <w:tcPr>
            <w:tcW w:w="556" w:type="dxa"/>
            <w:shd w:val="clear" w:color="auto" w:fill="C6D9F1" w:themeFill="text2" w:themeFillTint="33"/>
            <w:vAlign w:val="center"/>
          </w:tcPr>
          <w:p w:rsidR="00AB18C1" w:rsidRPr="008C1732" w:rsidRDefault="00854EA5" w:rsidP="00AB18C1">
            <w:pPr>
              <w:ind w:left="0"/>
              <w:jc w:val="center"/>
              <w:rPr>
                <w:b/>
                <w:sz w:val="18"/>
                <w:szCs w:val="18"/>
              </w:rPr>
            </w:pPr>
            <w:r>
              <w:rPr>
                <w:b/>
                <w:sz w:val="18"/>
                <w:szCs w:val="18"/>
              </w:rPr>
              <w:t>P. č.</w:t>
            </w:r>
          </w:p>
        </w:tc>
        <w:tc>
          <w:tcPr>
            <w:tcW w:w="1304" w:type="dxa"/>
            <w:shd w:val="clear" w:color="auto" w:fill="C6D9F1" w:themeFill="text2" w:themeFillTint="33"/>
            <w:vAlign w:val="center"/>
          </w:tcPr>
          <w:p w:rsidR="00AB18C1" w:rsidRPr="008C1732" w:rsidRDefault="00AB18C1" w:rsidP="00AB18C1">
            <w:pPr>
              <w:ind w:left="0"/>
              <w:jc w:val="center"/>
              <w:rPr>
                <w:b/>
                <w:sz w:val="18"/>
                <w:szCs w:val="18"/>
              </w:rPr>
            </w:pPr>
            <w:r w:rsidRPr="008C1732">
              <w:rPr>
                <w:b/>
                <w:sz w:val="18"/>
                <w:szCs w:val="18"/>
              </w:rPr>
              <w:t>Ukazovateľ</w:t>
            </w:r>
          </w:p>
        </w:tc>
        <w:tc>
          <w:tcPr>
            <w:tcW w:w="898" w:type="dxa"/>
            <w:shd w:val="clear" w:color="auto" w:fill="C6D9F1" w:themeFill="text2" w:themeFillTint="33"/>
            <w:vAlign w:val="center"/>
          </w:tcPr>
          <w:p w:rsidR="00AB18C1" w:rsidRPr="008C1732" w:rsidRDefault="00AB18C1" w:rsidP="00AB18C1">
            <w:pPr>
              <w:ind w:left="0"/>
              <w:jc w:val="center"/>
              <w:rPr>
                <w:b/>
                <w:sz w:val="18"/>
                <w:szCs w:val="18"/>
              </w:rPr>
            </w:pPr>
            <w:r w:rsidRPr="008C1732">
              <w:rPr>
                <w:b/>
                <w:sz w:val="18"/>
                <w:szCs w:val="18"/>
              </w:rPr>
              <w:t>Merná jednotka</w:t>
            </w:r>
          </w:p>
        </w:tc>
        <w:tc>
          <w:tcPr>
            <w:tcW w:w="1025" w:type="dxa"/>
            <w:shd w:val="clear" w:color="auto" w:fill="C6D9F1" w:themeFill="text2" w:themeFillTint="33"/>
            <w:vAlign w:val="center"/>
          </w:tcPr>
          <w:p w:rsidR="00AB18C1" w:rsidRPr="008C1732" w:rsidRDefault="00AB18C1" w:rsidP="00AB18C1">
            <w:pPr>
              <w:ind w:left="0"/>
              <w:jc w:val="center"/>
              <w:rPr>
                <w:b/>
                <w:sz w:val="18"/>
                <w:szCs w:val="18"/>
              </w:rPr>
            </w:pPr>
            <w:r w:rsidRPr="008C1732">
              <w:rPr>
                <w:b/>
                <w:sz w:val="18"/>
                <w:szCs w:val="18"/>
              </w:rPr>
              <w:t>Kategória regiónu</w:t>
            </w:r>
          </w:p>
        </w:tc>
        <w:tc>
          <w:tcPr>
            <w:tcW w:w="1297" w:type="dxa"/>
            <w:shd w:val="clear" w:color="auto" w:fill="C6D9F1" w:themeFill="text2" w:themeFillTint="33"/>
            <w:vAlign w:val="center"/>
          </w:tcPr>
          <w:p w:rsidR="00AB18C1" w:rsidRPr="008C1732" w:rsidRDefault="00AB18C1" w:rsidP="00AB18C1">
            <w:pPr>
              <w:ind w:left="0"/>
              <w:jc w:val="center"/>
              <w:rPr>
                <w:b/>
                <w:sz w:val="18"/>
                <w:szCs w:val="18"/>
              </w:rPr>
            </w:pPr>
            <w:r>
              <w:rPr>
                <w:b/>
                <w:sz w:val="18"/>
                <w:szCs w:val="18"/>
              </w:rPr>
              <w:t>Východisková hodnota</w:t>
            </w:r>
          </w:p>
        </w:tc>
        <w:tc>
          <w:tcPr>
            <w:tcW w:w="1297" w:type="dxa"/>
            <w:shd w:val="clear" w:color="auto" w:fill="C6D9F1" w:themeFill="text2" w:themeFillTint="33"/>
            <w:vAlign w:val="center"/>
          </w:tcPr>
          <w:p w:rsidR="00AB18C1" w:rsidRPr="008C1732" w:rsidRDefault="00AB18C1" w:rsidP="00AB18C1">
            <w:pPr>
              <w:ind w:left="0"/>
              <w:jc w:val="center"/>
              <w:rPr>
                <w:b/>
                <w:sz w:val="18"/>
                <w:szCs w:val="18"/>
              </w:rPr>
            </w:pPr>
            <w:r>
              <w:rPr>
                <w:b/>
                <w:sz w:val="18"/>
                <w:szCs w:val="18"/>
              </w:rPr>
              <w:t>Východiskový rok</w:t>
            </w:r>
          </w:p>
        </w:tc>
        <w:tc>
          <w:tcPr>
            <w:tcW w:w="911" w:type="dxa"/>
            <w:shd w:val="clear" w:color="auto" w:fill="C6D9F1" w:themeFill="text2" w:themeFillTint="33"/>
            <w:vAlign w:val="center"/>
          </w:tcPr>
          <w:p w:rsidR="00AB18C1" w:rsidRPr="008C1732" w:rsidRDefault="00AB18C1" w:rsidP="00AB18C1">
            <w:pPr>
              <w:ind w:left="0"/>
              <w:jc w:val="center"/>
              <w:rPr>
                <w:b/>
                <w:sz w:val="18"/>
                <w:szCs w:val="18"/>
              </w:rPr>
            </w:pPr>
            <w:r w:rsidRPr="008C1732">
              <w:rPr>
                <w:b/>
                <w:sz w:val="18"/>
                <w:szCs w:val="18"/>
              </w:rPr>
              <w:t>Cieľová hodnota (2023)</w:t>
            </w:r>
          </w:p>
        </w:tc>
        <w:tc>
          <w:tcPr>
            <w:tcW w:w="789" w:type="dxa"/>
            <w:shd w:val="clear" w:color="auto" w:fill="C6D9F1" w:themeFill="text2" w:themeFillTint="33"/>
            <w:vAlign w:val="center"/>
          </w:tcPr>
          <w:p w:rsidR="00AB18C1" w:rsidRPr="008C1732" w:rsidRDefault="00AB18C1" w:rsidP="00AB18C1">
            <w:pPr>
              <w:ind w:left="0"/>
              <w:jc w:val="center"/>
              <w:rPr>
                <w:b/>
                <w:sz w:val="18"/>
                <w:szCs w:val="18"/>
              </w:rPr>
            </w:pPr>
            <w:r w:rsidRPr="008C1732">
              <w:rPr>
                <w:b/>
                <w:sz w:val="18"/>
                <w:szCs w:val="18"/>
              </w:rPr>
              <w:t>Zdroj údajov</w:t>
            </w:r>
          </w:p>
        </w:tc>
        <w:tc>
          <w:tcPr>
            <w:tcW w:w="1210" w:type="dxa"/>
            <w:shd w:val="clear" w:color="auto" w:fill="C6D9F1" w:themeFill="text2" w:themeFillTint="33"/>
            <w:vAlign w:val="center"/>
          </w:tcPr>
          <w:p w:rsidR="00AB18C1" w:rsidRPr="008C1732" w:rsidRDefault="00AB18C1" w:rsidP="00AB18C1">
            <w:pPr>
              <w:ind w:left="0"/>
              <w:jc w:val="center"/>
              <w:rPr>
                <w:b/>
                <w:sz w:val="18"/>
                <w:szCs w:val="18"/>
              </w:rPr>
            </w:pPr>
            <w:r w:rsidRPr="008C1732">
              <w:rPr>
                <w:b/>
                <w:sz w:val="18"/>
                <w:szCs w:val="18"/>
              </w:rPr>
              <w:t>Frekvencia vykazovania</w:t>
            </w:r>
          </w:p>
        </w:tc>
      </w:tr>
      <w:tr w:rsidR="00AB18C1" w:rsidTr="0095191D">
        <w:trPr>
          <w:trHeight w:val="680"/>
          <w:jc w:val="center"/>
        </w:trPr>
        <w:tc>
          <w:tcPr>
            <w:tcW w:w="556" w:type="dxa"/>
            <w:shd w:val="clear" w:color="auto" w:fill="auto"/>
            <w:vAlign w:val="center"/>
          </w:tcPr>
          <w:p w:rsidR="00AB18C1" w:rsidRPr="00336C1F" w:rsidRDefault="00854EA5" w:rsidP="005917D8">
            <w:pPr>
              <w:ind w:left="0"/>
              <w:jc w:val="center"/>
              <w:rPr>
                <w:sz w:val="20"/>
                <w:szCs w:val="20"/>
              </w:rPr>
            </w:pPr>
            <w:r>
              <w:rPr>
                <w:sz w:val="20"/>
                <w:szCs w:val="20"/>
              </w:rPr>
              <w:t>1.</w:t>
            </w:r>
          </w:p>
        </w:tc>
        <w:tc>
          <w:tcPr>
            <w:tcW w:w="1304" w:type="dxa"/>
            <w:shd w:val="clear" w:color="auto" w:fill="auto"/>
            <w:vAlign w:val="center"/>
          </w:tcPr>
          <w:p w:rsidR="00AB18C1" w:rsidRPr="00AB18C1" w:rsidRDefault="00AB18C1" w:rsidP="00336C1F">
            <w:pPr>
              <w:ind w:left="0"/>
              <w:rPr>
                <w:sz w:val="20"/>
                <w:szCs w:val="20"/>
              </w:rPr>
            </w:pPr>
            <w:r w:rsidRPr="00AB18C1">
              <w:rPr>
                <w:sz w:val="20"/>
                <w:szCs w:val="20"/>
              </w:rPr>
              <w:t>Úspora času v železničnej doprave</w:t>
            </w:r>
          </w:p>
        </w:tc>
        <w:tc>
          <w:tcPr>
            <w:tcW w:w="898" w:type="dxa"/>
            <w:shd w:val="clear" w:color="auto" w:fill="auto"/>
            <w:vAlign w:val="center"/>
          </w:tcPr>
          <w:p w:rsidR="00AB18C1" w:rsidRPr="00AB18C1" w:rsidRDefault="00AB18C1" w:rsidP="00AB18C1">
            <w:pPr>
              <w:ind w:left="0"/>
              <w:jc w:val="center"/>
              <w:rPr>
                <w:sz w:val="20"/>
                <w:szCs w:val="20"/>
              </w:rPr>
            </w:pPr>
            <w:r w:rsidRPr="00AB18C1">
              <w:rPr>
                <w:sz w:val="20"/>
                <w:szCs w:val="20"/>
              </w:rPr>
              <w:t>EUR</w:t>
            </w:r>
          </w:p>
        </w:tc>
        <w:tc>
          <w:tcPr>
            <w:tcW w:w="1025" w:type="dxa"/>
            <w:shd w:val="clear" w:color="auto" w:fill="auto"/>
            <w:vAlign w:val="center"/>
          </w:tcPr>
          <w:p w:rsidR="00AB18C1" w:rsidRPr="00AB18C1" w:rsidRDefault="00AB18C1" w:rsidP="00AB18C1">
            <w:pPr>
              <w:ind w:left="0"/>
              <w:jc w:val="center"/>
              <w:rPr>
                <w:sz w:val="20"/>
                <w:szCs w:val="20"/>
              </w:rPr>
            </w:pPr>
            <w:r w:rsidRPr="00AB18C1">
              <w:rPr>
                <w:sz w:val="20"/>
                <w:szCs w:val="20"/>
              </w:rPr>
              <w:t>N/A</w:t>
            </w:r>
          </w:p>
        </w:tc>
        <w:tc>
          <w:tcPr>
            <w:tcW w:w="1297" w:type="dxa"/>
            <w:vAlign w:val="center"/>
          </w:tcPr>
          <w:p w:rsidR="00AB18C1" w:rsidRPr="00AB18C1" w:rsidRDefault="00AB18C1" w:rsidP="00AB18C1">
            <w:pPr>
              <w:jc w:val="center"/>
              <w:rPr>
                <w:sz w:val="20"/>
                <w:szCs w:val="20"/>
              </w:rPr>
            </w:pPr>
          </w:p>
        </w:tc>
        <w:tc>
          <w:tcPr>
            <w:tcW w:w="1297" w:type="dxa"/>
            <w:vAlign w:val="center"/>
          </w:tcPr>
          <w:p w:rsidR="00AB18C1" w:rsidRPr="00AB18C1" w:rsidRDefault="00AB18C1" w:rsidP="00AB18C1">
            <w:pPr>
              <w:ind w:left="0"/>
              <w:jc w:val="center"/>
              <w:rPr>
                <w:sz w:val="20"/>
                <w:szCs w:val="20"/>
              </w:rPr>
            </w:pPr>
            <w:r w:rsidRPr="00AB18C1">
              <w:rPr>
                <w:sz w:val="20"/>
                <w:szCs w:val="20"/>
              </w:rPr>
              <w:t>2013</w:t>
            </w:r>
          </w:p>
        </w:tc>
        <w:tc>
          <w:tcPr>
            <w:tcW w:w="911" w:type="dxa"/>
            <w:shd w:val="clear" w:color="auto" w:fill="auto"/>
            <w:vAlign w:val="center"/>
          </w:tcPr>
          <w:p w:rsidR="00AB18C1" w:rsidRPr="00AB18C1" w:rsidRDefault="00AB18C1" w:rsidP="00AB18C1">
            <w:pPr>
              <w:ind w:left="0"/>
              <w:jc w:val="center"/>
              <w:rPr>
                <w:sz w:val="20"/>
                <w:szCs w:val="20"/>
              </w:rPr>
            </w:pPr>
          </w:p>
        </w:tc>
        <w:tc>
          <w:tcPr>
            <w:tcW w:w="789" w:type="dxa"/>
            <w:vAlign w:val="center"/>
          </w:tcPr>
          <w:p w:rsidR="00AB18C1" w:rsidRPr="00AB18C1" w:rsidRDefault="00AB18C1" w:rsidP="00AB18C1">
            <w:pPr>
              <w:ind w:left="0"/>
              <w:jc w:val="center"/>
              <w:rPr>
                <w:sz w:val="20"/>
                <w:szCs w:val="20"/>
              </w:rPr>
            </w:pPr>
            <w:r w:rsidRPr="00AB18C1">
              <w:rPr>
                <w:sz w:val="20"/>
                <w:szCs w:val="20"/>
              </w:rPr>
              <w:t>RO OPII</w:t>
            </w:r>
          </w:p>
        </w:tc>
        <w:tc>
          <w:tcPr>
            <w:tcW w:w="1210" w:type="dxa"/>
            <w:vAlign w:val="center"/>
          </w:tcPr>
          <w:p w:rsidR="00AB18C1" w:rsidRPr="00AB18C1" w:rsidRDefault="00AB18C1" w:rsidP="00AB18C1">
            <w:pPr>
              <w:ind w:left="0"/>
              <w:jc w:val="center"/>
              <w:rPr>
                <w:sz w:val="20"/>
                <w:szCs w:val="20"/>
              </w:rPr>
            </w:pPr>
            <w:r w:rsidRPr="00AB18C1">
              <w:rPr>
                <w:sz w:val="20"/>
                <w:szCs w:val="20"/>
              </w:rPr>
              <w:t>Ročne</w:t>
            </w:r>
          </w:p>
        </w:tc>
      </w:tr>
    </w:tbl>
    <w:p w:rsidR="00816B1A" w:rsidRPr="000C1600" w:rsidRDefault="00816B1A" w:rsidP="000C1600">
      <w:pPr>
        <w:rPr>
          <w:sz w:val="20"/>
          <w:szCs w:val="20"/>
        </w:rPr>
      </w:pPr>
      <w:bookmarkStart w:id="21" w:name="_Toc383236542"/>
      <w:r w:rsidRPr="000C1600">
        <w:rPr>
          <w:sz w:val="20"/>
          <w:szCs w:val="20"/>
          <w:u w:val="single"/>
        </w:rPr>
        <w:t>Pozn</w:t>
      </w:r>
      <w:r w:rsidRPr="000C1600">
        <w:rPr>
          <w:sz w:val="20"/>
          <w:szCs w:val="20"/>
        </w:rPr>
        <w:t xml:space="preserve">.: Hodnoty ukazovateľov budú doplnené v ďalšom štádiu prípravy dokumentu. </w:t>
      </w:r>
    </w:p>
    <w:p w:rsidR="001A218B" w:rsidRDefault="001A218B" w:rsidP="00854EA5">
      <w:pPr>
        <w:pStyle w:val="Nadpis3"/>
        <w:spacing w:before="240"/>
        <w:jc w:val="both"/>
      </w:pPr>
      <w:bookmarkStart w:id="22" w:name="_Toc385310681"/>
      <w:r>
        <w:t>INVEST</w:t>
      </w:r>
      <w:r w:rsidR="00AB18C1">
        <w:t>IČN</w:t>
      </w:r>
      <w:r w:rsidR="00301C7E">
        <w:t>Á PRIORITA</w:t>
      </w:r>
      <w:r w:rsidR="00860925">
        <w:t xml:space="preserve"> 7d)</w:t>
      </w:r>
      <w:r>
        <w:t xml:space="preserve">: </w:t>
      </w:r>
      <w:r w:rsidRPr="00566C61">
        <w:t>Vývoj a modernizácia komplexných, interoperabilných železničných systémov vysoke</w:t>
      </w:r>
      <w:r>
        <w:t>j kvality a podpora opatrení na </w:t>
      </w:r>
      <w:r w:rsidRPr="00566C61">
        <w:t>znižovanie hluku</w:t>
      </w:r>
      <w:bookmarkEnd w:id="21"/>
      <w:bookmarkEnd w:id="22"/>
    </w:p>
    <w:p w:rsidR="001A218B" w:rsidRDefault="001A218B" w:rsidP="00740654">
      <w:pPr>
        <w:pStyle w:val="Nadpis4"/>
      </w:pPr>
      <w:r>
        <w:t>Špecifické ciele investičnej priority a očakávané výsledky</w:t>
      </w:r>
    </w:p>
    <w:p w:rsidR="00750184" w:rsidRPr="004F0234" w:rsidRDefault="00750184" w:rsidP="002E1021">
      <w:pPr>
        <w:shd w:val="clear" w:color="auto" w:fill="FFFFCC"/>
        <w:jc w:val="both"/>
        <w:rPr>
          <w:b/>
          <w:i/>
        </w:rPr>
      </w:pPr>
      <w:r w:rsidRPr="004F0234">
        <w:rPr>
          <w:i/>
        </w:rPr>
        <w:t xml:space="preserve">ŠPECIFICKÝ CIEĽ </w:t>
      </w:r>
      <w:r>
        <w:rPr>
          <w:i/>
        </w:rPr>
        <w:t>1</w:t>
      </w:r>
      <w:r w:rsidR="00A80038">
        <w:rPr>
          <w:i/>
        </w:rPr>
        <w:t>.2</w:t>
      </w:r>
      <w:r w:rsidRPr="004F0234">
        <w:rPr>
          <w:i/>
        </w:rPr>
        <w:t xml:space="preserve">: </w:t>
      </w:r>
      <w:r w:rsidR="00CB59EA" w:rsidRPr="00CB59EA">
        <w:rPr>
          <w:b/>
          <w:i/>
        </w:rPr>
        <w:t>Zlepšenie kvality železničnej infraštruktúry implementáciou</w:t>
      </w:r>
      <w:r w:rsidRPr="00750184">
        <w:rPr>
          <w:b/>
          <w:i/>
        </w:rPr>
        <w:t xml:space="preserve"> vybraných prvkov TSI na najdôležitejších tratiach pre medzinárodnú dopravu</w:t>
      </w:r>
    </w:p>
    <w:p w:rsidR="00C3408A" w:rsidRDefault="00AF71BD" w:rsidP="00C3408A">
      <w:pPr>
        <w:spacing w:before="180"/>
        <w:jc w:val="both"/>
        <w:rPr>
          <w:sz w:val="22"/>
          <w:szCs w:val="22"/>
        </w:rPr>
      </w:pPr>
      <w:r w:rsidRPr="00AF71BD">
        <w:rPr>
          <w:sz w:val="22"/>
          <w:szCs w:val="22"/>
        </w:rPr>
        <w:t>Existencia vzájomne nekompatibilných železničných systémov využívaných v krajinách EÚ obmedzuje výkonnosť, plynulosť</w:t>
      </w:r>
      <w:r w:rsidR="00C3408A">
        <w:rPr>
          <w:sz w:val="22"/>
          <w:szCs w:val="22"/>
        </w:rPr>
        <w:t xml:space="preserve"> a kvalitu železničnej dopravy (predovšetkým pri cezhraničných prepravách</w:t>
      </w:r>
      <w:r w:rsidR="00D21821">
        <w:rPr>
          <w:sz w:val="22"/>
          <w:szCs w:val="22"/>
        </w:rPr>
        <w:t xml:space="preserve"> na tratiach AGC a AGTC</w:t>
      </w:r>
      <w:r w:rsidR="00C3408A">
        <w:rPr>
          <w:sz w:val="22"/>
          <w:szCs w:val="22"/>
        </w:rPr>
        <w:t>)</w:t>
      </w:r>
      <w:r w:rsidRPr="00AF71BD">
        <w:rPr>
          <w:sz w:val="22"/>
          <w:szCs w:val="22"/>
        </w:rPr>
        <w:t xml:space="preserve">, znižuje konkurenčnú pozíciu </w:t>
      </w:r>
      <w:r>
        <w:rPr>
          <w:sz w:val="22"/>
          <w:szCs w:val="22"/>
        </w:rPr>
        <w:t>železníc na </w:t>
      </w:r>
      <w:r w:rsidR="00C3408A">
        <w:rPr>
          <w:sz w:val="22"/>
          <w:szCs w:val="22"/>
        </w:rPr>
        <w:t>dopravnom trhu a je jednou z hlavných prekážok pri budovaní jednotného trhu EÚ.</w:t>
      </w:r>
      <w:r w:rsidR="00C3408A" w:rsidRPr="00C3408A">
        <w:rPr>
          <w:sz w:val="22"/>
          <w:szCs w:val="22"/>
        </w:rPr>
        <w:t xml:space="preserve"> </w:t>
      </w:r>
    </w:p>
    <w:p w:rsidR="00C3408A" w:rsidRPr="00C3408A" w:rsidRDefault="00C3408A" w:rsidP="00C3408A">
      <w:pPr>
        <w:spacing w:before="180"/>
        <w:jc w:val="both"/>
        <w:rPr>
          <w:sz w:val="22"/>
          <w:szCs w:val="22"/>
        </w:rPr>
      </w:pPr>
      <w:r w:rsidRPr="00C3408A">
        <w:rPr>
          <w:sz w:val="22"/>
          <w:szCs w:val="22"/>
        </w:rPr>
        <w:lastRenderedPageBreak/>
        <w:t>Súčasná železničn</w:t>
      </w:r>
      <w:r>
        <w:rPr>
          <w:sz w:val="22"/>
          <w:szCs w:val="22"/>
        </w:rPr>
        <w:t>á infraštruktúra</w:t>
      </w:r>
      <w:r w:rsidR="00D21821">
        <w:rPr>
          <w:sz w:val="22"/>
          <w:szCs w:val="22"/>
        </w:rPr>
        <w:t xml:space="preserve"> SR</w:t>
      </w:r>
      <w:r>
        <w:rPr>
          <w:sz w:val="22"/>
          <w:szCs w:val="22"/>
        </w:rPr>
        <w:t xml:space="preserve"> je technicky a </w:t>
      </w:r>
      <w:r w:rsidRPr="00C3408A">
        <w:rPr>
          <w:sz w:val="22"/>
          <w:szCs w:val="22"/>
        </w:rPr>
        <w:t xml:space="preserve">technologicky značne </w:t>
      </w:r>
      <w:r>
        <w:rPr>
          <w:sz w:val="22"/>
          <w:szCs w:val="22"/>
        </w:rPr>
        <w:t>zastaraná</w:t>
      </w:r>
      <w:r w:rsidRPr="00C3408A">
        <w:rPr>
          <w:sz w:val="22"/>
          <w:szCs w:val="22"/>
        </w:rPr>
        <w:t>, nespĺňa ra</w:t>
      </w:r>
      <w:r>
        <w:rPr>
          <w:sz w:val="22"/>
          <w:szCs w:val="22"/>
        </w:rPr>
        <w:t>stúce kvalitatívne požiadavky kladené na železničnú dopravu</w:t>
      </w:r>
      <w:r w:rsidRPr="00C3408A">
        <w:rPr>
          <w:sz w:val="22"/>
          <w:szCs w:val="22"/>
        </w:rPr>
        <w:t xml:space="preserve">, technické </w:t>
      </w:r>
      <w:r>
        <w:rPr>
          <w:sz w:val="22"/>
          <w:szCs w:val="22"/>
        </w:rPr>
        <w:t>špecifikácie interoperability a </w:t>
      </w:r>
      <w:r w:rsidRPr="00C3408A">
        <w:rPr>
          <w:sz w:val="22"/>
          <w:szCs w:val="22"/>
        </w:rPr>
        <w:t>príslušné vyhlášky UIC, čo obmedzuje začlenenie do európskeho železničného systému a pr</w:t>
      </w:r>
      <w:r>
        <w:rPr>
          <w:sz w:val="22"/>
          <w:szCs w:val="22"/>
        </w:rPr>
        <w:t>ispieva k </w:t>
      </w:r>
      <w:r w:rsidRPr="00C3408A">
        <w:rPr>
          <w:sz w:val="22"/>
          <w:szCs w:val="22"/>
        </w:rPr>
        <w:t xml:space="preserve">pokračujúcemu poklesu podielu </w:t>
      </w:r>
      <w:r>
        <w:rPr>
          <w:sz w:val="22"/>
          <w:szCs w:val="22"/>
        </w:rPr>
        <w:t>železníc</w:t>
      </w:r>
      <w:r w:rsidRPr="00C3408A">
        <w:rPr>
          <w:sz w:val="22"/>
          <w:szCs w:val="22"/>
        </w:rPr>
        <w:t xml:space="preserve"> na dopravnom trhu v prospech rastu cestnej dopravy.</w:t>
      </w:r>
    </w:p>
    <w:p w:rsidR="003676B4" w:rsidRDefault="003676B4" w:rsidP="00750184">
      <w:pPr>
        <w:spacing w:before="180"/>
        <w:jc w:val="both"/>
        <w:rPr>
          <w:sz w:val="22"/>
          <w:szCs w:val="22"/>
        </w:rPr>
      </w:pPr>
      <w:r>
        <w:rPr>
          <w:sz w:val="22"/>
          <w:szCs w:val="22"/>
        </w:rPr>
        <w:t xml:space="preserve">Jednou z priorít Strategického plánu rozvoja dopravnej infraštruktúry SR do roku 2020 je v rámci propagácie modernej a bezpečnej železničnej infraštruktúry zaistenie prevádzkyschopnosti a zvýšenie bezpečnosti a spoľahlivosti železničnej dopravy. Pri rozvoji a modernizácii komplexnej, interoperabilnej železničnej siete je limitujúcim faktorom, predovšetkým v súčasnosti nízka úroveň zabezpečovacieho zariadenia a nevyhovujúce koľajové obvody. </w:t>
      </w:r>
      <w:r w:rsidR="00935D56" w:rsidRPr="00935D56">
        <w:rPr>
          <w:sz w:val="22"/>
          <w:szCs w:val="22"/>
        </w:rPr>
        <w:t xml:space="preserve">Pri </w:t>
      </w:r>
      <w:r w:rsidR="00935D56">
        <w:rPr>
          <w:sz w:val="22"/>
          <w:szCs w:val="22"/>
        </w:rPr>
        <w:t>hlavných železničných koridoroch, resp. ucelených traťových úsekoch, na ktorých už prebehla modernizácia alebo sa súvislá modernizácia zo strednodobého hľadiska nepredpokladá, je vhodné</w:t>
      </w:r>
      <w:r w:rsidR="00404A68">
        <w:rPr>
          <w:sz w:val="22"/>
          <w:szCs w:val="22"/>
        </w:rPr>
        <w:t>, aby</w:t>
      </w:r>
      <w:r w:rsidR="00935D56">
        <w:rPr>
          <w:sz w:val="22"/>
          <w:szCs w:val="22"/>
        </w:rPr>
        <w:t xml:space="preserve"> okrem </w:t>
      </w:r>
      <w:r w:rsidR="00404A68">
        <w:rPr>
          <w:sz w:val="22"/>
          <w:szCs w:val="22"/>
        </w:rPr>
        <w:t>odstraňovania</w:t>
      </w:r>
      <w:r w:rsidR="00935D56">
        <w:rPr>
          <w:sz w:val="22"/>
          <w:szCs w:val="22"/>
        </w:rPr>
        <w:t xml:space="preserve"> úzkych a obmedzujúcich miest </w:t>
      </w:r>
      <w:r w:rsidR="00404A68">
        <w:rPr>
          <w:sz w:val="22"/>
          <w:szCs w:val="22"/>
        </w:rPr>
        <w:t>došlo k zabezpečeniu prvkov</w:t>
      </w:r>
      <w:r w:rsidR="00935D56">
        <w:rPr>
          <w:sz w:val="22"/>
          <w:szCs w:val="22"/>
        </w:rPr>
        <w:t xml:space="preserve"> interoperability z hľadiska možnosti prevádzky medzinárodných osobných a nákladných vlakov. </w:t>
      </w:r>
      <w:r>
        <w:rPr>
          <w:sz w:val="22"/>
          <w:szCs w:val="22"/>
        </w:rPr>
        <w:t xml:space="preserve">Ide o podporu zavádzania dopravných riadiacich systémov </w:t>
      </w:r>
      <w:r w:rsidR="00AD3F5B">
        <w:rPr>
          <w:sz w:val="22"/>
          <w:szCs w:val="22"/>
        </w:rPr>
        <w:t>a tel</w:t>
      </w:r>
      <w:r w:rsidR="00DB53FE">
        <w:rPr>
          <w:sz w:val="22"/>
          <w:szCs w:val="22"/>
        </w:rPr>
        <w:t>e</w:t>
      </w:r>
      <w:r w:rsidR="00AD3F5B">
        <w:rPr>
          <w:sz w:val="22"/>
          <w:szCs w:val="22"/>
        </w:rPr>
        <w:t xml:space="preserve">matických aplikácií </w:t>
      </w:r>
      <w:r>
        <w:rPr>
          <w:sz w:val="22"/>
          <w:szCs w:val="22"/>
        </w:rPr>
        <w:t>v súlade s príslušnými rozhodnutiami EÚ a národnými plánmi s cieľom zle</w:t>
      </w:r>
      <w:r w:rsidR="00966BCE">
        <w:rPr>
          <w:sz w:val="22"/>
          <w:szCs w:val="22"/>
        </w:rPr>
        <w:t>pšiť interoperabilitu železničných</w:t>
      </w:r>
      <w:r>
        <w:rPr>
          <w:sz w:val="22"/>
          <w:szCs w:val="22"/>
        </w:rPr>
        <w:t xml:space="preserve"> systémov.</w:t>
      </w:r>
    </w:p>
    <w:p w:rsidR="00ED6F6E" w:rsidRPr="00DA54A1" w:rsidRDefault="00ED6F6E" w:rsidP="00750184">
      <w:pPr>
        <w:spacing w:before="180"/>
        <w:jc w:val="both"/>
        <w:rPr>
          <w:sz w:val="22"/>
          <w:szCs w:val="22"/>
        </w:rPr>
      </w:pPr>
      <w:r w:rsidRPr="00DA54A1">
        <w:rPr>
          <w:sz w:val="22"/>
          <w:szCs w:val="22"/>
        </w:rPr>
        <w:t xml:space="preserve">K 31.12.2013 bolo </w:t>
      </w:r>
      <w:r w:rsidR="00DA54A1" w:rsidRPr="00DA54A1">
        <w:rPr>
          <w:sz w:val="22"/>
          <w:szCs w:val="22"/>
        </w:rPr>
        <w:t xml:space="preserve">na železničnej sieti SR </w:t>
      </w:r>
      <w:r w:rsidRPr="00DA54A1">
        <w:rPr>
          <w:sz w:val="22"/>
          <w:szCs w:val="22"/>
        </w:rPr>
        <w:t>systémom ERTMS vybavených cca 92 km</w:t>
      </w:r>
      <w:r w:rsidR="00966BCE">
        <w:rPr>
          <w:sz w:val="22"/>
          <w:szCs w:val="22"/>
        </w:rPr>
        <w:t xml:space="preserve"> tratí</w:t>
      </w:r>
      <w:r w:rsidR="008F7124">
        <w:rPr>
          <w:rStyle w:val="Odkaznapoznmkupodiarou"/>
          <w:sz w:val="22"/>
          <w:szCs w:val="22"/>
        </w:rPr>
        <w:footnoteReference w:id="7"/>
      </w:r>
      <w:r w:rsidR="00DA54A1" w:rsidRPr="00DA54A1">
        <w:rPr>
          <w:sz w:val="22"/>
          <w:szCs w:val="22"/>
        </w:rPr>
        <w:t xml:space="preserve">. To predstavuje 13,1 % celkovej dĺžky </w:t>
      </w:r>
      <w:r w:rsidR="00DA54A1">
        <w:rPr>
          <w:sz w:val="22"/>
          <w:szCs w:val="22"/>
        </w:rPr>
        <w:t xml:space="preserve">tratí zaradených do </w:t>
      </w:r>
      <w:r w:rsidR="00DA54A1" w:rsidRPr="00DA54A1">
        <w:rPr>
          <w:sz w:val="22"/>
          <w:szCs w:val="22"/>
        </w:rPr>
        <w:t xml:space="preserve">základnej siete TEN-T, resp. 6,5 % </w:t>
      </w:r>
      <w:r w:rsidR="00DA54A1">
        <w:rPr>
          <w:sz w:val="22"/>
          <w:szCs w:val="22"/>
        </w:rPr>
        <w:t xml:space="preserve">z celkovej </w:t>
      </w:r>
      <w:r w:rsidR="00DA54A1" w:rsidRPr="00DA54A1">
        <w:rPr>
          <w:sz w:val="22"/>
          <w:szCs w:val="22"/>
        </w:rPr>
        <w:t>dĺžky súhrnnej siete TEN-T.</w:t>
      </w:r>
      <w:r w:rsidR="00DA54A1" w:rsidRPr="00DA54A1">
        <w:rPr>
          <w:b/>
          <w:sz w:val="22"/>
          <w:szCs w:val="22"/>
        </w:rPr>
        <w:t xml:space="preserve"> </w:t>
      </w:r>
      <w:r w:rsidR="00DC54F5">
        <w:rPr>
          <w:b/>
          <w:sz w:val="22"/>
          <w:szCs w:val="22"/>
        </w:rPr>
        <w:t>Z </w:t>
      </w:r>
      <w:r w:rsidR="00DA54A1" w:rsidRPr="00ED6F6E">
        <w:rPr>
          <w:b/>
          <w:sz w:val="22"/>
          <w:szCs w:val="22"/>
        </w:rPr>
        <w:t>dôvodu</w:t>
      </w:r>
      <w:r w:rsidR="00DC54F5">
        <w:rPr>
          <w:b/>
          <w:sz w:val="22"/>
          <w:szCs w:val="22"/>
        </w:rPr>
        <w:t xml:space="preserve"> potreby zvýšenia interoperability tratí významných pre medzinárodnú dopravu</w:t>
      </w:r>
      <w:r w:rsidR="00DA54A1" w:rsidRPr="00ED6F6E">
        <w:rPr>
          <w:b/>
          <w:sz w:val="22"/>
          <w:szCs w:val="22"/>
        </w:rPr>
        <w:t xml:space="preserve"> budú aktivity špecifické</w:t>
      </w:r>
      <w:r w:rsidR="00966BCE">
        <w:rPr>
          <w:b/>
          <w:sz w:val="22"/>
          <w:szCs w:val="22"/>
        </w:rPr>
        <w:t>ho</w:t>
      </w:r>
      <w:r w:rsidR="00DA54A1" w:rsidRPr="00ED6F6E">
        <w:rPr>
          <w:b/>
          <w:sz w:val="22"/>
          <w:szCs w:val="22"/>
        </w:rPr>
        <w:t xml:space="preserve"> cieľa</w:t>
      </w:r>
      <w:r w:rsidR="00986FA0">
        <w:rPr>
          <w:b/>
          <w:sz w:val="22"/>
          <w:szCs w:val="22"/>
        </w:rPr>
        <w:t xml:space="preserve"> primárne</w:t>
      </w:r>
      <w:r w:rsidR="00DA54A1" w:rsidRPr="00ED6F6E">
        <w:rPr>
          <w:b/>
          <w:sz w:val="22"/>
          <w:szCs w:val="22"/>
        </w:rPr>
        <w:t xml:space="preserve"> </w:t>
      </w:r>
      <w:r w:rsidR="00DA54A1">
        <w:rPr>
          <w:b/>
          <w:sz w:val="22"/>
          <w:szCs w:val="22"/>
        </w:rPr>
        <w:t>zamerané na </w:t>
      </w:r>
      <w:r w:rsidR="00DA54A1" w:rsidRPr="00ED6F6E">
        <w:rPr>
          <w:b/>
          <w:sz w:val="22"/>
          <w:szCs w:val="22"/>
        </w:rPr>
        <w:t>zavedenie systému ERTMS, tzn. predovšetkým inštaláciu traťového zabezpečovacieho systému ETCS a oznamovacieho zariadenia GSM-R</w:t>
      </w:r>
      <w:r w:rsidR="00DA54A1">
        <w:rPr>
          <w:sz w:val="22"/>
          <w:szCs w:val="22"/>
        </w:rPr>
        <w:t>.</w:t>
      </w:r>
    </w:p>
    <w:p w:rsidR="00750184" w:rsidRPr="001B2070" w:rsidRDefault="00750184" w:rsidP="001B2070">
      <w:pPr>
        <w:spacing w:before="180" w:after="120"/>
        <w:rPr>
          <w:rFonts w:ascii="Arial Narrow" w:hAnsi="Arial Narrow"/>
          <w:b/>
          <w:i/>
          <w:color w:val="548DD4" w:themeColor="text2" w:themeTint="99"/>
          <w:sz w:val="22"/>
          <w:szCs w:val="22"/>
        </w:rPr>
      </w:pPr>
      <w:r w:rsidRPr="001B2070">
        <w:rPr>
          <w:rFonts w:ascii="Arial Narrow" w:hAnsi="Arial Narrow"/>
          <w:b/>
          <w:i/>
          <w:color w:val="548DD4" w:themeColor="text2" w:themeTint="99"/>
          <w:sz w:val="22"/>
          <w:szCs w:val="22"/>
        </w:rPr>
        <w:t>VÝSLEDKY</w:t>
      </w:r>
    </w:p>
    <w:p w:rsidR="00750184" w:rsidRDefault="00750184" w:rsidP="00FE6025">
      <w:pPr>
        <w:pStyle w:val="Odsekzoznamu"/>
        <w:numPr>
          <w:ilvl w:val="0"/>
          <w:numId w:val="51"/>
        </w:numPr>
        <w:autoSpaceDE w:val="0"/>
        <w:autoSpaceDN w:val="0"/>
        <w:adjustRightInd w:val="0"/>
        <w:ind w:hanging="436"/>
        <w:jc w:val="both"/>
        <w:rPr>
          <w:sz w:val="22"/>
          <w:szCs w:val="22"/>
        </w:rPr>
      </w:pPr>
      <w:r>
        <w:rPr>
          <w:sz w:val="22"/>
          <w:szCs w:val="22"/>
        </w:rPr>
        <w:t>splnenie záväzkov vyplývajúcich z </w:t>
      </w:r>
      <w:r w:rsidR="005F1EB5" w:rsidRPr="005F1EB5">
        <w:rPr>
          <w:sz w:val="22"/>
          <w:szCs w:val="22"/>
        </w:rPr>
        <w:t xml:space="preserve">Rozhodnutia Komisie č. </w:t>
      </w:r>
      <w:r w:rsidR="005F1EB5">
        <w:rPr>
          <w:sz w:val="22"/>
          <w:szCs w:val="22"/>
        </w:rPr>
        <w:t>2012/88/EÚ z 25. januára 2012 o </w:t>
      </w:r>
      <w:r w:rsidR="005F1EB5" w:rsidRPr="005F1EB5">
        <w:rPr>
          <w:sz w:val="22"/>
          <w:szCs w:val="22"/>
        </w:rPr>
        <w:t>technickej špecifikácii interoperability týkajúcej sa subsys</w:t>
      </w:r>
      <w:r w:rsidR="005F1EB5">
        <w:rPr>
          <w:sz w:val="22"/>
          <w:szCs w:val="22"/>
        </w:rPr>
        <w:t>témov riadenia - zabezpečenia a </w:t>
      </w:r>
      <w:r w:rsidR="005F1EB5" w:rsidRPr="005F1EB5">
        <w:rPr>
          <w:sz w:val="22"/>
          <w:szCs w:val="22"/>
        </w:rPr>
        <w:t>návestenia transeurópskeho železničného systému</w:t>
      </w:r>
      <w:r w:rsidR="008F7124">
        <w:rPr>
          <w:sz w:val="22"/>
          <w:szCs w:val="22"/>
        </w:rPr>
        <w:t>, n</w:t>
      </w:r>
      <w:r w:rsidR="00986FA0">
        <w:rPr>
          <w:sz w:val="22"/>
          <w:szCs w:val="22"/>
        </w:rPr>
        <w:t>ariadeni</w:t>
      </w:r>
      <w:r w:rsidR="008F7124">
        <w:rPr>
          <w:sz w:val="22"/>
          <w:szCs w:val="22"/>
        </w:rPr>
        <w:t xml:space="preserve">a Komisie č. 454/2011/EÚ z 5. mája </w:t>
      </w:r>
      <w:r w:rsidR="00986FA0">
        <w:rPr>
          <w:sz w:val="22"/>
          <w:szCs w:val="22"/>
        </w:rPr>
        <w:t xml:space="preserve">2011 </w:t>
      </w:r>
      <w:r w:rsidR="008F7124" w:rsidRPr="008F7124">
        <w:rPr>
          <w:sz w:val="22"/>
          <w:szCs w:val="22"/>
        </w:rPr>
        <w:t>o technickej špecifikácii interoperability týkajúcej sa subsystému „telematické aplikácie v osobnej doprave“ transeurópskeho železničného systému</w:t>
      </w:r>
      <w:r w:rsidR="008F7124">
        <w:rPr>
          <w:sz w:val="22"/>
          <w:szCs w:val="22"/>
        </w:rPr>
        <w:t xml:space="preserve"> </w:t>
      </w:r>
      <w:r w:rsidR="00986FA0">
        <w:rPr>
          <w:sz w:val="22"/>
          <w:szCs w:val="22"/>
        </w:rPr>
        <w:t>a</w:t>
      </w:r>
      <w:r w:rsidR="008F7124">
        <w:rPr>
          <w:sz w:val="22"/>
          <w:szCs w:val="22"/>
        </w:rPr>
        <w:t> nariadenia č. </w:t>
      </w:r>
      <w:r w:rsidR="00986FA0">
        <w:rPr>
          <w:sz w:val="22"/>
          <w:szCs w:val="22"/>
        </w:rPr>
        <w:t>62/2006/ES z 23.</w:t>
      </w:r>
      <w:r w:rsidR="008F7124">
        <w:rPr>
          <w:sz w:val="22"/>
          <w:szCs w:val="22"/>
        </w:rPr>
        <w:t xml:space="preserve"> decembra </w:t>
      </w:r>
      <w:r w:rsidR="00986FA0">
        <w:rPr>
          <w:sz w:val="22"/>
          <w:szCs w:val="22"/>
        </w:rPr>
        <w:t>2005 o technickej špecifikácii interoperability týkajúcej sa telematických aplikácií,</w:t>
      </w:r>
    </w:p>
    <w:p w:rsidR="00404A68" w:rsidRDefault="00404A68" w:rsidP="00FE6025">
      <w:pPr>
        <w:pStyle w:val="Odsekzoznamu"/>
        <w:numPr>
          <w:ilvl w:val="0"/>
          <w:numId w:val="51"/>
        </w:numPr>
        <w:autoSpaceDE w:val="0"/>
        <w:autoSpaceDN w:val="0"/>
        <w:adjustRightInd w:val="0"/>
        <w:ind w:hanging="436"/>
        <w:jc w:val="both"/>
        <w:rPr>
          <w:sz w:val="22"/>
          <w:szCs w:val="22"/>
        </w:rPr>
      </w:pPr>
      <w:r>
        <w:rPr>
          <w:sz w:val="22"/>
          <w:szCs w:val="22"/>
        </w:rPr>
        <w:t>zvýšenie bezpečnosti železničnej dopravy.</w:t>
      </w:r>
    </w:p>
    <w:p w:rsidR="00750184" w:rsidRDefault="00F631EB" w:rsidP="00750184">
      <w:pPr>
        <w:pStyle w:val="Tab"/>
      </w:pPr>
      <w:r>
        <w:t>Špecifické v</w:t>
      </w:r>
      <w:r w:rsidR="00750184" w:rsidRPr="004F0234">
        <w:t>ýsledkové ukazovatele zodpovedajúce špecifickému cieľu</w:t>
      </w:r>
      <w:r w:rsidR="00350B96">
        <w:t xml:space="preserve"> 1.2</w:t>
      </w:r>
    </w:p>
    <w:tbl>
      <w:tblPr>
        <w:tblStyle w:val="Mriekatabuky"/>
        <w:tblW w:w="9287" w:type="dxa"/>
        <w:jc w:val="center"/>
        <w:tblLayout w:type="fixed"/>
        <w:tblLook w:val="04A0"/>
      </w:tblPr>
      <w:tblGrid>
        <w:gridCol w:w="598"/>
        <w:gridCol w:w="1391"/>
        <w:gridCol w:w="897"/>
        <w:gridCol w:w="997"/>
        <w:gridCol w:w="1297"/>
        <w:gridCol w:w="1297"/>
        <w:gridCol w:w="865"/>
        <w:gridCol w:w="759"/>
        <w:gridCol w:w="1186"/>
      </w:tblGrid>
      <w:tr w:rsidR="00F631EB" w:rsidRPr="008C1732" w:rsidTr="00350B96">
        <w:trPr>
          <w:trHeight w:val="487"/>
          <w:jc w:val="center"/>
        </w:trPr>
        <w:tc>
          <w:tcPr>
            <w:tcW w:w="598" w:type="dxa"/>
            <w:tcBorders>
              <w:bottom w:val="single" w:sz="4" w:space="0" w:color="auto"/>
            </w:tcBorders>
            <w:shd w:val="clear" w:color="auto" w:fill="C6D9F1" w:themeFill="text2" w:themeFillTint="33"/>
            <w:vAlign w:val="center"/>
          </w:tcPr>
          <w:p w:rsidR="00F631EB" w:rsidRPr="008C1732" w:rsidRDefault="00854EA5" w:rsidP="006A2D5B">
            <w:pPr>
              <w:ind w:left="0"/>
              <w:jc w:val="center"/>
              <w:rPr>
                <w:b/>
                <w:sz w:val="18"/>
                <w:szCs w:val="18"/>
              </w:rPr>
            </w:pPr>
            <w:r>
              <w:rPr>
                <w:b/>
                <w:sz w:val="18"/>
                <w:szCs w:val="18"/>
              </w:rPr>
              <w:t>P. č.</w:t>
            </w:r>
          </w:p>
        </w:tc>
        <w:tc>
          <w:tcPr>
            <w:tcW w:w="1391" w:type="dxa"/>
            <w:tcBorders>
              <w:bottom w:val="single" w:sz="4" w:space="0" w:color="auto"/>
            </w:tcBorders>
            <w:shd w:val="clear" w:color="auto" w:fill="C6D9F1" w:themeFill="text2" w:themeFillTint="33"/>
            <w:vAlign w:val="center"/>
          </w:tcPr>
          <w:p w:rsidR="00F631EB" w:rsidRPr="008C1732" w:rsidRDefault="00F631EB" w:rsidP="006A2D5B">
            <w:pPr>
              <w:ind w:left="0"/>
              <w:jc w:val="center"/>
              <w:rPr>
                <w:b/>
                <w:sz w:val="18"/>
                <w:szCs w:val="18"/>
              </w:rPr>
            </w:pPr>
            <w:r w:rsidRPr="008C1732">
              <w:rPr>
                <w:b/>
                <w:sz w:val="18"/>
                <w:szCs w:val="18"/>
              </w:rPr>
              <w:t>Ukazovateľ</w:t>
            </w:r>
          </w:p>
        </w:tc>
        <w:tc>
          <w:tcPr>
            <w:tcW w:w="897" w:type="dxa"/>
            <w:tcBorders>
              <w:bottom w:val="single" w:sz="4" w:space="0" w:color="auto"/>
            </w:tcBorders>
            <w:shd w:val="clear" w:color="auto" w:fill="C6D9F1" w:themeFill="text2" w:themeFillTint="33"/>
            <w:vAlign w:val="center"/>
          </w:tcPr>
          <w:p w:rsidR="00F631EB" w:rsidRPr="008C1732" w:rsidRDefault="00F631EB" w:rsidP="006A2D5B">
            <w:pPr>
              <w:ind w:left="0"/>
              <w:jc w:val="center"/>
              <w:rPr>
                <w:b/>
                <w:sz w:val="18"/>
                <w:szCs w:val="18"/>
              </w:rPr>
            </w:pPr>
            <w:r w:rsidRPr="008C1732">
              <w:rPr>
                <w:b/>
                <w:sz w:val="18"/>
                <w:szCs w:val="18"/>
              </w:rPr>
              <w:t>Merná jednotka</w:t>
            </w:r>
          </w:p>
        </w:tc>
        <w:tc>
          <w:tcPr>
            <w:tcW w:w="997" w:type="dxa"/>
            <w:tcBorders>
              <w:bottom w:val="single" w:sz="4" w:space="0" w:color="auto"/>
            </w:tcBorders>
            <w:shd w:val="clear" w:color="auto" w:fill="C6D9F1" w:themeFill="text2" w:themeFillTint="33"/>
            <w:vAlign w:val="center"/>
          </w:tcPr>
          <w:p w:rsidR="00F631EB" w:rsidRPr="008C1732" w:rsidRDefault="00F631EB" w:rsidP="006A2D5B">
            <w:pPr>
              <w:ind w:left="0"/>
              <w:jc w:val="center"/>
              <w:rPr>
                <w:b/>
                <w:sz w:val="18"/>
                <w:szCs w:val="18"/>
              </w:rPr>
            </w:pPr>
            <w:r w:rsidRPr="008C1732">
              <w:rPr>
                <w:b/>
                <w:sz w:val="18"/>
                <w:szCs w:val="18"/>
              </w:rPr>
              <w:t>Kategória regiónu</w:t>
            </w:r>
          </w:p>
        </w:tc>
        <w:tc>
          <w:tcPr>
            <w:tcW w:w="1297" w:type="dxa"/>
            <w:tcBorders>
              <w:bottom w:val="single" w:sz="4" w:space="0" w:color="auto"/>
            </w:tcBorders>
            <w:shd w:val="clear" w:color="auto" w:fill="C6D9F1" w:themeFill="text2" w:themeFillTint="33"/>
            <w:vAlign w:val="center"/>
          </w:tcPr>
          <w:p w:rsidR="00F631EB" w:rsidRPr="008C1732" w:rsidRDefault="00F631EB" w:rsidP="006A2D5B">
            <w:pPr>
              <w:ind w:left="0"/>
              <w:jc w:val="center"/>
              <w:rPr>
                <w:b/>
                <w:sz w:val="18"/>
                <w:szCs w:val="18"/>
              </w:rPr>
            </w:pPr>
            <w:r>
              <w:rPr>
                <w:b/>
                <w:sz w:val="18"/>
                <w:szCs w:val="18"/>
              </w:rPr>
              <w:t>Východisková hodnota</w:t>
            </w:r>
          </w:p>
        </w:tc>
        <w:tc>
          <w:tcPr>
            <w:tcW w:w="1297" w:type="dxa"/>
            <w:tcBorders>
              <w:bottom w:val="single" w:sz="4" w:space="0" w:color="auto"/>
            </w:tcBorders>
            <w:shd w:val="clear" w:color="auto" w:fill="C6D9F1" w:themeFill="text2" w:themeFillTint="33"/>
            <w:vAlign w:val="center"/>
          </w:tcPr>
          <w:p w:rsidR="00F631EB" w:rsidRPr="008C1732" w:rsidRDefault="00F631EB" w:rsidP="006A2D5B">
            <w:pPr>
              <w:ind w:left="0"/>
              <w:jc w:val="center"/>
              <w:rPr>
                <w:b/>
                <w:sz w:val="18"/>
                <w:szCs w:val="18"/>
              </w:rPr>
            </w:pPr>
            <w:r>
              <w:rPr>
                <w:b/>
                <w:sz w:val="18"/>
                <w:szCs w:val="18"/>
              </w:rPr>
              <w:t>Východiskový rok</w:t>
            </w:r>
          </w:p>
        </w:tc>
        <w:tc>
          <w:tcPr>
            <w:tcW w:w="865" w:type="dxa"/>
            <w:tcBorders>
              <w:bottom w:val="single" w:sz="4" w:space="0" w:color="auto"/>
            </w:tcBorders>
            <w:shd w:val="clear" w:color="auto" w:fill="C6D9F1" w:themeFill="text2" w:themeFillTint="33"/>
            <w:vAlign w:val="center"/>
          </w:tcPr>
          <w:p w:rsidR="00F631EB" w:rsidRPr="008C1732" w:rsidRDefault="00F631EB" w:rsidP="006A2D5B">
            <w:pPr>
              <w:ind w:left="0"/>
              <w:jc w:val="center"/>
              <w:rPr>
                <w:b/>
                <w:sz w:val="18"/>
                <w:szCs w:val="18"/>
              </w:rPr>
            </w:pPr>
            <w:r w:rsidRPr="008C1732">
              <w:rPr>
                <w:b/>
                <w:sz w:val="18"/>
                <w:szCs w:val="18"/>
              </w:rPr>
              <w:t>Cieľová hodnota (2023)</w:t>
            </w:r>
          </w:p>
        </w:tc>
        <w:tc>
          <w:tcPr>
            <w:tcW w:w="759" w:type="dxa"/>
            <w:tcBorders>
              <w:bottom w:val="single" w:sz="4" w:space="0" w:color="auto"/>
            </w:tcBorders>
            <w:shd w:val="clear" w:color="auto" w:fill="C6D9F1" w:themeFill="text2" w:themeFillTint="33"/>
            <w:vAlign w:val="center"/>
          </w:tcPr>
          <w:p w:rsidR="00F631EB" w:rsidRPr="008C1732" w:rsidRDefault="00F631EB" w:rsidP="006A2D5B">
            <w:pPr>
              <w:ind w:left="0"/>
              <w:jc w:val="center"/>
              <w:rPr>
                <w:b/>
                <w:sz w:val="18"/>
                <w:szCs w:val="18"/>
              </w:rPr>
            </w:pPr>
            <w:r w:rsidRPr="008C1732">
              <w:rPr>
                <w:b/>
                <w:sz w:val="18"/>
                <w:szCs w:val="18"/>
              </w:rPr>
              <w:t>Zdroj údajov</w:t>
            </w:r>
          </w:p>
        </w:tc>
        <w:tc>
          <w:tcPr>
            <w:tcW w:w="1186" w:type="dxa"/>
            <w:tcBorders>
              <w:bottom w:val="single" w:sz="4" w:space="0" w:color="auto"/>
            </w:tcBorders>
            <w:shd w:val="clear" w:color="auto" w:fill="C6D9F1" w:themeFill="text2" w:themeFillTint="33"/>
            <w:vAlign w:val="center"/>
          </w:tcPr>
          <w:p w:rsidR="00F631EB" w:rsidRPr="008C1732" w:rsidRDefault="00F631EB" w:rsidP="006A2D5B">
            <w:pPr>
              <w:ind w:left="0"/>
              <w:jc w:val="center"/>
              <w:rPr>
                <w:b/>
                <w:sz w:val="18"/>
                <w:szCs w:val="18"/>
              </w:rPr>
            </w:pPr>
            <w:r w:rsidRPr="008C1732">
              <w:rPr>
                <w:b/>
                <w:sz w:val="18"/>
                <w:szCs w:val="18"/>
              </w:rPr>
              <w:t>Frekvencia vykazovania</w:t>
            </w:r>
          </w:p>
        </w:tc>
      </w:tr>
      <w:tr w:rsidR="00F631EB" w:rsidRPr="00AB18C1" w:rsidTr="00350B96">
        <w:trPr>
          <w:trHeight w:val="680"/>
          <w:jc w:val="center"/>
        </w:trPr>
        <w:tc>
          <w:tcPr>
            <w:tcW w:w="598" w:type="dxa"/>
            <w:shd w:val="clear" w:color="auto" w:fill="auto"/>
            <w:vAlign w:val="center"/>
          </w:tcPr>
          <w:p w:rsidR="00F631EB" w:rsidRPr="00336C1F" w:rsidRDefault="00854EA5" w:rsidP="006A2D5B">
            <w:pPr>
              <w:ind w:left="0"/>
              <w:jc w:val="center"/>
              <w:rPr>
                <w:sz w:val="20"/>
                <w:szCs w:val="20"/>
              </w:rPr>
            </w:pPr>
            <w:r>
              <w:rPr>
                <w:sz w:val="20"/>
                <w:szCs w:val="20"/>
              </w:rPr>
              <w:t>1.</w:t>
            </w:r>
          </w:p>
        </w:tc>
        <w:tc>
          <w:tcPr>
            <w:tcW w:w="1391" w:type="dxa"/>
            <w:shd w:val="clear" w:color="auto" w:fill="auto"/>
            <w:vAlign w:val="center"/>
          </w:tcPr>
          <w:p w:rsidR="00F631EB" w:rsidRPr="00AB18C1" w:rsidRDefault="00854EA5" w:rsidP="006A2D5B">
            <w:pPr>
              <w:ind w:left="0"/>
              <w:rPr>
                <w:sz w:val="20"/>
                <w:szCs w:val="20"/>
              </w:rPr>
            </w:pPr>
            <w:r w:rsidRPr="00854EA5">
              <w:rPr>
                <w:sz w:val="18"/>
                <w:szCs w:val="18"/>
              </w:rPr>
              <w:t>Úroveň interopera</w:t>
            </w:r>
            <w:r w:rsidR="00D21821">
              <w:rPr>
                <w:sz w:val="18"/>
                <w:szCs w:val="18"/>
              </w:rPr>
              <w:t>bility želez</w:t>
            </w:r>
            <w:r w:rsidRPr="00854EA5">
              <w:rPr>
                <w:sz w:val="18"/>
                <w:szCs w:val="18"/>
              </w:rPr>
              <w:t xml:space="preserve">ničnej infraštruktúry vyjadrená podielom siete TEN-T </w:t>
            </w:r>
            <w:r w:rsidR="00320259">
              <w:rPr>
                <w:sz w:val="18"/>
                <w:szCs w:val="18"/>
              </w:rPr>
              <w:t xml:space="preserve">CORE </w:t>
            </w:r>
            <w:r w:rsidRPr="00854EA5">
              <w:rPr>
                <w:sz w:val="18"/>
                <w:szCs w:val="18"/>
              </w:rPr>
              <w:t>s implementovaným systémom ERTMS</w:t>
            </w:r>
          </w:p>
        </w:tc>
        <w:tc>
          <w:tcPr>
            <w:tcW w:w="897" w:type="dxa"/>
            <w:shd w:val="clear" w:color="auto" w:fill="auto"/>
            <w:vAlign w:val="center"/>
          </w:tcPr>
          <w:p w:rsidR="00F631EB" w:rsidRPr="00DA54A1" w:rsidRDefault="00F631EB" w:rsidP="006A2D5B">
            <w:pPr>
              <w:ind w:left="0"/>
              <w:jc w:val="center"/>
              <w:rPr>
                <w:i/>
                <w:sz w:val="20"/>
                <w:szCs w:val="20"/>
              </w:rPr>
            </w:pPr>
            <w:r w:rsidRPr="00DA54A1">
              <w:rPr>
                <w:i/>
                <w:sz w:val="20"/>
                <w:szCs w:val="20"/>
              </w:rPr>
              <w:t>%</w:t>
            </w:r>
          </w:p>
        </w:tc>
        <w:tc>
          <w:tcPr>
            <w:tcW w:w="997" w:type="dxa"/>
            <w:shd w:val="clear" w:color="auto" w:fill="auto"/>
            <w:vAlign w:val="center"/>
          </w:tcPr>
          <w:p w:rsidR="00F631EB" w:rsidRPr="00DA54A1" w:rsidRDefault="00F631EB" w:rsidP="006A2D5B">
            <w:pPr>
              <w:ind w:left="0"/>
              <w:jc w:val="center"/>
              <w:rPr>
                <w:i/>
                <w:sz w:val="20"/>
                <w:szCs w:val="20"/>
              </w:rPr>
            </w:pPr>
            <w:r w:rsidRPr="00DA54A1">
              <w:rPr>
                <w:i/>
                <w:sz w:val="20"/>
                <w:szCs w:val="20"/>
              </w:rPr>
              <w:t>N/A</w:t>
            </w:r>
          </w:p>
        </w:tc>
        <w:tc>
          <w:tcPr>
            <w:tcW w:w="1297" w:type="dxa"/>
            <w:vAlign w:val="center"/>
          </w:tcPr>
          <w:p w:rsidR="00F631EB" w:rsidRPr="00DA54A1" w:rsidRDefault="00F631EB" w:rsidP="00DA54A1">
            <w:pPr>
              <w:ind w:left="0"/>
              <w:jc w:val="center"/>
              <w:rPr>
                <w:i/>
                <w:sz w:val="20"/>
                <w:szCs w:val="20"/>
              </w:rPr>
            </w:pPr>
          </w:p>
        </w:tc>
        <w:tc>
          <w:tcPr>
            <w:tcW w:w="1297" w:type="dxa"/>
            <w:vAlign w:val="center"/>
          </w:tcPr>
          <w:p w:rsidR="00F631EB" w:rsidRPr="00DA54A1" w:rsidRDefault="00F631EB" w:rsidP="00DA54A1">
            <w:pPr>
              <w:ind w:left="0"/>
              <w:jc w:val="center"/>
              <w:rPr>
                <w:i/>
                <w:sz w:val="20"/>
                <w:szCs w:val="20"/>
              </w:rPr>
            </w:pPr>
            <w:r w:rsidRPr="00DA54A1">
              <w:rPr>
                <w:i/>
                <w:sz w:val="20"/>
                <w:szCs w:val="20"/>
              </w:rPr>
              <w:t>2013</w:t>
            </w:r>
          </w:p>
        </w:tc>
        <w:tc>
          <w:tcPr>
            <w:tcW w:w="865" w:type="dxa"/>
            <w:shd w:val="clear" w:color="auto" w:fill="auto"/>
            <w:vAlign w:val="center"/>
          </w:tcPr>
          <w:p w:rsidR="00F631EB" w:rsidRPr="00DA54A1" w:rsidRDefault="00F631EB" w:rsidP="00DA54A1">
            <w:pPr>
              <w:ind w:left="0"/>
              <w:jc w:val="center"/>
              <w:rPr>
                <w:i/>
                <w:sz w:val="20"/>
                <w:szCs w:val="20"/>
              </w:rPr>
            </w:pPr>
          </w:p>
        </w:tc>
        <w:tc>
          <w:tcPr>
            <w:tcW w:w="759" w:type="dxa"/>
            <w:vAlign w:val="center"/>
          </w:tcPr>
          <w:p w:rsidR="00F631EB" w:rsidRPr="00DA54A1" w:rsidRDefault="00F631EB" w:rsidP="006A2D5B">
            <w:pPr>
              <w:ind w:left="0"/>
              <w:jc w:val="center"/>
              <w:rPr>
                <w:i/>
                <w:sz w:val="20"/>
                <w:szCs w:val="20"/>
              </w:rPr>
            </w:pPr>
            <w:r w:rsidRPr="00DA54A1">
              <w:rPr>
                <w:i/>
                <w:sz w:val="20"/>
                <w:szCs w:val="20"/>
              </w:rPr>
              <w:t>RO OPII</w:t>
            </w:r>
          </w:p>
        </w:tc>
        <w:tc>
          <w:tcPr>
            <w:tcW w:w="1186" w:type="dxa"/>
            <w:vAlign w:val="center"/>
          </w:tcPr>
          <w:p w:rsidR="00F631EB" w:rsidRPr="00DA54A1" w:rsidRDefault="00F631EB" w:rsidP="006A2D5B">
            <w:pPr>
              <w:ind w:left="0"/>
              <w:jc w:val="center"/>
              <w:rPr>
                <w:i/>
                <w:sz w:val="20"/>
                <w:szCs w:val="20"/>
              </w:rPr>
            </w:pPr>
            <w:r w:rsidRPr="00DA54A1">
              <w:rPr>
                <w:i/>
                <w:sz w:val="20"/>
                <w:szCs w:val="20"/>
              </w:rPr>
              <w:t>Ročne</w:t>
            </w:r>
          </w:p>
        </w:tc>
      </w:tr>
    </w:tbl>
    <w:p w:rsidR="00816B1A" w:rsidRPr="000C1600" w:rsidRDefault="00816B1A" w:rsidP="000C1600">
      <w:pPr>
        <w:rPr>
          <w:sz w:val="20"/>
          <w:szCs w:val="20"/>
        </w:rPr>
      </w:pPr>
      <w:r w:rsidRPr="000C1600">
        <w:rPr>
          <w:sz w:val="20"/>
          <w:szCs w:val="20"/>
          <w:u w:val="single"/>
        </w:rPr>
        <w:t>Pozn</w:t>
      </w:r>
      <w:r w:rsidRPr="000C1600">
        <w:rPr>
          <w:sz w:val="20"/>
          <w:szCs w:val="20"/>
        </w:rPr>
        <w:t xml:space="preserve">.: Hodnoty ukazovateľov budú doplnené v ďalšom štádiu prípravy dokumentu. </w:t>
      </w:r>
    </w:p>
    <w:p w:rsidR="00816B1A" w:rsidRPr="00816B1A" w:rsidRDefault="00816B1A" w:rsidP="008F243C">
      <w:pPr>
        <w:shd w:val="clear" w:color="auto" w:fill="FFFFCC"/>
        <w:spacing w:before="240"/>
        <w:jc w:val="both"/>
        <w:rPr>
          <w:b/>
          <w:i/>
        </w:rPr>
      </w:pPr>
      <w:r>
        <w:rPr>
          <w:i/>
        </w:rPr>
        <w:t>ŠPECIFICKÝ CIEĽ 1.3</w:t>
      </w:r>
      <w:r w:rsidRPr="004F0234">
        <w:rPr>
          <w:i/>
        </w:rPr>
        <w:t xml:space="preserve">: </w:t>
      </w:r>
      <w:r w:rsidR="00CB59EA" w:rsidRPr="00CB59EA">
        <w:rPr>
          <w:b/>
          <w:i/>
        </w:rPr>
        <w:t xml:space="preserve">Zlepšenie kvality služieb železničnej verejnej osobnej dopravy prostredníctvom </w:t>
      </w:r>
      <w:r w:rsidR="00CB59EA">
        <w:rPr>
          <w:b/>
          <w:i/>
        </w:rPr>
        <w:t>obnovy</w:t>
      </w:r>
      <w:r w:rsidRPr="004F0234">
        <w:rPr>
          <w:b/>
          <w:i/>
        </w:rPr>
        <w:t xml:space="preserve"> mobilných prostriedkov </w:t>
      </w:r>
    </w:p>
    <w:p w:rsidR="00B95FD1" w:rsidRPr="00B95FD1" w:rsidRDefault="00B95FD1" w:rsidP="00B95FD1">
      <w:pPr>
        <w:spacing w:before="180"/>
        <w:jc w:val="both"/>
        <w:rPr>
          <w:sz w:val="22"/>
          <w:szCs w:val="22"/>
        </w:rPr>
      </w:pPr>
      <w:r w:rsidRPr="00B95FD1">
        <w:rPr>
          <w:sz w:val="22"/>
          <w:szCs w:val="22"/>
        </w:rPr>
        <w:t xml:space="preserve">Špecifický cieľ synergicky dopĺňa ciele stanovené pre oblasť infraštruktúry. Synergickým pôsobením výsledkov infraštruktúrnych a prevádzkových opatrení je možná multiplikácia pozitívnych efektov a zvýšenie atraktívnosti železničnej dopravy. Na základe údajov o deľbe prepravnej práce z roku 2012, </w:t>
      </w:r>
      <w:r w:rsidRPr="00B95FD1">
        <w:rPr>
          <w:sz w:val="22"/>
          <w:szCs w:val="22"/>
        </w:rPr>
        <w:lastRenderedPageBreak/>
        <w:t>predstavuje podi</w:t>
      </w:r>
      <w:r w:rsidR="00966BCE">
        <w:rPr>
          <w:sz w:val="22"/>
          <w:szCs w:val="22"/>
        </w:rPr>
        <w:t>el železničnej nákladnej dopravy</w:t>
      </w:r>
      <w:r w:rsidRPr="00B95FD1">
        <w:rPr>
          <w:sz w:val="22"/>
          <w:szCs w:val="22"/>
        </w:rPr>
        <w:t xml:space="preserve"> na celkových prepravných výkonoch 19,9 % prepravných výkonov pozemnej dopravy. V prípade osobnej dopravy je tento podiel iba 7 %</w:t>
      </w:r>
      <w:r w:rsidR="008F7124">
        <w:rPr>
          <w:rStyle w:val="Odkaznapoznmkupodiarou"/>
          <w:sz w:val="22"/>
          <w:szCs w:val="22"/>
        </w:rPr>
        <w:footnoteReference w:id="8"/>
      </w:r>
      <w:r w:rsidRPr="00B95FD1">
        <w:rPr>
          <w:sz w:val="22"/>
          <w:szCs w:val="22"/>
        </w:rPr>
        <w:t>.</w:t>
      </w:r>
    </w:p>
    <w:p w:rsidR="003676B4" w:rsidRPr="00B907D0" w:rsidRDefault="003676B4" w:rsidP="003676B4">
      <w:pPr>
        <w:spacing w:before="180"/>
        <w:jc w:val="both"/>
        <w:rPr>
          <w:sz w:val="22"/>
          <w:szCs w:val="22"/>
        </w:rPr>
      </w:pPr>
      <w:r w:rsidRPr="00B907D0">
        <w:rPr>
          <w:sz w:val="22"/>
          <w:szCs w:val="22"/>
        </w:rPr>
        <w:t xml:space="preserve">Dôležitou súčasťou pri vytváraní komplexného, kvalitného a interoperabilného železničného systému je aj obnova vozového parku železničnej verejnej osobnej dopravy. Obnovou </w:t>
      </w:r>
      <w:r>
        <w:rPr>
          <w:sz w:val="22"/>
          <w:szCs w:val="22"/>
        </w:rPr>
        <w:t xml:space="preserve">(nákupom nových) </w:t>
      </w:r>
      <w:r w:rsidRPr="00B907D0">
        <w:rPr>
          <w:sz w:val="22"/>
          <w:szCs w:val="22"/>
        </w:rPr>
        <w:t>mobilných prostriedkov železničnej verejnej osobnej dopravy dôjde k zvýšeniu komfortu a kvality železničnej dopravy z pohľadu koncového užívateľa. Zvýši sa atraktivita a dopyt po železničnej doprave v</w:t>
      </w:r>
      <w:r>
        <w:rPr>
          <w:sz w:val="22"/>
          <w:szCs w:val="22"/>
        </w:rPr>
        <w:t> </w:t>
      </w:r>
      <w:r w:rsidRPr="00B907D0">
        <w:rPr>
          <w:sz w:val="22"/>
          <w:szCs w:val="22"/>
        </w:rPr>
        <w:t>regiónoch</w:t>
      </w:r>
      <w:r>
        <w:rPr>
          <w:sz w:val="22"/>
          <w:szCs w:val="22"/>
        </w:rPr>
        <w:t xml:space="preserve"> sprevádzaný presunom dopravných výkonov na ekologicky prijateľnejší</w:t>
      </w:r>
      <w:r w:rsidRPr="00B907D0">
        <w:rPr>
          <w:sz w:val="22"/>
          <w:szCs w:val="22"/>
        </w:rPr>
        <w:t xml:space="preserve"> </w:t>
      </w:r>
      <w:r w:rsidR="00C3107B">
        <w:rPr>
          <w:sz w:val="22"/>
          <w:szCs w:val="22"/>
        </w:rPr>
        <w:t>dopravný mód.</w:t>
      </w:r>
    </w:p>
    <w:p w:rsidR="003676B4" w:rsidRDefault="003676B4" w:rsidP="003676B4">
      <w:pPr>
        <w:spacing w:before="180"/>
        <w:jc w:val="both"/>
        <w:rPr>
          <w:sz w:val="22"/>
          <w:szCs w:val="22"/>
        </w:rPr>
      </w:pPr>
      <w:r w:rsidRPr="00B907D0">
        <w:rPr>
          <w:sz w:val="22"/>
          <w:szCs w:val="22"/>
        </w:rPr>
        <w:t>Dosiahnutie kvalitn</w:t>
      </w:r>
      <w:r w:rsidR="00DC54F5">
        <w:rPr>
          <w:sz w:val="22"/>
          <w:szCs w:val="22"/>
        </w:rPr>
        <w:t>ej a konkurencieschopnej</w:t>
      </w:r>
      <w:r w:rsidRPr="00B907D0">
        <w:rPr>
          <w:sz w:val="22"/>
          <w:szCs w:val="22"/>
        </w:rPr>
        <w:t xml:space="preserve"> železničnej</w:t>
      </w:r>
      <w:r w:rsidR="00DC54F5">
        <w:rPr>
          <w:sz w:val="22"/>
          <w:szCs w:val="22"/>
        </w:rPr>
        <w:t xml:space="preserve"> osobnej</w:t>
      </w:r>
      <w:r w:rsidRPr="00B907D0">
        <w:rPr>
          <w:sz w:val="22"/>
          <w:szCs w:val="22"/>
        </w:rPr>
        <w:t xml:space="preserve"> dopravy ako strategického cieľa </w:t>
      </w:r>
      <w:r>
        <w:rPr>
          <w:sz w:val="22"/>
          <w:szCs w:val="22"/>
        </w:rPr>
        <w:t xml:space="preserve">železničnej dopravy definovaného </w:t>
      </w:r>
      <w:r w:rsidRPr="00B907D0">
        <w:rPr>
          <w:sz w:val="22"/>
          <w:szCs w:val="22"/>
        </w:rPr>
        <w:t>v</w:t>
      </w:r>
      <w:r w:rsidR="00A32FFD">
        <w:rPr>
          <w:sz w:val="22"/>
          <w:szCs w:val="22"/>
        </w:rPr>
        <w:t> </w:t>
      </w:r>
      <w:r w:rsidRPr="00B907D0">
        <w:rPr>
          <w:sz w:val="22"/>
          <w:szCs w:val="22"/>
        </w:rPr>
        <w:t>Strategick</w:t>
      </w:r>
      <w:r w:rsidR="00A32FFD">
        <w:rPr>
          <w:sz w:val="22"/>
          <w:szCs w:val="22"/>
        </w:rPr>
        <w:t>om pláne</w:t>
      </w:r>
      <w:r w:rsidRPr="00B907D0">
        <w:rPr>
          <w:sz w:val="22"/>
          <w:szCs w:val="22"/>
        </w:rPr>
        <w:t xml:space="preserve"> je podmienené vytvorením dostatočne kvalitného a atrak</w:t>
      </w:r>
      <w:r w:rsidR="00DC54F5">
        <w:rPr>
          <w:sz w:val="22"/>
          <w:szCs w:val="22"/>
        </w:rPr>
        <w:t>tívneho systému</w:t>
      </w:r>
      <w:r w:rsidRPr="00B907D0">
        <w:rPr>
          <w:sz w:val="22"/>
          <w:szCs w:val="22"/>
        </w:rPr>
        <w:t xml:space="preserve"> železničnej</w:t>
      </w:r>
      <w:r w:rsidR="00DC54F5">
        <w:rPr>
          <w:sz w:val="22"/>
          <w:szCs w:val="22"/>
        </w:rPr>
        <w:t xml:space="preserve"> osobnej</w:t>
      </w:r>
      <w:r w:rsidRPr="00B907D0">
        <w:rPr>
          <w:sz w:val="22"/>
          <w:szCs w:val="22"/>
        </w:rPr>
        <w:t xml:space="preserve"> dopravy. Jednou z priorít uvede</w:t>
      </w:r>
      <w:r w:rsidR="00A32FFD">
        <w:rPr>
          <w:sz w:val="22"/>
          <w:szCs w:val="22"/>
        </w:rPr>
        <w:t>ného cieľa je </w:t>
      </w:r>
      <w:r w:rsidRPr="00B907D0">
        <w:rPr>
          <w:sz w:val="22"/>
          <w:szCs w:val="22"/>
        </w:rPr>
        <w:t>zabezpečenie komfortnej osobnej dopravy, v rámci ktorej sa bude klásť dôraz najmä na zásadné zlepšenie parametrov os</w:t>
      </w:r>
      <w:r>
        <w:rPr>
          <w:sz w:val="22"/>
          <w:szCs w:val="22"/>
        </w:rPr>
        <w:t>obnej dopravy, ktoré významne zlepšia vnímanie železničnej dopravy</w:t>
      </w:r>
      <w:r w:rsidR="00A32FFD">
        <w:rPr>
          <w:sz w:val="22"/>
          <w:szCs w:val="22"/>
        </w:rPr>
        <w:t xml:space="preserve"> zo </w:t>
      </w:r>
      <w:r w:rsidRPr="00B907D0">
        <w:rPr>
          <w:sz w:val="22"/>
          <w:szCs w:val="22"/>
        </w:rPr>
        <w:t xml:space="preserve">strany cestujúcich. </w:t>
      </w:r>
      <w:r>
        <w:rPr>
          <w:sz w:val="22"/>
          <w:szCs w:val="22"/>
        </w:rPr>
        <w:t>Nové moderné mobilné prostriedky železničnej verejnej osobnej dopravy s menšou energetickou náročnosťou prevádzky, nižšou emisno</w:t>
      </w:r>
      <w:r w:rsidR="00A32FFD">
        <w:rPr>
          <w:sz w:val="22"/>
          <w:szCs w:val="22"/>
        </w:rPr>
        <w:t>u a hlukovou záťažou prispejú k </w:t>
      </w:r>
      <w:r>
        <w:rPr>
          <w:sz w:val="22"/>
          <w:szCs w:val="22"/>
        </w:rPr>
        <w:t>budovaniu ekologickej a udržateľnej dopravy.</w:t>
      </w:r>
    </w:p>
    <w:p w:rsidR="00B95FD1" w:rsidRPr="00B95FD1" w:rsidRDefault="00B95FD1" w:rsidP="00B95FD1">
      <w:pPr>
        <w:spacing w:before="180"/>
        <w:jc w:val="both"/>
        <w:rPr>
          <w:sz w:val="22"/>
          <w:szCs w:val="22"/>
        </w:rPr>
      </w:pPr>
      <w:r w:rsidRPr="00B95FD1">
        <w:rPr>
          <w:b/>
          <w:sz w:val="22"/>
          <w:szCs w:val="22"/>
        </w:rPr>
        <w:t>V roku 2012 približne 97 % výkonov vo verejnom záujme v oblasti železničnej osobnej dopravy vykonávala Železničná spoločnosť Slovensko</w:t>
      </w:r>
      <w:r w:rsidRPr="00B95FD1">
        <w:rPr>
          <w:sz w:val="22"/>
          <w:szCs w:val="22"/>
        </w:rPr>
        <w:t xml:space="preserve">, a. s., so 100 % </w:t>
      </w:r>
      <w:r w:rsidR="00966BCE">
        <w:rPr>
          <w:sz w:val="22"/>
          <w:szCs w:val="22"/>
        </w:rPr>
        <w:t xml:space="preserve">majetkovou </w:t>
      </w:r>
      <w:r w:rsidR="0095191D">
        <w:rPr>
          <w:sz w:val="22"/>
          <w:szCs w:val="22"/>
        </w:rPr>
        <w:t>účasťou štátu. Zvyšné 3 </w:t>
      </w:r>
      <w:r w:rsidRPr="00B95FD1">
        <w:rPr>
          <w:sz w:val="22"/>
          <w:szCs w:val="22"/>
        </w:rPr>
        <w:t>% výkonov vykonával privátny dopravca</w:t>
      </w:r>
      <w:r w:rsidR="008F7124">
        <w:rPr>
          <w:rStyle w:val="Odkaznapoznmkupodiarou"/>
          <w:sz w:val="22"/>
          <w:szCs w:val="22"/>
        </w:rPr>
        <w:footnoteReference w:id="9"/>
      </w:r>
      <w:r w:rsidRPr="00B95FD1">
        <w:rPr>
          <w:sz w:val="22"/>
          <w:szCs w:val="22"/>
        </w:rPr>
        <w:t>. Obidvaja dopravcovia majú uzatvorené zmluvy o doprave vo verejnom záujme so štátom do konca roku 2019.</w:t>
      </w:r>
    </w:p>
    <w:p w:rsidR="00B95FD1" w:rsidRPr="00B95FD1" w:rsidRDefault="00B95FD1" w:rsidP="00B95FD1">
      <w:pPr>
        <w:spacing w:before="180"/>
        <w:jc w:val="both"/>
        <w:rPr>
          <w:sz w:val="22"/>
          <w:szCs w:val="22"/>
        </w:rPr>
      </w:pPr>
      <w:r w:rsidRPr="00B95FD1">
        <w:rPr>
          <w:sz w:val="22"/>
          <w:szCs w:val="22"/>
        </w:rPr>
        <w:t>Na základe skúseností z predchádzajúceho obdobia, v rámci ktorého boli naštartované procesy obnovy mobilných prostriedkov</w:t>
      </w:r>
      <w:r w:rsidR="00966BCE">
        <w:rPr>
          <w:sz w:val="22"/>
          <w:szCs w:val="22"/>
        </w:rPr>
        <w:t xml:space="preserve"> železničnej osobnej dopravy</w:t>
      </w:r>
      <w:r w:rsidRPr="00B95FD1">
        <w:rPr>
          <w:sz w:val="22"/>
          <w:szCs w:val="22"/>
        </w:rPr>
        <w:t>, je možné tieto projekty označiť ako príklady dobrej praxe. Z pohľadu štátu ako ob</w:t>
      </w:r>
      <w:r w:rsidR="00966BCE">
        <w:rPr>
          <w:sz w:val="22"/>
          <w:szCs w:val="22"/>
        </w:rPr>
        <w:t>jednávateľa výkonov vo verejnom záujme</w:t>
      </w:r>
      <w:r w:rsidRPr="00B95FD1">
        <w:rPr>
          <w:sz w:val="22"/>
          <w:szCs w:val="22"/>
        </w:rPr>
        <w:t>,</w:t>
      </w:r>
      <w:r w:rsidR="00DC54F5">
        <w:rPr>
          <w:sz w:val="22"/>
          <w:szCs w:val="22"/>
        </w:rPr>
        <w:t xml:space="preserve"> a</w:t>
      </w:r>
      <w:r w:rsidRPr="00B95FD1">
        <w:rPr>
          <w:sz w:val="22"/>
          <w:szCs w:val="22"/>
        </w:rPr>
        <w:t xml:space="preserve"> takisto aj dopravcu, projekty významne prispeli k zvýšeniu kvality v tomto segmente. Zároveň cestujúca verejnosť prijala obnovu prostriedkov vysoko pozitívne.</w:t>
      </w:r>
      <w:r w:rsidRPr="00B95FD1">
        <w:rPr>
          <w:rStyle w:val="Odkaznapoznmkupodiarou"/>
          <w:sz w:val="22"/>
          <w:szCs w:val="22"/>
        </w:rPr>
        <w:footnoteReference w:id="10"/>
      </w:r>
      <w:r w:rsidRPr="00B95FD1">
        <w:rPr>
          <w:sz w:val="22"/>
          <w:szCs w:val="22"/>
        </w:rPr>
        <w:t xml:space="preserve"> Vozidlá sú prevádzkované na tratiach slúžiacich každodenným potrebám, a </w:t>
      </w:r>
      <w:r w:rsidR="00966BCE">
        <w:rPr>
          <w:sz w:val="22"/>
          <w:szCs w:val="22"/>
        </w:rPr>
        <w:t>to obyvateľom ktorí dochádzajú</w:t>
      </w:r>
      <w:r w:rsidRPr="00B95FD1">
        <w:rPr>
          <w:sz w:val="22"/>
          <w:szCs w:val="22"/>
        </w:rPr>
        <w:t xml:space="preserve"> z regionálnych alebo prímestských</w:t>
      </w:r>
      <w:r w:rsidR="00966BCE">
        <w:rPr>
          <w:sz w:val="22"/>
          <w:szCs w:val="22"/>
        </w:rPr>
        <w:t xml:space="preserve"> oblastí do centier hospodárskych a sociálnych činností</w:t>
      </w:r>
      <w:r w:rsidRPr="00B95FD1">
        <w:rPr>
          <w:sz w:val="22"/>
          <w:szCs w:val="22"/>
        </w:rPr>
        <w:t xml:space="preserve"> z dôvodu práce, vzdelávania,</w:t>
      </w:r>
      <w:r w:rsidR="00DC54F5">
        <w:rPr>
          <w:sz w:val="22"/>
          <w:szCs w:val="22"/>
        </w:rPr>
        <w:t xml:space="preserve"> či</w:t>
      </w:r>
      <w:r w:rsidRPr="00B95FD1">
        <w:rPr>
          <w:sz w:val="22"/>
          <w:szCs w:val="22"/>
        </w:rPr>
        <w:t xml:space="preserve"> návštevy </w:t>
      </w:r>
      <w:r w:rsidR="00724E8C">
        <w:rPr>
          <w:sz w:val="22"/>
          <w:szCs w:val="22"/>
        </w:rPr>
        <w:t xml:space="preserve">zdravotných, </w:t>
      </w:r>
      <w:r w:rsidRPr="00B95FD1">
        <w:rPr>
          <w:sz w:val="22"/>
          <w:szCs w:val="22"/>
        </w:rPr>
        <w:t>sociálnych, kultúrnych alebo športových zariadení.</w:t>
      </w:r>
    </w:p>
    <w:p w:rsidR="00B95FD1" w:rsidRPr="00986FA0" w:rsidRDefault="00B95FD1" w:rsidP="00B95FD1">
      <w:pPr>
        <w:spacing w:before="180"/>
        <w:jc w:val="both"/>
        <w:rPr>
          <w:sz w:val="22"/>
          <w:szCs w:val="22"/>
        </w:rPr>
      </w:pPr>
      <w:r w:rsidRPr="00B95FD1">
        <w:rPr>
          <w:b/>
          <w:sz w:val="22"/>
          <w:szCs w:val="22"/>
        </w:rPr>
        <w:t>V prípade, ak železničná osobná doprava ponúkne prepravu v porovnateľnej kvalite ako iné druhy dopravy a vo frekvencii, ktorá zodpovedá prepravnému dopytu</w:t>
      </w:r>
      <w:r w:rsidR="00966BCE">
        <w:rPr>
          <w:b/>
          <w:sz w:val="22"/>
          <w:szCs w:val="22"/>
        </w:rPr>
        <w:t xml:space="preserve"> zo strany cestujúcej verejnosti</w:t>
      </w:r>
      <w:r w:rsidRPr="00B95FD1">
        <w:rPr>
          <w:b/>
          <w:sz w:val="22"/>
          <w:szCs w:val="22"/>
        </w:rPr>
        <w:t xml:space="preserve">, môže byť snaha o integráciu verejnej osobnej dopravy úspešná. </w:t>
      </w:r>
      <w:r w:rsidR="00986FA0" w:rsidRPr="00986FA0">
        <w:rPr>
          <w:sz w:val="22"/>
          <w:szCs w:val="22"/>
        </w:rPr>
        <w:t xml:space="preserve">Strategický plán identifikoval prínos potenciálnej integrácie a postupnej harmonizácie </w:t>
      </w:r>
      <w:r w:rsidRPr="00986FA0">
        <w:rPr>
          <w:sz w:val="22"/>
          <w:szCs w:val="22"/>
        </w:rPr>
        <w:t>prepravy odstránen</w:t>
      </w:r>
      <w:r w:rsidR="00986FA0">
        <w:rPr>
          <w:sz w:val="22"/>
          <w:szCs w:val="22"/>
        </w:rPr>
        <w:t>ím</w:t>
      </w:r>
      <w:r w:rsidRPr="00986FA0">
        <w:rPr>
          <w:sz w:val="22"/>
          <w:szCs w:val="22"/>
        </w:rPr>
        <w:t xml:space="preserve"> paralelných spojov v železničnej, resp. autobusovej doprave, </w:t>
      </w:r>
      <w:r w:rsidR="00966BCE" w:rsidRPr="00986FA0">
        <w:rPr>
          <w:sz w:val="22"/>
          <w:szCs w:val="22"/>
        </w:rPr>
        <w:t>ktoré spôsobujú neefektívne vynakladanie verejných zdrojov.</w:t>
      </w:r>
    </w:p>
    <w:p w:rsidR="00B95FD1" w:rsidRPr="00B95FD1" w:rsidRDefault="00B95FD1" w:rsidP="00B95FD1">
      <w:pPr>
        <w:spacing w:before="180"/>
        <w:jc w:val="both"/>
        <w:rPr>
          <w:sz w:val="22"/>
          <w:szCs w:val="22"/>
        </w:rPr>
      </w:pPr>
      <w:r w:rsidRPr="00B95FD1">
        <w:rPr>
          <w:sz w:val="22"/>
          <w:szCs w:val="22"/>
        </w:rPr>
        <w:t>Opatrenia týkajúce sa služieb vo verejnom záujme budú implementované v súlade s požiadavkami nariadenia EP a Rady (ES) č. 1370 z 23. októbra 2007 o službách vo verejnom záujme v železničnej a cestnej osobnej doprave, ktorým sa zrušujú nariadenia Rady (EHS) č. 1191/69 a (EHS) č. 1107/70.</w:t>
      </w:r>
    </w:p>
    <w:p w:rsidR="005917D8" w:rsidRPr="001B2070" w:rsidRDefault="00AB65B2" w:rsidP="001B2070">
      <w:pPr>
        <w:spacing w:before="180" w:after="120"/>
        <w:rPr>
          <w:rFonts w:ascii="Arial Narrow" w:hAnsi="Arial Narrow"/>
          <w:b/>
          <w:i/>
          <w:color w:val="548DD4" w:themeColor="text2" w:themeTint="99"/>
          <w:sz w:val="22"/>
          <w:szCs w:val="22"/>
        </w:rPr>
      </w:pPr>
      <w:r w:rsidRPr="001B2070">
        <w:rPr>
          <w:rFonts w:ascii="Arial Narrow" w:hAnsi="Arial Narrow"/>
          <w:b/>
          <w:i/>
          <w:color w:val="548DD4" w:themeColor="text2" w:themeTint="99"/>
          <w:sz w:val="22"/>
          <w:szCs w:val="22"/>
        </w:rPr>
        <w:t>VÝSLEDKY</w:t>
      </w:r>
    </w:p>
    <w:p w:rsidR="00AB65B2" w:rsidRDefault="00986FA0" w:rsidP="00FE6025">
      <w:pPr>
        <w:pStyle w:val="Odsekzoznamu"/>
        <w:numPr>
          <w:ilvl w:val="0"/>
          <w:numId w:val="45"/>
        </w:numPr>
        <w:autoSpaceDE w:val="0"/>
        <w:autoSpaceDN w:val="0"/>
        <w:adjustRightInd w:val="0"/>
        <w:ind w:left="851" w:hanging="425"/>
        <w:jc w:val="both"/>
        <w:rPr>
          <w:sz w:val="22"/>
          <w:szCs w:val="22"/>
        </w:rPr>
      </w:pPr>
      <w:r>
        <w:rPr>
          <w:sz w:val="22"/>
          <w:szCs w:val="22"/>
        </w:rPr>
        <w:t xml:space="preserve">zvýšenie atraktivity verejnej osobnej dopravy prostredníctvom obstarania </w:t>
      </w:r>
      <w:r w:rsidR="00EE6E95">
        <w:rPr>
          <w:sz w:val="22"/>
          <w:szCs w:val="22"/>
        </w:rPr>
        <w:t xml:space="preserve">nových </w:t>
      </w:r>
      <w:r w:rsidR="00AB65B2" w:rsidRPr="00186DB7">
        <w:rPr>
          <w:sz w:val="22"/>
          <w:szCs w:val="22"/>
        </w:rPr>
        <w:t>prostriedkov zabezpečujúcich verejnú železničnú osobnú dopravu</w:t>
      </w:r>
      <w:r w:rsidR="00186DB7">
        <w:rPr>
          <w:sz w:val="22"/>
          <w:szCs w:val="22"/>
        </w:rPr>
        <w:t>,</w:t>
      </w:r>
    </w:p>
    <w:p w:rsidR="005665D4" w:rsidRDefault="005665D4" w:rsidP="00FE6025">
      <w:pPr>
        <w:pStyle w:val="Odsekzoznamu"/>
        <w:numPr>
          <w:ilvl w:val="0"/>
          <w:numId w:val="45"/>
        </w:numPr>
        <w:autoSpaceDE w:val="0"/>
        <w:autoSpaceDN w:val="0"/>
        <w:adjustRightInd w:val="0"/>
        <w:ind w:left="851" w:hanging="425"/>
        <w:jc w:val="both"/>
        <w:rPr>
          <w:sz w:val="22"/>
          <w:szCs w:val="22"/>
        </w:rPr>
      </w:pPr>
      <w:r>
        <w:rPr>
          <w:sz w:val="22"/>
          <w:szCs w:val="22"/>
        </w:rPr>
        <w:t>podpora stabilizácie služieb poskytovaných vo verejnom záujme,</w:t>
      </w:r>
    </w:p>
    <w:p w:rsidR="00F631EB" w:rsidRDefault="00EE6E95" w:rsidP="00FE6025">
      <w:pPr>
        <w:pStyle w:val="Odsekzoznamu"/>
        <w:numPr>
          <w:ilvl w:val="0"/>
          <w:numId w:val="45"/>
        </w:numPr>
        <w:autoSpaceDE w:val="0"/>
        <w:autoSpaceDN w:val="0"/>
        <w:adjustRightInd w:val="0"/>
        <w:ind w:left="851" w:hanging="425"/>
        <w:jc w:val="both"/>
        <w:rPr>
          <w:sz w:val="22"/>
          <w:szCs w:val="22"/>
        </w:rPr>
      </w:pPr>
      <w:r>
        <w:rPr>
          <w:sz w:val="22"/>
          <w:szCs w:val="22"/>
        </w:rPr>
        <w:t xml:space="preserve">zníženie hlukovej a emisnej záťaže vyplývajúcej z prevádzky železničnej </w:t>
      </w:r>
      <w:r w:rsidR="00404A68">
        <w:rPr>
          <w:sz w:val="22"/>
          <w:szCs w:val="22"/>
        </w:rPr>
        <w:t xml:space="preserve">verejnej osobnej </w:t>
      </w:r>
      <w:r>
        <w:rPr>
          <w:sz w:val="22"/>
          <w:szCs w:val="22"/>
        </w:rPr>
        <w:t>dopravy.</w:t>
      </w:r>
    </w:p>
    <w:p w:rsidR="008F7124" w:rsidRDefault="008F7124" w:rsidP="008F7124">
      <w:pPr>
        <w:autoSpaceDE w:val="0"/>
        <w:autoSpaceDN w:val="0"/>
        <w:adjustRightInd w:val="0"/>
        <w:jc w:val="both"/>
        <w:rPr>
          <w:sz w:val="22"/>
          <w:szCs w:val="22"/>
        </w:rPr>
      </w:pPr>
    </w:p>
    <w:p w:rsidR="008F7124" w:rsidRPr="008F7124" w:rsidRDefault="008F7124" w:rsidP="008F7124">
      <w:pPr>
        <w:autoSpaceDE w:val="0"/>
        <w:autoSpaceDN w:val="0"/>
        <w:adjustRightInd w:val="0"/>
        <w:jc w:val="both"/>
        <w:rPr>
          <w:sz w:val="22"/>
          <w:szCs w:val="22"/>
        </w:rPr>
      </w:pPr>
    </w:p>
    <w:p w:rsidR="00F631EB" w:rsidRDefault="00F631EB" w:rsidP="00F631EB">
      <w:pPr>
        <w:pStyle w:val="Tab"/>
      </w:pPr>
      <w:r>
        <w:lastRenderedPageBreak/>
        <w:t>Špecifické v</w:t>
      </w:r>
      <w:r w:rsidRPr="004F0234">
        <w:t>ýsledkové ukazovatele zodpovedajúce špecifickému cieľu</w:t>
      </w:r>
      <w:r w:rsidR="00350B96">
        <w:t xml:space="preserve"> 1.3</w:t>
      </w:r>
    </w:p>
    <w:tbl>
      <w:tblPr>
        <w:tblStyle w:val="Mriekatabuky"/>
        <w:tblW w:w="928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tblPr>
      <w:tblGrid>
        <w:gridCol w:w="598"/>
        <w:gridCol w:w="1274"/>
        <w:gridCol w:w="898"/>
        <w:gridCol w:w="1022"/>
        <w:gridCol w:w="1297"/>
        <w:gridCol w:w="1297"/>
        <w:gridCol w:w="907"/>
        <w:gridCol w:w="786"/>
        <w:gridCol w:w="1208"/>
      </w:tblGrid>
      <w:tr w:rsidR="00F631EB" w:rsidRPr="008C1732" w:rsidTr="0095191D">
        <w:trPr>
          <w:trHeight w:val="487"/>
          <w:jc w:val="center"/>
        </w:trPr>
        <w:tc>
          <w:tcPr>
            <w:tcW w:w="598" w:type="dxa"/>
            <w:shd w:val="clear" w:color="auto" w:fill="C6D9F1" w:themeFill="text2" w:themeFillTint="33"/>
            <w:vAlign w:val="center"/>
          </w:tcPr>
          <w:p w:rsidR="00F631EB" w:rsidRPr="008C1732" w:rsidRDefault="00854EA5" w:rsidP="006A2D5B">
            <w:pPr>
              <w:ind w:left="0"/>
              <w:jc w:val="center"/>
              <w:rPr>
                <w:b/>
                <w:sz w:val="18"/>
                <w:szCs w:val="18"/>
              </w:rPr>
            </w:pPr>
            <w:r>
              <w:rPr>
                <w:b/>
                <w:sz w:val="18"/>
                <w:szCs w:val="18"/>
              </w:rPr>
              <w:t>P. č.</w:t>
            </w:r>
          </w:p>
        </w:tc>
        <w:tc>
          <w:tcPr>
            <w:tcW w:w="1274" w:type="dxa"/>
            <w:shd w:val="clear" w:color="auto" w:fill="C6D9F1" w:themeFill="text2" w:themeFillTint="33"/>
            <w:vAlign w:val="center"/>
          </w:tcPr>
          <w:p w:rsidR="00F631EB" w:rsidRPr="008C1732" w:rsidRDefault="00F631EB" w:rsidP="006A2D5B">
            <w:pPr>
              <w:ind w:left="0"/>
              <w:jc w:val="center"/>
              <w:rPr>
                <w:b/>
                <w:sz w:val="18"/>
                <w:szCs w:val="18"/>
              </w:rPr>
            </w:pPr>
            <w:r w:rsidRPr="008C1732">
              <w:rPr>
                <w:b/>
                <w:sz w:val="18"/>
                <w:szCs w:val="18"/>
              </w:rPr>
              <w:t>Ukazovateľ</w:t>
            </w:r>
          </w:p>
        </w:tc>
        <w:tc>
          <w:tcPr>
            <w:tcW w:w="898" w:type="dxa"/>
            <w:shd w:val="clear" w:color="auto" w:fill="C6D9F1" w:themeFill="text2" w:themeFillTint="33"/>
            <w:vAlign w:val="center"/>
          </w:tcPr>
          <w:p w:rsidR="00F631EB" w:rsidRPr="008C1732" w:rsidRDefault="00F631EB" w:rsidP="006A2D5B">
            <w:pPr>
              <w:ind w:left="0"/>
              <w:jc w:val="center"/>
              <w:rPr>
                <w:b/>
                <w:sz w:val="18"/>
                <w:szCs w:val="18"/>
              </w:rPr>
            </w:pPr>
            <w:r w:rsidRPr="008C1732">
              <w:rPr>
                <w:b/>
                <w:sz w:val="18"/>
                <w:szCs w:val="18"/>
              </w:rPr>
              <w:t>Merná jednotka</w:t>
            </w:r>
          </w:p>
        </w:tc>
        <w:tc>
          <w:tcPr>
            <w:tcW w:w="1022" w:type="dxa"/>
            <w:shd w:val="clear" w:color="auto" w:fill="C6D9F1" w:themeFill="text2" w:themeFillTint="33"/>
            <w:vAlign w:val="center"/>
          </w:tcPr>
          <w:p w:rsidR="00F631EB" w:rsidRPr="008C1732" w:rsidRDefault="00F631EB" w:rsidP="006A2D5B">
            <w:pPr>
              <w:ind w:left="0"/>
              <w:jc w:val="center"/>
              <w:rPr>
                <w:b/>
                <w:sz w:val="18"/>
                <w:szCs w:val="18"/>
              </w:rPr>
            </w:pPr>
            <w:r w:rsidRPr="008C1732">
              <w:rPr>
                <w:b/>
                <w:sz w:val="18"/>
                <w:szCs w:val="18"/>
              </w:rPr>
              <w:t>Kategória regiónu</w:t>
            </w:r>
          </w:p>
        </w:tc>
        <w:tc>
          <w:tcPr>
            <w:tcW w:w="1297" w:type="dxa"/>
            <w:shd w:val="clear" w:color="auto" w:fill="C6D9F1" w:themeFill="text2" w:themeFillTint="33"/>
            <w:vAlign w:val="center"/>
          </w:tcPr>
          <w:p w:rsidR="00F631EB" w:rsidRPr="008C1732" w:rsidRDefault="00F631EB" w:rsidP="006A2D5B">
            <w:pPr>
              <w:ind w:left="0"/>
              <w:jc w:val="center"/>
              <w:rPr>
                <w:b/>
                <w:sz w:val="18"/>
                <w:szCs w:val="18"/>
              </w:rPr>
            </w:pPr>
            <w:r>
              <w:rPr>
                <w:b/>
                <w:sz w:val="18"/>
                <w:szCs w:val="18"/>
              </w:rPr>
              <w:t>Východisková hodnota</w:t>
            </w:r>
          </w:p>
        </w:tc>
        <w:tc>
          <w:tcPr>
            <w:tcW w:w="1297" w:type="dxa"/>
            <w:shd w:val="clear" w:color="auto" w:fill="C6D9F1" w:themeFill="text2" w:themeFillTint="33"/>
            <w:vAlign w:val="center"/>
          </w:tcPr>
          <w:p w:rsidR="00F631EB" w:rsidRPr="008C1732" w:rsidRDefault="00F631EB" w:rsidP="006A2D5B">
            <w:pPr>
              <w:ind w:left="0"/>
              <w:jc w:val="center"/>
              <w:rPr>
                <w:b/>
                <w:sz w:val="18"/>
                <w:szCs w:val="18"/>
              </w:rPr>
            </w:pPr>
            <w:r>
              <w:rPr>
                <w:b/>
                <w:sz w:val="18"/>
                <w:szCs w:val="18"/>
              </w:rPr>
              <w:t>Východiskový rok</w:t>
            </w:r>
          </w:p>
        </w:tc>
        <w:tc>
          <w:tcPr>
            <w:tcW w:w="907" w:type="dxa"/>
            <w:shd w:val="clear" w:color="auto" w:fill="C6D9F1" w:themeFill="text2" w:themeFillTint="33"/>
            <w:vAlign w:val="center"/>
          </w:tcPr>
          <w:p w:rsidR="00F631EB" w:rsidRPr="008C1732" w:rsidRDefault="00F631EB" w:rsidP="006A2D5B">
            <w:pPr>
              <w:ind w:left="0"/>
              <w:jc w:val="center"/>
              <w:rPr>
                <w:b/>
                <w:sz w:val="18"/>
                <w:szCs w:val="18"/>
              </w:rPr>
            </w:pPr>
            <w:r w:rsidRPr="008C1732">
              <w:rPr>
                <w:b/>
                <w:sz w:val="18"/>
                <w:szCs w:val="18"/>
              </w:rPr>
              <w:t>Cieľová hodnota (2023)</w:t>
            </w:r>
          </w:p>
        </w:tc>
        <w:tc>
          <w:tcPr>
            <w:tcW w:w="786" w:type="dxa"/>
            <w:shd w:val="clear" w:color="auto" w:fill="C6D9F1" w:themeFill="text2" w:themeFillTint="33"/>
            <w:vAlign w:val="center"/>
          </w:tcPr>
          <w:p w:rsidR="00F631EB" w:rsidRPr="008C1732" w:rsidRDefault="00F631EB" w:rsidP="006A2D5B">
            <w:pPr>
              <w:ind w:left="0"/>
              <w:jc w:val="center"/>
              <w:rPr>
                <w:b/>
                <w:sz w:val="18"/>
                <w:szCs w:val="18"/>
              </w:rPr>
            </w:pPr>
            <w:r w:rsidRPr="008C1732">
              <w:rPr>
                <w:b/>
                <w:sz w:val="18"/>
                <w:szCs w:val="18"/>
              </w:rPr>
              <w:t>Zdroj údajov</w:t>
            </w:r>
          </w:p>
        </w:tc>
        <w:tc>
          <w:tcPr>
            <w:tcW w:w="1208" w:type="dxa"/>
            <w:shd w:val="clear" w:color="auto" w:fill="C6D9F1" w:themeFill="text2" w:themeFillTint="33"/>
            <w:vAlign w:val="center"/>
          </w:tcPr>
          <w:p w:rsidR="00F631EB" w:rsidRPr="008C1732" w:rsidRDefault="00F631EB" w:rsidP="006A2D5B">
            <w:pPr>
              <w:ind w:left="0"/>
              <w:jc w:val="center"/>
              <w:rPr>
                <w:b/>
                <w:sz w:val="18"/>
                <w:szCs w:val="18"/>
              </w:rPr>
            </w:pPr>
            <w:r w:rsidRPr="008C1732">
              <w:rPr>
                <w:b/>
                <w:sz w:val="18"/>
                <w:szCs w:val="18"/>
              </w:rPr>
              <w:t>Frekvencia vykazovania</w:t>
            </w:r>
          </w:p>
        </w:tc>
      </w:tr>
      <w:tr w:rsidR="00F631EB" w:rsidRPr="00AB18C1" w:rsidTr="0095191D">
        <w:trPr>
          <w:trHeight w:val="680"/>
          <w:jc w:val="center"/>
        </w:trPr>
        <w:tc>
          <w:tcPr>
            <w:tcW w:w="598" w:type="dxa"/>
            <w:shd w:val="clear" w:color="auto" w:fill="auto"/>
            <w:vAlign w:val="center"/>
          </w:tcPr>
          <w:p w:rsidR="00F631EB" w:rsidRPr="00336C1F" w:rsidRDefault="00854EA5" w:rsidP="006A2D5B">
            <w:pPr>
              <w:ind w:left="0"/>
              <w:jc w:val="center"/>
              <w:rPr>
                <w:sz w:val="20"/>
                <w:szCs w:val="20"/>
              </w:rPr>
            </w:pPr>
            <w:r>
              <w:rPr>
                <w:sz w:val="20"/>
                <w:szCs w:val="20"/>
              </w:rPr>
              <w:t>1.</w:t>
            </w:r>
          </w:p>
        </w:tc>
        <w:tc>
          <w:tcPr>
            <w:tcW w:w="1274" w:type="dxa"/>
            <w:shd w:val="clear" w:color="auto" w:fill="auto"/>
            <w:tcMar>
              <w:left w:w="57" w:type="dxa"/>
              <w:right w:w="57" w:type="dxa"/>
            </w:tcMar>
            <w:vAlign w:val="center"/>
          </w:tcPr>
          <w:p w:rsidR="00F631EB" w:rsidRPr="00AB18C1" w:rsidRDefault="00CB59EA" w:rsidP="00CB59EA">
            <w:pPr>
              <w:ind w:left="0"/>
              <w:rPr>
                <w:sz w:val="20"/>
                <w:szCs w:val="20"/>
              </w:rPr>
            </w:pPr>
            <w:r>
              <w:rPr>
                <w:sz w:val="18"/>
                <w:szCs w:val="18"/>
              </w:rPr>
              <w:t>Počet</w:t>
            </w:r>
            <w:r w:rsidR="00854EA5" w:rsidRPr="00854EA5">
              <w:rPr>
                <w:sz w:val="18"/>
                <w:szCs w:val="18"/>
              </w:rPr>
              <w:t xml:space="preserve"> prepravených cestujúcich vo verejnej železničnej osobnej doprave</w:t>
            </w:r>
          </w:p>
        </w:tc>
        <w:tc>
          <w:tcPr>
            <w:tcW w:w="898" w:type="dxa"/>
            <w:shd w:val="clear" w:color="auto" w:fill="auto"/>
            <w:vAlign w:val="center"/>
          </w:tcPr>
          <w:p w:rsidR="00F631EB" w:rsidRPr="00DA54A1" w:rsidRDefault="00F631EB" w:rsidP="006A2D5B">
            <w:pPr>
              <w:ind w:left="0"/>
              <w:jc w:val="center"/>
              <w:rPr>
                <w:i/>
                <w:sz w:val="20"/>
                <w:szCs w:val="20"/>
              </w:rPr>
            </w:pPr>
            <w:r w:rsidRPr="00DA54A1">
              <w:rPr>
                <w:i/>
                <w:sz w:val="20"/>
                <w:szCs w:val="20"/>
              </w:rPr>
              <w:t>%</w:t>
            </w:r>
          </w:p>
        </w:tc>
        <w:tc>
          <w:tcPr>
            <w:tcW w:w="1022" w:type="dxa"/>
            <w:shd w:val="clear" w:color="auto" w:fill="auto"/>
            <w:vAlign w:val="center"/>
          </w:tcPr>
          <w:p w:rsidR="00F631EB" w:rsidRPr="00DA54A1" w:rsidRDefault="00F631EB" w:rsidP="006A2D5B">
            <w:pPr>
              <w:ind w:left="0"/>
              <w:jc w:val="center"/>
              <w:rPr>
                <w:i/>
                <w:sz w:val="20"/>
                <w:szCs w:val="20"/>
              </w:rPr>
            </w:pPr>
            <w:r w:rsidRPr="00DA54A1">
              <w:rPr>
                <w:i/>
                <w:sz w:val="20"/>
                <w:szCs w:val="20"/>
              </w:rPr>
              <w:t>N/A</w:t>
            </w:r>
          </w:p>
        </w:tc>
        <w:tc>
          <w:tcPr>
            <w:tcW w:w="1297" w:type="dxa"/>
            <w:vAlign w:val="center"/>
          </w:tcPr>
          <w:p w:rsidR="00F631EB" w:rsidRPr="00DA54A1" w:rsidRDefault="00F631EB" w:rsidP="006A2D5B">
            <w:pPr>
              <w:jc w:val="center"/>
              <w:rPr>
                <w:i/>
                <w:sz w:val="20"/>
                <w:szCs w:val="20"/>
              </w:rPr>
            </w:pPr>
          </w:p>
        </w:tc>
        <w:tc>
          <w:tcPr>
            <w:tcW w:w="1297" w:type="dxa"/>
            <w:vAlign w:val="center"/>
          </w:tcPr>
          <w:p w:rsidR="00F631EB" w:rsidRPr="00DA54A1" w:rsidRDefault="00F631EB" w:rsidP="006A2D5B">
            <w:pPr>
              <w:ind w:left="0"/>
              <w:jc w:val="center"/>
              <w:rPr>
                <w:i/>
                <w:sz w:val="20"/>
                <w:szCs w:val="20"/>
              </w:rPr>
            </w:pPr>
            <w:r w:rsidRPr="00DA54A1">
              <w:rPr>
                <w:i/>
                <w:sz w:val="20"/>
                <w:szCs w:val="20"/>
              </w:rPr>
              <w:t>2013</w:t>
            </w:r>
          </w:p>
        </w:tc>
        <w:tc>
          <w:tcPr>
            <w:tcW w:w="907" w:type="dxa"/>
            <w:shd w:val="clear" w:color="auto" w:fill="auto"/>
            <w:vAlign w:val="center"/>
          </w:tcPr>
          <w:p w:rsidR="00F631EB" w:rsidRPr="00DA54A1" w:rsidRDefault="00F631EB" w:rsidP="006A2D5B">
            <w:pPr>
              <w:ind w:left="0"/>
              <w:jc w:val="center"/>
              <w:rPr>
                <w:i/>
                <w:sz w:val="20"/>
                <w:szCs w:val="20"/>
              </w:rPr>
            </w:pPr>
          </w:p>
        </w:tc>
        <w:tc>
          <w:tcPr>
            <w:tcW w:w="786" w:type="dxa"/>
            <w:vAlign w:val="center"/>
          </w:tcPr>
          <w:p w:rsidR="00F631EB" w:rsidRPr="00DA54A1" w:rsidRDefault="00F631EB" w:rsidP="006A2D5B">
            <w:pPr>
              <w:ind w:left="0"/>
              <w:jc w:val="center"/>
              <w:rPr>
                <w:i/>
                <w:sz w:val="20"/>
                <w:szCs w:val="20"/>
              </w:rPr>
            </w:pPr>
            <w:r w:rsidRPr="00DA54A1">
              <w:rPr>
                <w:i/>
                <w:sz w:val="20"/>
                <w:szCs w:val="20"/>
              </w:rPr>
              <w:t>RO OPII</w:t>
            </w:r>
          </w:p>
        </w:tc>
        <w:tc>
          <w:tcPr>
            <w:tcW w:w="1208" w:type="dxa"/>
            <w:vAlign w:val="center"/>
          </w:tcPr>
          <w:p w:rsidR="00F631EB" w:rsidRPr="00DA54A1" w:rsidRDefault="00F631EB" w:rsidP="006A2D5B">
            <w:pPr>
              <w:ind w:left="0"/>
              <w:jc w:val="center"/>
              <w:rPr>
                <w:i/>
                <w:sz w:val="20"/>
                <w:szCs w:val="20"/>
              </w:rPr>
            </w:pPr>
            <w:r w:rsidRPr="00DA54A1">
              <w:rPr>
                <w:i/>
                <w:sz w:val="20"/>
                <w:szCs w:val="20"/>
              </w:rPr>
              <w:t>Ročne</w:t>
            </w:r>
          </w:p>
        </w:tc>
      </w:tr>
    </w:tbl>
    <w:p w:rsidR="00816B1A" w:rsidRPr="000C1600" w:rsidRDefault="00816B1A" w:rsidP="000C1600">
      <w:pPr>
        <w:rPr>
          <w:sz w:val="20"/>
          <w:szCs w:val="20"/>
        </w:rPr>
      </w:pPr>
      <w:r w:rsidRPr="000C1600">
        <w:rPr>
          <w:sz w:val="20"/>
          <w:szCs w:val="20"/>
          <w:u w:val="single"/>
        </w:rPr>
        <w:t>Pozn</w:t>
      </w:r>
      <w:r w:rsidRPr="000C1600">
        <w:rPr>
          <w:sz w:val="20"/>
          <w:szCs w:val="20"/>
        </w:rPr>
        <w:t xml:space="preserve">.: Hodnoty ukazovateľov budú doplnené v ďalšom štádiu prípravy dokumentu. </w:t>
      </w:r>
    </w:p>
    <w:p w:rsidR="001A218B" w:rsidRDefault="007877CC" w:rsidP="00D844EF">
      <w:pPr>
        <w:pStyle w:val="Nadpis3"/>
      </w:pPr>
      <w:bookmarkStart w:id="23" w:name="_Toc385310682"/>
      <w:r>
        <w:t>Aktivity, ktoré budú podporené v rámci investičnej priority</w:t>
      </w:r>
      <w:bookmarkEnd w:id="23"/>
    </w:p>
    <w:p w:rsidR="00D844EF" w:rsidRPr="00D844EF" w:rsidRDefault="00D844EF" w:rsidP="006A2D5B">
      <w:pPr>
        <w:pStyle w:val="Nadpis4"/>
      </w:pPr>
      <w:r>
        <w:t>Opis typu a príklady aktivít</w:t>
      </w:r>
    </w:p>
    <w:p w:rsidR="004F0234" w:rsidRPr="00860925" w:rsidRDefault="00D844EF" w:rsidP="00336C1F">
      <w:pPr>
        <w:spacing w:before="180" w:after="120"/>
        <w:rPr>
          <w:sz w:val="22"/>
          <w:szCs w:val="22"/>
          <w:u w:val="single"/>
        </w:rPr>
      </w:pPr>
      <w:r w:rsidRPr="00860925">
        <w:rPr>
          <w:sz w:val="22"/>
          <w:szCs w:val="22"/>
          <w:u w:val="single"/>
        </w:rPr>
        <w:t>Investičná priorita</w:t>
      </w:r>
      <w:r w:rsidR="00860925" w:rsidRPr="00860925">
        <w:rPr>
          <w:sz w:val="22"/>
          <w:szCs w:val="22"/>
          <w:u w:val="single"/>
        </w:rPr>
        <w:t xml:space="preserve"> </w:t>
      </w:r>
      <w:r w:rsidR="00860925">
        <w:rPr>
          <w:sz w:val="22"/>
          <w:szCs w:val="22"/>
          <w:u w:val="single"/>
        </w:rPr>
        <w:t xml:space="preserve">7a) </w:t>
      </w:r>
      <w:r w:rsidR="00860925" w:rsidRPr="00860925">
        <w:rPr>
          <w:sz w:val="22"/>
          <w:szCs w:val="22"/>
          <w:u w:val="single"/>
        </w:rPr>
        <w:t>bude napĺňaná</w:t>
      </w:r>
      <w:r w:rsidR="00336C1F" w:rsidRPr="00860925">
        <w:rPr>
          <w:sz w:val="22"/>
          <w:szCs w:val="22"/>
          <w:u w:val="single"/>
        </w:rPr>
        <w:t xml:space="preserve"> prostredníctvom nasledujúcich aktivít:</w:t>
      </w:r>
    </w:p>
    <w:p w:rsidR="00336C1F" w:rsidRDefault="00336C1F" w:rsidP="00544A1F">
      <w:pPr>
        <w:numPr>
          <w:ilvl w:val="2"/>
          <w:numId w:val="20"/>
        </w:numPr>
        <w:tabs>
          <w:tab w:val="clear" w:pos="360"/>
        </w:tabs>
        <w:ind w:left="425" w:hanging="425"/>
        <w:jc w:val="both"/>
        <w:rPr>
          <w:sz w:val="22"/>
          <w:szCs w:val="22"/>
        </w:rPr>
      </w:pPr>
      <w:r>
        <w:rPr>
          <w:sz w:val="22"/>
          <w:szCs w:val="22"/>
        </w:rPr>
        <w:t>M</w:t>
      </w:r>
      <w:r w:rsidRPr="00F4783D">
        <w:rPr>
          <w:sz w:val="22"/>
          <w:szCs w:val="22"/>
        </w:rPr>
        <w:t>odernizácia železničných tratí (zlepšovanie vybraných technických parametrov železničnej dopravnej cesty),</w:t>
      </w:r>
    </w:p>
    <w:p w:rsidR="004C6D40" w:rsidRPr="00404A68" w:rsidRDefault="00336C1F" w:rsidP="00404A68">
      <w:pPr>
        <w:numPr>
          <w:ilvl w:val="2"/>
          <w:numId w:val="20"/>
        </w:numPr>
        <w:tabs>
          <w:tab w:val="clear" w:pos="360"/>
        </w:tabs>
        <w:ind w:left="426" w:hanging="426"/>
        <w:jc w:val="both"/>
        <w:rPr>
          <w:sz w:val="22"/>
          <w:szCs w:val="22"/>
        </w:rPr>
      </w:pPr>
      <w:r>
        <w:rPr>
          <w:sz w:val="22"/>
          <w:szCs w:val="22"/>
        </w:rPr>
        <w:t>Elektrifikácia železničných tratí,</w:t>
      </w:r>
    </w:p>
    <w:p w:rsidR="004C6D40" w:rsidRDefault="00336C1F" w:rsidP="004C6D40">
      <w:pPr>
        <w:numPr>
          <w:ilvl w:val="2"/>
          <w:numId w:val="20"/>
        </w:numPr>
        <w:tabs>
          <w:tab w:val="clear" w:pos="360"/>
        </w:tabs>
        <w:ind w:left="426" w:hanging="426"/>
        <w:jc w:val="both"/>
        <w:rPr>
          <w:sz w:val="22"/>
          <w:szCs w:val="22"/>
        </w:rPr>
      </w:pPr>
      <w:r w:rsidRPr="004C6D40">
        <w:rPr>
          <w:sz w:val="22"/>
          <w:szCs w:val="22"/>
        </w:rPr>
        <w:t>Výstavba nových úsekov železničných tratí (v prípade, ak opodstatnenosť výstavby potvrdí relevantná štúdia realizovateľnosti),</w:t>
      </w:r>
    </w:p>
    <w:p w:rsidR="004C6D40" w:rsidRDefault="00336C1F" w:rsidP="004C6D40">
      <w:pPr>
        <w:numPr>
          <w:ilvl w:val="2"/>
          <w:numId w:val="20"/>
        </w:numPr>
        <w:tabs>
          <w:tab w:val="clear" w:pos="360"/>
        </w:tabs>
        <w:ind w:left="426" w:hanging="426"/>
        <w:jc w:val="both"/>
        <w:rPr>
          <w:sz w:val="22"/>
          <w:szCs w:val="22"/>
        </w:rPr>
      </w:pPr>
      <w:r w:rsidRPr="004C6D40">
        <w:rPr>
          <w:sz w:val="22"/>
          <w:szCs w:val="22"/>
        </w:rPr>
        <w:t>Výstavba terminálov intermodálnej prepravy (v prípade, ak budú vytvorené vhodné trhové podmienky),</w:t>
      </w:r>
    </w:p>
    <w:p w:rsidR="00854EA5" w:rsidRPr="00350B96" w:rsidRDefault="00336C1F" w:rsidP="00350B96">
      <w:pPr>
        <w:numPr>
          <w:ilvl w:val="2"/>
          <w:numId w:val="20"/>
        </w:numPr>
        <w:tabs>
          <w:tab w:val="clear" w:pos="360"/>
        </w:tabs>
        <w:ind w:left="426" w:hanging="426"/>
        <w:jc w:val="both"/>
        <w:rPr>
          <w:sz w:val="22"/>
          <w:szCs w:val="22"/>
        </w:rPr>
      </w:pPr>
      <w:r w:rsidRPr="004C6D40">
        <w:rPr>
          <w:sz w:val="22"/>
          <w:szCs w:val="22"/>
        </w:rPr>
        <w:t>Projektová príprava.</w:t>
      </w:r>
    </w:p>
    <w:p w:rsidR="00336C1F" w:rsidRPr="00DA54A1" w:rsidRDefault="00336C1F" w:rsidP="004C6D40">
      <w:pPr>
        <w:numPr>
          <w:ilvl w:val="2"/>
          <w:numId w:val="21"/>
        </w:numPr>
        <w:tabs>
          <w:tab w:val="clear" w:pos="360"/>
        </w:tabs>
        <w:spacing w:before="180"/>
        <w:ind w:left="851" w:hanging="425"/>
        <w:jc w:val="both"/>
        <w:rPr>
          <w:b/>
          <w:i/>
          <w:color w:val="548DD4" w:themeColor="text2" w:themeTint="99"/>
          <w:sz w:val="22"/>
          <w:szCs w:val="22"/>
        </w:rPr>
      </w:pPr>
      <w:r w:rsidRPr="00DA54A1">
        <w:rPr>
          <w:b/>
          <w:i/>
          <w:color w:val="548DD4" w:themeColor="text2" w:themeTint="99"/>
          <w:sz w:val="22"/>
          <w:szCs w:val="22"/>
        </w:rPr>
        <w:t>Modernizácia železničných tratí (zlepšovanie vybraných technických parametrov železničnej dopravnej cesty)</w:t>
      </w:r>
    </w:p>
    <w:p w:rsidR="00336C1F" w:rsidRPr="000061C5" w:rsidRDefault="00336C1F" w:rsidP="00336C1F">
      <w:pPr>
        <w:autoSpaceDE w:val="0"/>
        <w:autoSpaceDN w:val="0"/>
        <w:adjustRightInd w:val="0"/>
        <w:spacing w:before="180"/>
        <w:jc w:val="both"/>
        <w:rPr>
          <w:sz w:val="22"/>
          <w:szCs w:val="22"/>
        </w:rPr>
      </w:pPr>
      <w:r>
        <w:rPr>
          <w:sz w:val="22"/>
          <w:szCs w:val="22"/>
        </w:rPr>
        <w:t>Rozvoj a prevádzkyschopnosť</w:t>
      </w:r>
      <w:r w:rsidRPr="00890045">
        <w:rPr>
          <w:sz w:val="22"/>
          <w:szCs w:val="22"/>
        </w:rPr>
        <w:t xml:space="preserve"> železničn</w:t>
      </w:r>
      <w:r>
        <w:rPr>
          <w:sz w:val="22"/>
          <w:szCs w:val="22"/>
        </w:rPr>
        <w:t>ej dopravnej cesty</w:t>
      </w:r>
      <w:r w:rsidRPr="00890045">
        <w:rPr>
          <w:sz w:val="22"/>
          <w:szCs w:val="22"/>
        </w:rPr>
        <w:t xml:space="preserve"> </w:t>
      </w:r>
      <w:r>
        <w:rPr>
          <w:sz w:val="22"/>
          <w:szCs w:val="22"/>
        </w:rPr>
        <w:t>zabezpečuje</w:t>
      </w:r>
      <w:r w:rsidRPr="00890045">
        <w:rPr>
          <w:sz w:val="22"/>
          <w:szCs w:val="22"/>
        </w:rPr>
        <w:t xml:space="preserve"> štát prostredníctvom Železníc Slovenskej republiky (ďalej len „ŽSR“), subjektu zriadeného osobitným zá</w:t>
      </w:r>
      <w:r>
        <w:rPr>
          <w:sz w:val="22"/>
          <w:szCs w:val="22"/>
        </w:rPr>
        <w:t>konom NR SR č. 258/1993 Z. z. o </w:t>
      </w:r>
      <w:r w:rsidRPr="00890045">
        <w:rPr>
          <w:sz w:val="22"/>
          <w:szCs w:val="22"/>
        </w:rPr>
        <w:t>Železniciach Slovenskej republiky v</w:t>
      </w:r>
      <w:r>
        <w:rPr>
          <w:sz w:val="22"/>
          <w:szCs w:val="22"/>
        </w:rPr>
        <w:t> </w:t>
      </w:r>
      <w:r w:rsidRPr="00890045">
        <w:rPr>
          <w:sz w:val="22"/>
          <w:szCs w:val="22"/>
        </w:rPr>
        <w:t>znení neskorších predpisov</w:t>
      </w:r>
      <w:r>
        <w:rPr>
          <w:sz w:val="22"/>
          <w:szCs w:val="22"/>
        </w:rPr>
        <w:t xml:space="preserve">. </w:t>
      </w:r>
      <w:r w:rsidRPr="000061C5">
        <w:rPr>
          <w:sz w:val="22"/>
          <w:szCs w:val="22"/>
        </w:rPr>
        <w:t>Vstupom do EÚ a</w:t>
      </w:r>
      <w:r>
        <w:rPr>
          <w:sz w:val="22"/>
          <w:szCs w:val="22"/>
        </w:rPr>
        <w:t> </w:t>
      </w:r>
      <w:r w:rsidRPr="000061C5">
        <w:rPr>
          <w:sz w:val="22"/>
          <w:szCs w:val="22"/>
        </w:rPr>
        <w:t xml:space="preserve">začlenením siete ŽSR do európskej dopravnej sústavy prevzala SR na seba </w:t>
      </w:r>
      <w:r>
        <w:rPr>
          <w:sz w:val="22"/>
          <w:szCs w:val="22"/>
        </w:rPr>
        <w:t>aj povinnosti týkajúce</w:t>
      </w:r>
      <w:r w:rsidRPr="000061C5">
        <w:rPr>
          <w:sz w:val="22"/>
          <w:szCs w:val="22"/>
        </w:rPr>
        <w:t xml:space="preserve"> sa rozvojových priorít </w:t>
      </w:r>
      <w:r>
        <w:rPr>
          <w:sz w:val="22"/>
          <w:szCs w:val="22"/>
        </w:rPr>
        <w:t xml:space="preserve">EÚ, ako aj potrieb implementovať určité technické štandardy, ktoré </w:t>
      </w:r>
      <w:r w:rsidRPr="000061C5">
        <w:rPr>
          <w:sz w:val="22"/>
          <w:szCs w:val="22"/>
        </w:rPr>
        <w:t>majú zaručiť udržateľné možnosti rozvoja železníc.</w:t>
      </w:r>
    </w:p>
    <w:p w:rsidR="00336C1F" w:rsidRPr="00743F53" w:rsidRDefault="00336C1F" w:rsidP="00336C1F">
      <w:pPr>
        <w:autoSpaceDE w:val="0"/>
        <w:autoSpaceDN w:val="0"/>
        <w:adjustRightInd w:val="0"/>
        <w:spacing w:before="180"/>
        <w:jc w:val="both"/>
        <w:rPr>
          <w:sz w:val="22"/>
          <w:szCs w:val="22"/>
        </w:rPr>
      </w:pPr>
      <w:r w:rsidRPr="00344629">
        <w:rPr>
          <w:b/>
          <w:color w:val="000000"/>
          <w:sz w:val="22"/>
          <w:szCs w:val="22"/>
        </w:rPr>
        <w:t>Celková dĺžka železničn</w:t>
      </w:r>
      <w:r>
        <w:rPr>
          <w:b/>
          <w:color w:val="000000"/>
          <w:sz w:val="22"/>
          <w:szCs w:val="22"/>
        </w:rPr>
        <w:t xml:space="preserve">ej infraštruktúry </w:t>
      </w:r>
      <w:r w:rsidRPr="00344629">
        <w:rPr>
          <w:b/>
          <w:color w:val="000000"/>
          <w:sz w:val="22"/>
          <w:szCs w:val="22"/>
        </w:rPr>
        <w:t>na území SR</w:t>
      </w:r>
      <w:r>
        <w:rPr>
          <w:b/>
          <w:color w:val="000000"/>
          <w:sz w:val="22"/>
          <w:szCs w:val="22"/>
        </w:rPr>
        <w:t xml:space="preserve">, ktorá je </w:t>
      </w:r>
      <w:r w:rsidRPr="00344629">
        <w:rPr>
          <w:b/>
          <w:color w:val="000000"/>
          <w:sz w:val="22"/>
          <w:szCs w:val="22"/>
        </w:rPr>
        <w:t>zaraden</w:t>
      </w:r>
      <w:r>
        <w:rPr>
          <w:b/>
          <w:color w:val="000000"/>
          <w:sz w:val="22"/>
          <w:szCs w:val="22"/>
        </w:rPr>
        <w:t>á</w:t>
      </w:r>
      <w:r w:rsidRPr="00344629">
        <w:rPr>
          <w:b/>
          <w:color w:val="000000"/>
          <w:sz w:val="22"/>
          <w:szCs w:val="22"/>
        </w:rPr>
        <w:t xml:space="preserve"> do siete TEN-T predstavuje cca</w:t>
      </w:r>
      <w:r w:rsidRPr="00743F53">
        <w:rPr>
          <w:color w:val="000000"/>
          <w:sz w:val="22"/>
          <w:szCs w:val="22"/>
        </w:rPr>
        <w:t xml:space="preserve"> </w:t>
      </w:r>
      <w:r w:rsidRPr="003E6EA5">
        <w:rPr>
          <w:b/>
          <w:color w:val="000000"/>
          <w:sz w:val="22"/>
          <w:szCs w:val="22"/>
        </w:rPr>
        <w:t>1 408 km</w:t>
      </w:r>
      <w:r w:rsidRPr="00743F53">
        <w:rPr>
          <w:color w:val="000000"/>
          <w:sz w:val="22"/>
          <w:szCs w:val="22"/>
        </w:rPr>
        <w:t xml:space="preserve">, </w:t>
      </w:r>
      <w:r w:rsidRPr="000061C5">
        <w:rPr>
          <w:sz w:val="22"/>
          <w:szCs w:val="22"/>
        </w:rPr>
        <w:t>z</w:t>
      </w:r>
      <w:r>
        <w:rPr>
          <w:sz w:val="22"/>
          <w:szCs w:val="22"/>
        </w:rPr>
        <w:t> </w:t>
      </w:r>
      <w:r w:rsidRPr="000061C5">
        <w:rPr>
          <w:sz w:val="22"/>
          <w:szCs w:val="22"/>
        </w:rPr>
        <w:t>toho 701 km tvorí základná a</w:t>
      </w:r>
      <w:r>
        <w:rPr>
          <w:sz w:val="22"/>
          <w:szCs w:val="22"/>
        </w:rPr>
        <w:t> </w:t>
      </w:r>
      <w:r w:rsidRPr="000061C5">
        <w:rPr>
          <w:sz w:val="22"/>
          <w:szCs w:val="22"/>
        </w:rPr>
        <w:t>707 km súhrnná sieť</w:t>
      </w:r>
      <w:r>
        <w:rPr>
          <w:sz w:val="22"/>
          <w:szCs w:val="22"/>
        </w:rPr>
        <w:t xml:space="preserve"> TEN-T</w:t>
      </w:r>
      <w:r w:rsidRPr="000061C5">
        <w:rPr>
          <w:sz w:val="22"/>
          <w:szCs w:val="22"/>
        </w:rPr>
        <w:t>. Základná sieť je určená na základe jednotnej európskej metodiky Európskou komisiou. Tvorí chrbticu rozvoja siete multimodálnej dopravy a</w:t>
      </w:r>
      <w:r>
        <w:rPr>
          <w:sz w:val="22"/>
          <w:szCs w:val="22"/>
        </w:rPr>
        <w:t> </w:t>
      </w:r>
      <w:r w:rsidRPr="000061C5">
        <w:rPr>
          <w:sz w:val="22"/>
          <w:szCs w:val="22"/>
        </w:rPr>
        <w:t>stimuluje rozvoj celej súhrnnej siete. Dokončená by mala byť do roku 2030.</w:t>
      </w:r>
    </w:p>
    <w:p w:rsidR="00336C1F" w:rsidRDefault="00336C1F" w:rsidP="00336C1F">
      <w:pPr>
        <w:autoSpaceDE w:val="0"/>
        <w:autoSpaceDN w:val="0"/>
        <w:adjustRightInd w:val="0"/>
        <w:spacing w:before="180"/>
        <w:jc w:val="both"/>
        <w:rPr>
          <w:sz w:val="22"/>
          <w:szCs w:val="22"/>
        </w:rPr>
      </w:pPr>
      <w:r w:rsidRPr="00743F53">
        <w:rPr>
          <w:color w:val="000000"/>
          <w:sz w:val="22"/>
          <w:szCs w:val="22"/>
        </w:rPr>
        <w:t>Z</w:t>
      </w:r>
      <w:r>
        <w:rPr>
          <w:color w:val="000000"/>
          <w:sz w:val="22"/>
          <w:szCs w:val="22"/>
        </w:rPr>
        <w:t> </w:t>
      </w:r>
      <w:r w:rsidRPr="00743F53">
        <w:rPr>
          <w:color w:val="000000"/>
          <w:sz w:val="22"/>
          <w:szCs w:val="22"/>
        </w:rPr>
        <w:t xml:space="preserve">pohľadu </w:t>
      </w:r>
      <w:r>
        <w:rPr>
          <w:color w:val="000000"/>
          <w:sz w:val="22"/>
          <w:szCs w:val="22"/>
        </w:rPr>
        <w:t xml:space="preserve">možností ďalšieho rozvoja </w:t>
      </w:r>
      <w:r w:rsidRPr="00743F53">
        <w:rPr>
          <w:color w:val="000000"/>
          <w:sz w:val="22"/>
          <w:szCs w:val="22"/>
        </w:rPr>
        <w:t xml:space="preserve">železničnej siete TEN-T možno konštatovať, že </w:t>
      </w:r>
      <w:r>
        <w:rPr>
          <w:color w:val="000000"/>
          <w:sz w:val="22"/>
          <w:szCs w:val="22"/>
        </w:rPr>
        <w:t>na území SR sa </w:t>
      </w:r>
      <w:r w:rsidRPr="00743F53">
        <w:rPr>
          <w:color w:val="000000"/>
          <w:sz w:val="22"/>
          <w:szCs w:val="22"/>
        </w:rPr>
        <w:t xml:space="preserve">nepredpokladá výstavba nových tratí, </w:t>
      </w:r>
      <w:r>
        <w:rPr>
          <w:color w:val="000000"/>
          <w:sz w:val="22"/>
          <w:szCs w:val="22"/>
        </w:rPr>
        <w:t>len</w:t>
      </w:r>
      <w:r w:rsidRPr="00743F53">
        <w:rPr>
          <w:color w:val="000000"/>
          <w:sz w:val="22"/>
          <w:szCs w:val="22"/>
        </w:rPr>
        <w:t xml:space="preserve"> modernizácia už existujúcich. MDVRR SR predpokladá, že dĺžka zmodernizovaných tratí zaradených </w:t>
      </w:r>
      <w:r>
        <w:rPr>
          <w:color w:val="000000"/>
          <w:sz w:val="22"/>
          <w:szCs w:val="22"/>
        </w:rPr>
        <w:t xml:space="preserve">do siete TEN-T bude </w:t>
      </w:r>
      <w:r w:rsidRPr="00743F53">
        <w:rPr>
          <w:color w:val="000000"/>
          <w:sz w:val="22"/>
          <w:szCs w:val="22"/>
        </w:rPr>
        <w:t xml:space="preserve">do konca roku 2015 </w:t>
      </w:r>
      <w:r>
        <w:rPr>
          <w:color w:val="000000"/>
          <w:sz w:val="22"/>
          <w:szCs w:val="22"/>
        </w:rPr>
        <w:t>predstavovať cca </w:t>
      </w:r>
      <w:r w:rsidRPr="00743F53">
        <w:rPr>
          <w:color w:val="000000"/>
          <w:sz w:val="22"/>
          <w:szCs w:val="22"/>
        </w:rPr>
        <w:t xml:space="preserve">12 %, resp. necelých 25 % zaradených do </w:t>
      </w:r>
      <w:r w:rsidRPr="000061C5">
        <w:rPr>
          <w:sz w:val="22"/>
          <w:szCs w:val="22"/>
        </w:rPr>
        <w:t>základnej</w:t>
      </w:r>
      <w:r>
        <w:rPr>
          <w:color w:val="000000"/>
          <w:sz w:val="22"/>
          <w:szCs w:val="22"/>
        </w:rPr>
        <w:t xml:space="preserve"> </w:t>
      </w:r>
      <w:r w:rsidRPr="00743F53">
        <w:rPr>
          <w:color w:val="000000"/>
          <w:sz w:val="22"/>
          <w:szCs w:val="22"/>
        </w:rPr>
        <w:t xml:space="preserve">siete TEN-T. </w:t>
      </w:r>
      <w:r>
        <w:rPr>
          <w:sz w:val="22"/>
          <w:szCs w:val="22"/>
        </w:rPr>
        <w:t>Možnosť smerovať investície do </w:t>
      </w:r>
      <w:r w:rsidRPr="00743F53">
        <w:rPr>
          <w:sz w:val="22"/>
          <w:szCs w:val="22"/>
        </w:rPr>
        <w:t>dopravnej infraštruktúry TEN-T aj po roku 2013 preto predstavuje pre SR výnimočnú príležitosť kontinuálne nadviazať na aktivity realizované v</w:t>
      </w:r>
      <w:r>
        <w:rPr>
          <w:sz w:val="22"/>
          <w:szCs w:val="22"/>
        </w:rPr>
        <w:t> </w:t>
      </w:r>
      <w:r w:rsidRPr="00743F53">
        <w:rPr>
          <w:sz w:val="22"/>
          <w:szCs w:val="22"/>
        </w:rPr>
        <w:t>predchádzajúcich ob</w:t>
      </w:r>
      <w:r>
        <w:rPr>
          <w:sz w:val="22"/>
          <w:szCs w:val="22"/>
        </w:rPr>
        <w:t>dobiach (ISPA, KF 2004 – 2006, KF 2007 – 2013</w:t>
      </w:r>
      <w:r w:rsidRPr="000061C5">
        <w:rPr>
          <w:sz w:val="22"/>
          <w:szCs w:val="22"/>
        </w:rPr>
        <w:t>)</w:t>
      </w:r>
      <w:r>
        <w:rPr>
          <w:sz w:val="22"/>
          <w:szCs w:val="22"/>
        </w:rPr>
        <w:t xml:space="preserve">. Finančné prostriedky smerované na rozvoj železničnej infraštruktúry </w:t>
      </w:r>
      <w:r w:rsidRPr="00743F53">
        <w:rPr>
          <w:sz w:val="22"/>
          <w:szCs w:val="22"/>
        </w:rPr>
        <w:t xml:space="preserve">môžu </w:t>
      </w:r>
      <w:r>
        <w:rPr>
          <w:sz w:val="22"/>
          <w:szCs w:val="22"/>
        </w:rPr>
        <w:t xml:space="preserve">zároveň </w:t>
      </w:r>
      <w:r w:rsidRPr="00743F53">
        <w:rPr>
          <w:sz w:val="22"/>
          <w:szCs w:val="22"/>
        </w:rPr>
        <w:t>významným spôsobom podporiť hospodársky rast a</w:t>
      </w:r>
      <w:r>
        <w:rPr>
          <w:sz w:val="22"/>
          <w:szCs w:val="22"/>
        </w:rPr>
        <w:t> </w:t>
      </w:r>
      <w:r w:rsidRPr="00743F53">
        <w:rPr>
          <w:sz w:val="22"/>
          <w:szCs w:val="22"/>
        </w:rPr>
        <w:t>tvorbu pracovných miest.</w:t>
      </w:r>
    </w:p>
    <w:p w:rsidR="00336C1F" w:rsidRDefault="00336C1F" w:rsidP="00336C1F">
      <w:pPr>
        <w:autoSpaceDE w:val="0"/>
        <w:autoSpaceDN w:val="0"/>
        <w:adjustRightInd w:val="0"/>
        <w:spacing w:before="180"/>
        <w:jc w:val="both"/>
        <w:rPr>
          <w:color w:val="000000"/>
          <w:sz w:val="22"/>
          <w:szCs w:val="22"/>
        </w:rPr>
      </w:pPr>
      <w:r w:rsidRPr="00743F53">
        <w:rPr>
          <w:sz w:val="22"/>
          <w:szCs w:val="22"/>
        </w:rPr>
        <w:t>Zaostávanie v</w:t>
      </w:r>
      <w:r>
        <w:rPr>
          <w:sz w:val="22"/>
          <w:szCs w:val="22"/>
        </w:rPr>
        <w:t> </w:t>
      </w:r>
      <w:r w:rsidRPr="00743F53">
        <w:rPr>
          <w:sz w:val="22"/>
          <w:szCs w:val="22"/>
        </w:rPr>
        <w:t xml:space="preserve">rozvoji železničnej infraštruktúry môže predstavovať </w:t>
      </w:r>
      <w:r>
        <w:rPr>
          <w:sz w:val="22"/>
          <w:szCs w:val="22"/>
        </w:rPr>
        <w:t xml:space="preserve">významné </w:t>
      </w:r>
      <w:r w:rsidRPr="00743F53">
        <w:rPr>
          <w:sz w:val="22"/>
          <w:szCs w:val="22"/>
        </w:rPr>
        <w:t>riziká</w:t>
      </w:r>
      <w:r w:rsidRPr="00743F53">
        <w:rPr>
          <w:color w:val="000000"/>
          <w:sz w:val="22"/>
          <w:szCs w:val="22"/>
        </w:rPr>
        <w:t xml:space="preserve"> </w:t>
      </w:r>
      <w:r>
        <w:rPr>
          <w:color w:val="000000"/>
          <w:sz w:val="22"/>
          <w:szCs w:val="22"/>
        </w:rPr>
        <w:t xml:space="preserve">vo forme </w:t>
      </w:r>
      <w:r w:rsidRPr="00743F53">
        <w:rPr>
          <w:color w:val="000000"/>
          <w:sz w:val="22"/>
          <w:szCs w:val="22"/>
        </w:rPr>
        <w:t>poklesu prepráv cestujúcich a</w:t>
      </w:r>
      <w:r>
        <w:rPr>
          <w:color w:val="000000"/>
          <w:sz w:val="22"/>
          <w:szCs w:val="22"/>
        </w:rPr>
        <w:t> </w:t>
      </w:r>
      <w:r w:rsidRPr="00743F53">
        <w:rPr>
          <w:color w:val="000000"/>
          <w:sz w:val="22"/>
          <w:szCs w:val="22"/>
        </w:rPr>
        <w:t>tovaru</w:t>
      </w:r>
      <w:r w:rsidR="00724E8C">
        <w:rPr>
          <w:color w:val="000000"/>
          <w:sz w:val="22"/>
          <w:szCs w:val="22"/>
        </w:rPr>
        <w:t xml:space="preserve"> vo vnútroštátnej aj medzinárodnej</w:t>
      </w:r>
      <w:r>
        <w:rPr>
          <w:color w:val="000000"/>
          <w:sz w:val="22"/>
          <w:szCs w:val="22"/>
        </w:rPr>
        <w:t xml:space="preserve"> doprave. To môže mať za následok</w:t>
      </w:r>
      <w:r w:rsidRPr="00743F53">
        <w:rPr>
          <w:color w:val="000000"/>
          <w:sz w:val="22"/>
          <w:szCs w:val="22"/>
        </w:rPr>
        <w:t xml:space="preserve"> nárast objemu nákladnej cestnej dopravy</w:t>
      </w:r>
      <w:r>
        <w:rPr>
          <w:color w:val="000000"/>
          <w:sz w:val="22"/>
          <w:szCs w:val="22"/>
        </w:rPr>
        <w:t xml:space="preserve"> a </w:t>
      </w:r>
      <w:r w:rsidRPr="00743F53">
        <w:rPr>
          <w:color w:val="000000"/>
          <w:sz w:val="22"/>
          <w:szCs w:val="22"/>
        </w:rPr>
        <w:t>IAD a</w:t>
      </w:r>
      <w:r>
        <w:rPr>
          <w:color w:val="000000"/>
          <w:sz w:val="22"/>
          <w:szCs w:val="22"/>
        </w:rPr>
        <w:t> </w:t>
      </w:r>
      <w:r w:rsidRPr="00743F53">
        <w:rPr>
          <w:color w:val="000000"/>
          <w:sz w:val="22"/>
          <w:szCs w:val="22"/>
        </w:rPr>
        <w:t>z</w:t>
      </w:r>
      <w:r>
        <w:rPr>
          <w:color w:val="000000"/>
          <w:sz w:val="22"/>
          <w:szCs w:val="22"/>
        </w:rPr>
        <w:t> </w:t>
      </w:r>
      <w:r w:rsidRPr="00743F53">
        <w:rPr>
          <w:color w:val="000000"/>
          <w:sz w:val="22"/>
          <w:szCs w:val="22"/>
        </w:rPr>
        <w:t>toho plynúc</w:t>
      </w:r>
      <w:r>
        <w:rPr>
          <w:color w:val="000000"/>
          <w:sz w:val="22"/>
          <w:szCs w:val="22"/>
        </w:rPr>
        <w:t>u</w:t>
      </w:r>
      <w:r w:rsidRPr="00743F53">
        <w:rPr>
          <w:color w:val="000000"/>
          <w:sz w:val="22"/>
          <w:szCs w:val="22"/>
        </w:rPr>
        <w:t xml:space="preserve"> environmentáln</w:t>
      </w:r>
      <w:r>
        <w:rPr>
          <w:color w:val="000000"/>
          <w:sz w:val="22"/>
          <w:szCs w:val="22"/>
        </w:rPr>
        <w:t>u</w:t>
      </w:r>
      <w:r w:rsidRPr="00743F53">
        <w:rPr>
          <w:color w:val="000000"/>
          <w:sz w:val="22"/>
          <w:szCs w:val="22"/>
        </w:rPr>
        <w:t xml:space="preserve"> </w:t>
      </w:r>
      <w:r>
        <w:rPr>
          <w:color w:val="000000"/>
          <w:sz w:val="22"/>
          <w:szCs w:val="22"/>
        </w:rPr>
        <w:t>záťaž</w:t>
      </w:r>
      <w:r w:rsidRPr="00743F53">
        <w:rPr>
          <w:color w:val="000000"/>
          <w:sz w:val="22"/>
          <w:szCs w:val="22"/>
        </w:rPr>
        <w:t xml:space="preserve">. </w:t>
      </w:r>
      <w:r>
        <w:rPr>
          <w:color w:val="000000"/>
          <w:sz w:val="22"/>
          <w:szCs w:val="22"/>
        </w:rPr>
        <w:t>P</w:t>
      </w:r>
      <w:r w:rsidRPr="00743F53">
        <w:rPr>
          <w:color w:val="000000"/>
          <w:sz w:val="22"/>
          <w:szCs w:val="22"/>
        </w:rPr>
        <w:t xml:space="preserve">rednosťou súčasného stavu na sieti </w:t>
      </w:r>
      <w:r w:rsidRPr="000061C5">
        <w:rPr>
          <w:sz w:val="22"/>
          <w:szCs w:val="22"/>
        </w:rPr>
        <w:t>ŽSR</w:t>
      </w:r>
      <w:r w:rsidRPr="00743F53">
        <w:rPr>
          <w:color w:val="000000"/>
          <w:sz w:val="22"/>
          <w:szCs w:val="22"/>
        </w:rPr>
        <w:t xml:space="preserve"> je </w:t>
      </w:r>
      <w:r>
        <w:rPr>
          <w:color w:val="000000"/>
          <w:sz w:val="22"/>
          <w:szCs w:val="22"/>
        </w:rPr>
        <w:t xml:space="preserve">pritom </w:t>
      </w:r>
      <w:r w:rsidRPr="00743F53">
        <w:rPr>
          <w:color w:val="000000"/>
          <w:sz w:val="22"/>
          <w:szCs w:val="22"/>
        </w:rPr>
        <w:t>dostatočná hustota tratí, staníc a</w:t>
      </w:r>
      <w:r>
        <w:rPr>
          <w:color w:val="000000"/>
          <w:sz w:val="22"/>
          <w:szCs w:val="22"/>
        </w:rPr>
        <w:t> </w:t>
      </w:r>
      <w:r w:rsidRPr="00743F53">
        <w:rPr>
          <w:color w:val="000000"/>
          <w:sz w:val="22"/>
          <w:szCs w:val="22"/>
        </w:rPr>
        <w:t>zastávok</w:t>
      </w:r>
      <w:r>
        <w:rPr>
          <w:color w:val="000000"/>
          <w:sz w:val="22"/>
          <w:szCs w:val="22"/>
        </w:rPr>
        <w:t>, tzn.</w:t>
      </w:r>
      <w:r w:rsidRPr="00743F53">
        <w:rPr>
          <w:color w:val="000000"/>
          <w:sz w:val="22"/>
          <w:szCs w:val="22"/>
        </w:rPr>
        <w:t xml:space="preserve"> </w:t>
      </w:r>
      <w:r>
        <w:rPr>
          <w:color w:val="000000"/>
          <w:sz w:val="22"/>
          <w:szCs w:val="22"/>
        </w:rPr>
        <w:t xml:space="preserve">potenciálne </w:t>
      </w:r>
      <w:r w:rsidRPr="00743F53">
        <w:rPr>
          <w:color w:val="000000"/>
          <w:sz w:val="22"/>
          <w:szCs w:val="22"/>
        </w:rPr>
        <w:t>vysoká obslužnosť územia, ponuka vysokých kapacít a</w:t>
      </w:r>
      <w:r>
        <w:rPr>
          <w:color w:val="000000"/>
          <w:sz w:val="22"/>
          <w:szCs w:val="22"/>
        </w:rPr>
        <w:t> </w:t>
      </w:r>
      <w:r w:rsidRPr="00743F53">
        <w:rPr>
          <w:color w:val="000000"/>
          <w:sz w:val="22"/>
          <w:szCs w:val="22"/>
        </w:rPr>
        <w:t>dobrá nadv</w:t>
      </w:r>
      <w:r>
        <w:rPr>
          <w:color w:val="000000"/>
          <w:sz w:val="22"/>
          <w:szCs w:val="22"/>
        </w:rPr>
        <w:t>äznosť železničnej siete ŽSR na </w:t>
      </w:r>
      <w:r w:rsidRPr="00743F53">
        <w:rPr>
          <w:color w:val="000000"/>
          <w:sz w:val="22"/>
          <w:szCs w:val="22"/>
        </w:rPr>
        <w:t>sieť susedných štátov.</w:t>
      </w:r>
    </w:p>
    <w:p w:rsidR="00090A6F" w:rsidRPr="00FE75AD" w:rsidRDefault="00090A6F" w:rsidP="00090A6F">
      <w:pPr>
        <w:spacing w:before="180"/>
        <w:jc w:val="both"/>
        <w:rPr>
          <w:sz w:val="22"/>
          <w:szCs w:val="22"/>
        </w:rPr>
      </w:pPr>
      <w:r w:rsidRPr="00FA56DA">
        <w:rPr>
          <w:b/>
          <w:sz w:val="22"/>
          <w:szCs w:val="22"/>
        </w:rPr>
        <w:lastRenderedPageBreak/>
        <w:t>Základnou víziou v</w:t>
      </w:r>
      <w:r>
        <w:rPr>
          <w:b/>
          <w:sz w:val="22"/>
          <w:szCs w:val="22"/>
        </w:rPr>
        <w:t> </w:t>
      </w:r>
      <w:r w:rsidRPr="00FA56DA">
        <w:rPr>
          <w:b/>
          <w:sz w:val="22"/>
          <w:szCs w:val="22"/>
        </w:rPr>
        <w:t xml:space="preserve">oblasti prevádzkového využitia železničnej siete je celkové zvyšovanie objemu prepráv na železnici vrátane presunu </w:t>
      </w:r>
      <w:r w:rsidRPr="004457FD">
        <w:rPr>
          <w:b/>
          <w:sz w:val="22"/>
          <w:szCs w:val="22"/>
        </w:rPr>
        <w:t>výkonov</w:t>
      </w:r>
      <w:r w:rsidRPr="00FA56DA">
        <w:rPr>
          <w:b/>
          <w:sz w:val="22"/>
          <w:szCs w:val="22"/>
        </w:rPr>
        <w:t xml:space="preserve"> z</w:t>
      </w:r>
      <w:r>
        <w:rPr>
          <w:b/>
          <w:sz w:val="22"/>
          <w:szCs w:val="22"/>
        </w:rPr>
        <w:t> </w:t>
      </w:r>
      <w:r w:rsidRPr="00FA56DA">
        <w:rPr>
          <w:b/>
          <w:sz w:val="22"/>
          <w:szCs w:val="22"/>
        </w:rPr>
        <w:t>cestnej dopravy.</w:t>
      </w:r>
      <w:r w:rsidRPr="00FE75AD">
        <w:rPr>
          <w:sz w:val="22"/>
          <w:szCs w:val="22"/>
        </w:rPr>
        <w:t xml:space="preserve"> Železničná sieť musí byť na tento proces pripravená a</w:t>
      </w:r>
      <w:r>
        <w:rPr>
          <w:sz w:val="22"/>
          <w:szCs w:val="22"/>
        </w:rPr>
        <w:t> </w:t>
      </w:r>
      <w:r w:rsidRPr="00FE75AD">
        <w:rPr>
          <w:sz w:val="22"/>
          <w:szCs w:val="22"/>
        </w:rPr>
        <w:t>musí umožňovať uspokojenie zvýšeného dopytu po osobnej aj nákladnej doprave z</w:t>
      </w:r>
      <w:r>
        <w:rPr>
          <w:sz w:val="22"/>
          <w:szCs w:val="22"/>
        </w:rPr>
        <w:t> </w:t>
      </w:r>
      <w:r w:rsidRPr="00FE75AD">
        <w:rPr>
          <w:sz w:val="22"/>
          <w:szCs w:val="22"/>
        </w:rPr>
        <w:t>hľadiska parametrov, kapacity,</w:t>
      </w:r>
      <w:r>
        <w:rPr>
          <w:sz w:val="22"/>
          <w:szCs w:val="22"/>
        </w:rPr>
        <w:t xml:space="preserve"> ako aj</w:t>
      </w:r>
      <w:r w:rsidRPr="00FE75AD">
        <w:rPr>
          <w:sz w:val="22"/>
          <w:szCs w:val="22"/>
        </w:rPr>
        <w:t xml:space="preserve"> </w:t>
      </w:r>
      <w:r w:rsidRPr="00F4783D">
        <w:rPr>
          <w:sz w:val="22"/>
          <w:szCs w:val="22"/>
        </w:rPr>
        <w:t>atraktivity pre jednotlivých zákazníkov (cestujúcich, prepravcov)</w:t>
      </w:r>
      <w:r>
        <w:rPr>
          <w:sz w:val="22"/>
          <w:szCs w:val="22"/>
        </w:rPr>
        <w:t>.</w:t>
      </w:r>
      <w:r w:rsidRPr="00F4783D">
        <w:rPr>
          <w:sz w:val="22"/>
          <w:szCs w:val="22"/>
        </w:rPr>
        <w:t xml:space="preserve"> </w:t>
      </w:r>
    </w:p>
    <w:p w:rsidR="00090A6F" w:rsidRPr="00FE75AD" w:rsidRDefault="00090A6F" w:rsidP="00090A6F">
      <w:pPr>
        <w:spacing w:before="180"/>
        <w:jc w:val="both"/>
        <w:rPr>
          <w:b/>
          <w:sz w:val="22"/>
          <w:szCs w:val="22"/>
        </w:rPr>
      </w:pPr>
      <w:r w:rsidRPr="00FE75AD">
        <w:rPr>
          <w:b/>
          <w:sz w:val="22"/>
          <w:szCs w:val="22"/>
        </w:rPr>
        <w:t>V</w:t>
      </w:r>
      <w:r>
        <w:rPr>
          <w:b/>
          <w:sz w:val="22"/>
          <w:szCs w:val="22"/>
        </w:rPr>
        <w:t> </w:t>
      </w:r>
      <w:r w:rsidRPr="00FE75AD">
        <w:rPr>
          <w:b/>
          <w:sz w:val="22"/>
          <w:szCs w:val="22"/>
        </w:rPr>
        <w:t>nadväznosti na aktivity implementované v</w:t>
      </w:r>
      <w:r>
        <w:rPr>
          <w:b/>
          <w:sz w:val="22"/>
          <w:szCs w:val="22"/>
        </w:rPr>
        <w:t> </w:t>
      </w:r>
      <w:r w:rsidRPr="00FE75AD">
        <w:rPr>
          <w:b/>
          <w:sz w:val="22"/>
          <w:szCs w:val="22"/>
        </w:rPr>
        <w:t>predchádzajúcich obdobiach, investičnou prioritou ostáva aj naďalej modernizácia železničných tratí zaradených do</w:t>
      </w:r>
      <w:r w:rsidR="00966BCE">
        <w:rPr>
          <w:b/>
          <w:sz w:val="22"/>
          <w:szCs w:val="22"/>
        </w:rPr>
        <w:t xml:space="preserve"> základnej</w:t>
      </w:r>
      <w:r w:rsidRPr="00FE75AD">
        <w:rPr>
          <w:b/>
          <w:sz w:val="22"/>
          <w:szCs w:val="22"/>
        </w:rPr>
        <w:t> transeurópskej dopravnej siete TEN-T</w:t>
      </w:r>
      <w:r w:rsidR="003C15FD">
        <w:rPr>
          <w:sz w:val="22"/>
          <w:szCs w:val="22"/>
        </w:rPr>
        <w:t xml:space="preserve">. </w:t>
      </w:r>
      <w:r w:rsidR="00361192" w:rsidRPr="00FE75AD">
        <w:rPr>
          <w:b/>
          <w:sz w:val="22"/>
          <w:szCs w:val="22"/>
        </w:rPr>
        <w:t>Projekty modernizácie železničnej dopravnej infraštruktúry budú realizované na tých tratiach, ktoré majú rozhodujúci význam pre rast hospodárstva a</w:t>
      </w:r>
      <w:r w:rsidR="00361192">
        <w:rPr>
          <w:b/>
          <w:sz w:val="22"/>
          <w:szCs w:val="22"/>
        </w:rPr>
        <w:t> </w:t>
      </w:r>
      <w:r w:rsidR="00361192" w:rsidRPr="00FE75AD">
        <w:rPr>
          <w:b/>
          <w:sz w:val="22"/>
          <w:szCs w:val="22"/>
        </w:rPr>
        <w:t>zlepšenie mobility</w:t>
      </w:r>
      <w:r w:rsidR="00361192">
        <w:rPr>
          <w:b/>
          <w:sz w:val="22"/>
          <w:szCs w:val="22"/>
        </w:rPr>
        <w:t xml:space="preserve"> v</w:t>
      </w:r>
      <w:r w:rsidR="00361192" w:rsidRPr="00FE75AD">
        <w:rPr>
          <w:b/>
          <w:sz w:val="22"/>
          <w:szCs w:val="22"/>
        </w:rPr>
        <w:t xml:space="preserve"> </w:t>
      </w:r>
      <w:r w:rsidR="00361192">
        <w:rPr>
          <w:b/>
          <w:sz w:val="22"/>
          <w:szCs w:val="22"/>
        </w:rPr>
        <w:t>SR a jednotnom Európskom dopravnom priestore</w:t>
      </w:r>
      <w:r w:rsidR="00361192" w:rsidRPr="00FE75AD">
        <w:rPr>
          <w:b/>
          <w:sz w:val="22"/>
          <w:szCs w:val="22"/>
        </w:rPr>
        <w:t>.</w:t>
      </w:r>
      <w:r w:rsidR="00361192" w:rsidRPr="00361192">
        <w:rPr>
          <w:sz w:val="22"/>
          <w:szCs w:val="22"/>
        </w:rPr>
        <w:t xml:space="preserve"> Modernizácia železničnej dopravnej siete TEN-T prispeje k napĺňaniu stratégie </w:t>
      </w:r>
      <w:r w:rsidR="00361192">
        <w:rPr>
          <w:sz w:val="22"/>
          <w:szCs w:val="22"/>
        </w:rPr>
        <w:t xml:space="preserve">Európa </w:t>
      </w:r>
      <w:r w:rsidR="00361192" w:rsidRPr="00361192">
        <w:rPr>
          <w:sz w:val="22"/>
          <w:szCs w:val="22"/>
        </w:rPr>
        <w:t>2020, konkrétne iniciatívy zlepšovania efektívnosti využívania zdrojov a znižovanie emisií. Modernizáciou vybraných železničných tratí dôjde k zvýšeniu efektivity železničnej dopravy vybudovaním modernej a plne prepojenej infraštruktúry, ktorá bude schopná prijať zvyšujúci sa objem dopravy vrátane presunu výkonov z cestnej dopravy. Týmto spôsobom aktivita prispeje k znižovaniu závislosti na ropných produktoch, k znižovaniu emisií a k podpore udržateľnej dopravy a hospodárstva.</w:t>
      </w:r>
    </w:p>
    <w:p w:rsidR="00336C1F" w:rsidRPr="00DA54A1" w:rsidRDefault="00336C1F" w:rsidP="004C6D40">
      <w:pPr>
        <w:numPr>
          <w:ilvl w:val="2"/>
          <w:numId w:val="21"/>
        </w:numPr>
        <w:tabs>
          <w:tab w:val="clear" w:pos="360"/>
        </w:tabs>
        <w:spacing w:before="180" w:after="120"/>
        <w:ind w:left="851" w:hanging="425"/>
        <w:jc w:val="both"/>
        <w:rPr>
          <w:b/>
          <w:i/>
          <w:color w:val="548DD4" w:themeColor="text2" w:themeTint="99"/>
          <w:sz w:val="22"/>
          <w:szCs w:val="22"/>
        </w:rPr>
      </w:pPr>
      <w:r w:rsidRPr="00DA54A1">
        <w:rPr>
          <w:b/>
          <w:i/>
          <w:color w:val="548DD4" w:themeColor="text2" w:themeTint="99"/>
          <w:sz w:val="22"/>
          <w:szCs w:val="22"/>
        </w:rPr>
        <w:t>Elektrifikácia železničných tratí</w:t>
      </w:r>
    </w:p>
    <w:p w:rsidR="00BF0317" w:rsidRDefault="00BF0317" w:rsidP="00BF0317">
      <w:pPr>
        <w:pStyle w:val="Odsekzoznamu"/>
        <w:autoSpaceDE w:val="0"/>
        <w:autoSpaceDN w:val="0"/>
        <w:adjustRightInd w:val="0"/>
        <w:spacing w:after="120"/>
        <w:ind w:left="0"/>
        <w:contextualSpacing w:val="0"/>
        <w:jc w:val="both"/>
        <w:rPr>
          <w:sz w:val="22"/>
          <w:szCs w:val="22"/>
        </w:rPr>
      </w:pPr>
      <w:r>
        <w:rPr>
          <w:sz w:val="22"/>
          <w:szCs w:val="22"/>
        </w:rPr>
        <w:t>Aktivity, ktoré navrhuje MDVRR SR realizovať v rámci tejto časti OP priamo prispievajú k naplneniu vízie a cieľov dopravného sektora identifikovaných v </w:t>
      </w:r>
      <w:r w:rsidR="00986FA0">
        <w:rPr>
          <w:sz w:val="22"/>
          <w:szCs w:val="22"/>
        </w:rPr>
        <w:t>S</w:t>
      </w:r>
      <w:r>
        <w:rPr>
          <w:sz w:val="22"/>
          <w:szCs w:val="22"/>
        </w:rPr>
        <w:t>trategickom pláne (kap. 4.6). Ide o opatrenia súvisiace so znižovaním vplyvov na životné prostredie.</w:t>
      </w:r>
    </w:p>
    <w:p w:rsidR="00361192" w:rsidRDefault="00361192" w:rsidP="00361192">
      <w:pPr>
        <w:pStyle w:val="Odsekzoznamu"/>
        <w:autoSpaceDE w:val="0"/>
        <w:autoSpaceDN w:val="0"/>
        <w:adjustRightInd w:val="0"/>
        <w:spacing w:before="180" w:after="120"/>
        <w:ind w:left="0"/>
        <w:contextualSpacing w:val="0"/>
        <w:jc w:val="both"/>
        <w:rPr>
          <w:sz w:val="22"/>
          <w:szCs w:val="22"/>
        </w:rPr>
      </w:pPr>
      <w:r w:rsidRPr="005139F6">
        <w:rPr>
          <w:sz w:val="22"/>
          <w:szCs w:val="22"/>
        </w:rPr>
        <w:t>Z</w:t>
      </w:r>
      <w:r>
        <w:rPr>
          <w:sz w:val="22"/>
          <w:szCs w:val="22"/>
        </w:rPr>
        <w:t xml:space="preserve"> pohľadu vplyvov </w:t>
      </w:r>
      <w:r w:rsidRPr="005139F6">
        <w:rPr>
          <w:sz w:val="22"/>
          <w:szCs w:val="22"/>
        </w:rPr>
        <w:t xml:space="preserve">na životné prostredie </w:t>
      </w:r>
      <w:r>
        <w:rPr>
          <w:sz w:val="22"/>
          <w:szCs w:val="22"/>
        </w:rPr>
        <w:t xml:space="preserve">možno </w:t>
      </w:r>
      <w:r w:rsidRPr="005139F6">
        <w:rPr>
          <w:sz w:val="22"/>
          <w:szCs w:val="22"/>
        </w:rPr>
        <w:t>železničn</w:t>
      </w:r>
      <w:r>
        <w:rPr>
          <w:sz w:val="22"/>
          <w:szCs w:val="22"/>
        </w:rPr>
        <w:t>ú</w:t>
      </w:r>
      <w:r w:rsidRPr="005139F6">
        <w:rPr>
          <w:sz w:val="22"/>
          <w:szCs w:val="22"/>
        </w:rPr>
        <w:t xml:space="preserve"> doprav</w:t>
      </w:r>
      <w:r>
        <w:rPr>
          <w:sz w:val="22"/>
          <w:szCs w:val="22"/>
        </w:rPr>
        <w:t>u zaradiť medzi</w:t>
      </w:r>
      <w:r w:rsidRPr="005139F6">
        <w:rPr>
          <w:sz w:val="22"/>
          <w:szCs w:val="22"/>
        </w:rPr>
        <w:t xml:space="preserve"> environmentálne </w:t>
      </w:r>
      <w:r>
        <w:rPr>
          <w:sz w:val="22"/>
          <w:szCs w:val="22"/>
        </w:rPr>
        <w:t>prijateľné módy dopravy.</w:t>
      </w:r>
      <w:r w:rsidRPr="00F72A8E">
        <w:rPr>
          <w:sz w:val="22"/>
          <w:szCs w:val="22"/>
        </w:rPr>
        <w:t xml:space="preserve"> </w:t>
      </w:r>
      <w:r>
        <w:rPr>
          <w:sz w:val="22"/>
          <w:szCs w:val="22"/>
        </w:rPr>
        <w:t>Aj napriek uvedenej skutočnosti, existuje priestor pre ďalšie znižovanie dopadov železničnej dopravy na životné</w:t>
      </w:r>
      <w:r w:rsidRPr="00F72A8E">
        <w:rPr>
          <w:sz w:val="22"/>
          <w:szCs w:val="22"/>
        </w:rPr>
        <w:t xml:space="preserve"> prostredi</w:t>
      </w:r>
      <w:r>
        <w:rPr>
          <w:sz w:val="22"/>
          <w:szCs w:val="22"/>
        </w:rPr>
        <w:t xml:space="preserve">e, a to predovšetkým prostredníctvom opatrení súvisiacich s elektrifikáciou vyťažených železničných tratí. </w:t>
      </w:r>
      <w:r w:rsidRPr="00DA54CE">
        <w:rPr>
          <w:sz w:val="22"/>
          <w:szCs w:val="22"/>
        </w:rPr>
        <w:t>Elektrifikáciou tratí dochádza k znižovaniu závislosti dopravného sektora na ropných produktoch, respektíve zvyšovaní energetickej nezávislosti využitím viacerých zdrojov energie. V priebehu roku 2012 došlo na základe intenzívnej komunikácie MDVRR SR a jednotlivých železničných dopravcov operujúcich na sieti ŽSR k súhrnu potrieb a požiadaviek v nákladnej a osobnej doprave. Zo strany dopravcov bola chýbajúca elektrifikácia niektorých tratí označená ako jeden z najzávažnejších problémov.</w:t>
      </w:r>
      <w:r w:rsidRPr="00B82142">
        <w:rPr>
          <w:sz w:val="22"/>
          <w:szCs w:val="22"/>
        </w:rPr>
        <w:t xml:space="preserve"> </w:t>
      </w:r>
      <w:r w:rsidRPr="00DA54CE">
        <w:rPr>
          <w:sz w:val="22"/>
          <w:szCs w:val="22"/>
        </w:rPr>
        <w:t>Ku koncu roka 201</w:t>
      </w:r>
      <w:r>
        <w:rPr>
          <w:sz w:val="22"/>
          <w:szCs w:val="22"/>
        </w:rPr>
        <w:t>3</w:t>
      </w:r>
      <w:r w:rsidRPr="00DA54CE">
        <w:rPr>
          <w:sz w:val="22"/>
          <w:szCs w:val="22"/>
        </w:rPr>
        <w:t xml:space="preserve"> predstavovala dĺžka prevádzkova</w:t>
      </w:r>
      <w:r>
        <w:rPr>
          <w:sz w:val="22"/>
          <w:szCs w:val="22"/>
        </w:rPr>
        <w:t>ných železničných tratí SR 3 600</w:t>
      </w:r>
      <w:r w:rsidRPr="00DA54CE">
        <w:rPr>
          <w:sz w:val="22"/>
          <w:szCs w:val="22"/>
        </w:rPr>
        <w:t xml:space="preserve"> km, z toho elektrifikovaných bolo 1 5</w:t>
      </w:r>
      <w:r>
        <w:rPr>
          <w:sz w:val="22"/>
          <w:szCs w:val="22"/>
        </w:rPr>
        <w:t>86</w:t>
      </w:r>
      <w:r w:rsidRPr="00DA54CE">
        <w:rPr>
          <w:sz w:val="22"/>
          <w:szCs w:val="22"/>
        </w:rPr>
        <w:t xml:space="preserve"> km tratí, čo tvorí cca 44</w:t>
      </w:r>
      <w:r>
        <w:rPr>
          <w:sz w:val="22"/>
          <w:szCs w:val="22"/>
        </w:rPr>
        <w:t>,06</w:t>
      </w:r>
      <w:r w:rsidRPr="00DA54CE">
        <w:rPr>
          <w:sz w:val="22"/>
          <w:szCs w:val="22"/>
        </w:rPr>
        <w:t xml:space="preserve"> %.</w:t>
      </w:r>
    </w:p>
    <w:p w:rsidR="00336C1F" w:rsidRDefault="00520326" w:rsidP="00BF0317">
      <w:pPr>
        <w:spacing w:before="180" w:after="120"/>
        <w:jc w:val="both"/>
        <w:rPr>
          <w:sz w:val="22"/>
          <w:szCs w:val="22"/>
        </w:rPr>
      </w:pPr>
      <w:r w:rsidRPr="00520326">
        <w:rPr>
          <w:sz w:val="22"/>
          <w:szCs w:val="22"/>
        </w:rPr>
        <w:t xml:space="preserve">Z pohľadu elektrifikácie </w:t>
      </w:r>
      <w:r>
        <w:rPr>
          <w:sz w:val="22"/>
          <w:szCs w:val="22"/>
        </w:rPr>
        <w:t>železničných tratí zaradených v</w:t>
      </w:r>
      <w:r w:rsidR="00966BCE">
        <w:rPr>
          <w:sz w:val="22"/>
          <w:szCs w:val="22"/>
        </w:rPr>
        <w:t> základnej sieti TEN-T je plánované využiť zdroje OPII</w:t>
      </w:r>
      <w:r>
        <w:rPr>
          <w:sz w:val="22"/>
          <w:szCs w:val="22"/>
        </w:rPr>
        <w:t xml:space="preserve"> na spolufinancovanie </w:t>
      </w:r>
      <w:r w:rsidR="00404A68">
        <w:rPr>
          <w:sz w:val="22"/>
          <w:szCs w:val="22"/>
        </w:rPr>
        <w:t xml:space="preserve">projektu elektrifikácie trate v úseku </w:t>
      </w:r>
      <w:r w:rsidR="00404A68" w:rsidRPr="00404A68">
        <w:rPr>
          <w:b/>
          <w:sz w:val="22"/>
          <w:szCs w:val="22"/>
        </w:rPr>
        <w:t>Devínska Nová Ves – Marchegg</w:t>
      </w:r>
      <w:r w:rsidR="00404A68">
        <w:rPr>
          <w:sz w:val="22"/>
          <w:szCs w:val="22"/>
        </w:rPr>
        <w:t>.</w:t>
      </w:r>
    </w:p>
    <w:p w:rsidR="00B12931" w:rsidRPr="00DA54A1" w:rsidRDefault="00B76CC8" w:rsidP="00B76CC8">
      <w:pPr>
        <w:numPr>
          <w:ilvl w:val="2"/>
          <w:numId w:val="21"/>
        </w:numPr>
        <w:tabs>
          <w:tab w:val="clear" w:pos="360"/>
        </w:tabs>
        <w:spacing w:before="180" w:after="120"/>
        <w:ind w:left="851" w:hanging="425"/>
        <w:jc w:val="both"/>
        <w:rPr>
          <w:b/>
          <w:i/>
          <w:color w:val="548DD4" w:themeColor="text2" w:themeTint="99"/>
          <w:sz w:val="22"/>
          <w:szCs w:val="22"/>
        </w:rPr>
      </w:pPr>
      <w:r w:rsidRPr="00DA54A1">
        <w:rPr>
          <w:b/>
          <w:i/>
          <w:color w:val="548DD4" w:themeColor="text2" w:themeTint="99"/>
          <w:sz w:val="22"/>
          <w:szCs w:val="22"/>
        </w:rPr>
        <w:t>Výstavba nových úsekov železničných tratí (v prípade, ak opodstatnenosť výstavby potvrdí relevantná štúdia realizovateľnosti)</w:t>
      </w:r>
    </w:p>
    <w:p w:rsidR="00B76CC8" w:rsidRDefault="00BB5FDC" w:rsidP="00520326">
      <w:pPr>
        <w:spacing w:after="120"/>
        <w:jc w:val="both"/>
        <w:rPr>
          <w:sz w:val="22"/>
          <w:szCs w:val="22"/>
        </w:rPr>
      </w:pPr>
      <w:r w:rsidRPr="00BB5FDC">
        <w:rPr>
          <w:sz w:val="22"/>
          <w:szCs w:val="22"/>
        </w:rPr>
        <w:t xml:space="preserve">V rámci </w:t>
      </w:r>
      <w:r w:rsidR="000C7B2E">
        <w:rPr>
          <w:sz w:val="22"/>
          <w:szCs w:val="22"/>
        </w:rPr>
        <w:t xml:space="preserve">zvyšovania konkurencieschopnosti a využitia nových príležitostí vo verejnej </w:t>
      </w:r>
      <w:r w:rsidR="00434EDE">
        <w:rPr>
          <w:sz w:val="22"/>
          <w:szCs w:val="22"/>
        </w:rPr>
        <w:t xml:space="preserve">železničnej </w:t>
      </w:r>
      <w:r w:rsidR="000C7B2E">
        <w:rPr>
          <w:sz w:val="22"/>
          <w:szCs w:val="22"/>
        </w:rPr>
        <w:t xml:space="preserve">osobnej doprave je vhodné preveriť nové osi. Ide o nové železničné prepojenia v oblastiach, kde </w:t>
      </w:r>
      <w:r w:rsidR="00434EDE">
        <w:rPr>
          <w:sz w:val="22"/>
          <w:szCs w:val="22"/>
        </w:rPr>
        <w:t>je </w:t>
      </w:r>
      <w:r w:rsidR="005F08B8">
        <w:rPr>
          <w:sz w:val="22"/>
          <w:szCs w:val="22"/>
        </w:rPr>
        <w:t>potenciál na prevzatie vyšších prepravných záťaží predovšetkým v prímestskej a medziregionálnej osobnej doprave.</w:t>
      </w:r>
      <w:r w:rsidR="009D4096">
        <w:rPr>
          <w:sz w:val="22"/>
          <w:szCs w:val="22"/>
        </w:rPr>
        <w:t xml:space="preserve"> Na základe analýzy prepravných vzťahov bolo v Strategickom pláne rozvoja dopravnej infraštruktúry SR do roku 2020 odporúčané preveriť formou štúdie realizovateľnosti priame železničné spojenie v smere Bratislava –</w:t>
      </w:r>
      <w:r w:rsidR="00434EDE">
        <w:rPr>
          <w:sz w:val="22"/>
          <w:szCs w:val="22"/>
        </w:rPr>
        <w:t xml:space="preserve"> Nitra. Predpokladá sa, že z veľkej časti by boli využité existujúce traťové úseky. Ako ďalší projekt je možné spomenúť zámer vybudovať vysokorýchlostné prepojenie Bratislavy s hlavnými mestami Francúzska, Rakúska a Maďarska.</w:t>
      </w:r>
      <w:r w:rsidR="00520326">
        <w:rPr>
          <w:sz w:val="22"/>
          <w:szCs w:val="22"/>
        </w:rPr>
        <w:t xml:space="preserve"> Preskúmanie trasy aj prípadná výstavba je plánovaná zo zdrojov NPE.</w:t>
      </w:r>
    </w:p>
    <w:p w:rsidR="00336C1F" w:rsidRPr="00DA54A1" w:rsidRDefault="00B12931" w:rsidP="00B12931">
      <w:pPr>
        <w:numPr>
          <w:ilvl w:val="2"/>
          <w:numId w:val="21"/>
        </w:numPr>
        <w:tabs>
          <w:tab w:val="clear" w:pos="360"/>
        </w:tabs>
        <w:spacing w:before="180" w:after="120"/>
        <w:ind w:left="851" w:hanging="425"/>
        <w:jc w:val="both"/>
        <w:rPr>
          <w:b/>
          <w:i/>
          <w:color w:val="548DD4" w:themeColor="text2" w:themeTint="99"/>
          <w:sz w:val="22"/>
          <w:szCs w:val="22"/>
        </w:rPr>
      </w:pPr>
      <w:r w:rsidRPr="00DA54A1">
        <w:rPr>
          <w:b/>
          <w:i/>
          <w:color w:val="548DD4" w:themeColor="text2" w:themeTint="99"/>
          <w:sz w:val="22"/>
          <w:szCs w:val="22"/>
        </w:rPr>
        <w:t>Výstavba terminálov intermodálnej prepravy (v prípade, ak budú vytvorené vhodné trhové podmienky)</w:t>
      </w:r>
    </w:p>
    <w:p w:rsidR="00B12931" w:rsidRDefault="00B12931" w:rsidP="00434EDE">
      <w:pPr>
        <w:jc w:val="both"/>
        <w:rPr>
          <w:sz w:val="22"/>
          <w:szCs w:val="22"/>
        </w:rPr>
      </w:pPr>
      <w:r w:rsidRPr="00FE75AD">
        <w:rPr>
          <w:sz w:val="22"/>
          <w:szCs w:val="22"/>
        </w:rPr>
        <w:t>Popri modernizácii železničných tratí je ďalšou príležitosťou pre rozvoj železničnej infraštruktúry a</w:t>
      </w:r>
      <w:r>
        <w:rPr>
          <w:sz w:val="22"/>
          <w:szCs w:val="22"/>
        </w:rPr>
        <w:t> </w:t>
      </w:r>
      <w:r w:rsidRPr="00FE75AD">
        <w:rPr>
          <w:sz w:val="22"/>
          <w:szCs w:val="22"/>
        </w:rPr>
        <w:t>zvýšenie využitia jej kapacity</w:t>
      </w:r>
      <w:r w:rsidR="00D21821">
        <w:rPr>
          <w:sz w:val="22"/>
          <w:szCs w:val="22"/>
        </w:rPr>
        <w:t xml:space="preserve"> aj</w:t>
      </w:r>
      <w:r w:rsidRPr="00FE75AD">
        <w:rPr>
          <w:sz w:val="22"/>
          <w:szCs w:val="22"/>
        </w:rPr>
        <w:t xml:space="preserve"> rozvoj kombinovanej dopravy. To </w:t>
      </w:r>
      <w:r>
        <w:rPr>
          <w:sz w:val="22"/>
          <w:szCs w:val="22"/>
        </w:rPr>
        <w:t>si</w:t>
      </w:r>
      <w:r w:rsidRPr="00FE75AD">
        <w:rPr>
          <w:sz w:val="22"/>
          <w:szCs w:val="22"/>
        </w:rPr>
        <w:t xml:space="preserve"> vyžaduje vybudovanie </w:t>
      </w:r>
      <w:r w:rsidR="00034834">
        <w:rPr>
          <w:sz w:val="22"/>
          <w:szCs w:val="22"/>
        </w:rPr>
        <w:t xml:space="preserve">kapacitne </w:t>
      </w:r>
      <w:r w:rsidRPr="00FE75AD">
        <w:rPr>
          <w:sz w:val="22"/>
          <w:szCs w:val="22"/>
        </w:rPr>
        <w:t xml:space="preserve">dostatočne </w:t>
      </w:r>
      <w:r w:rsidR="00034834">
        <w:rPr>
          <w:sz w:val="22"/>
          <w:szCs w:val="22"/>
        </w:rPr>
        <w:t>veľkých</w:t>
      </w:r>
      <w:r w:rsidRPr="00FE75AD">
        <w:rPr>
          <w:sz w:val="22"/>
          <w:szCs w:val="22"/>
        </w:rPr>
        <w:t xml:space="preserve"> kontajnerových terminálov pre pokrytie rastúcich objemov v</w:t>
      </w:r>
      <w:r>
        <w:rPr>
          <w:sz w:val="22"/>
          <w:szCs w:val="22"/>
        </w:rPr>
        <w:t> </w:t>
      </w:r>
      <w:r w:rsidRPr="00FE75AD">
        <w:rPr>
          <w:sz w:val="22"/>
          <w:szCs w:val="22"/>
        </w:rPr>
        <w:t xml:space="preserve">tejto </w:t>
      </w:r>
      <w:r w:rsidRPr="00FE75AD">
        <w:rPr>
          <w:sz w:val="22"/>
          <w:szCs w:val="22"/>
        </w:rPr>
        <w:lastRenderedPageBreak/>
        <w:t>doprave a</w:t>
      </w:r>
      <w:r w:rsidR="00724E8C">
        <w:rPr>
          <w:sz w:val="22"/>
          <w:szCs w:val="22"/>
        </w:rPr>
        <w:t> zabezpečenie pripravenosti</w:t>
      </w:r>
      <w:r w:rsidRPr="00FE75AD">
        <w:rPr>
          <w:sz w:val="22"/>
          <w:szCs w:val="22"/>
        </w:rPr>
        <w:t xml:space="preserve"> pre prípadný rast kontinentálnej dopravy s</w:t>
      </w:r>
      <w:r>
        <w:rPr>
          <w:sz w:val="22"/>
          <w:szCs w:val="22"/>
        </w:rPr>
        <w:t> </w:t>
      </w:r>
      <w:r w:rsidRPr="00FE75AD">
        <w:rPr>
          <w:sz w:val="22"/>
          <w:szCs w:val="22"/>
        </w:rPr>
        <w:t>vyhliadkou možnosti rastu priamej kontinentálnej dopravy Ázia – EÚ.</w:t>
      </w:r>
    </w:p>
    <w:p w:rsidR="00B12931" w:rsidRPr="00B12931" w:rsidRDefault="00B12931" w:rsidP="00DA54A1">
      <w:pPr>
        <w:spacing w:before="180"/>
        <w:jc w:val="both"/>
        <w:rPr>
          <w:sz w:val="22"/>
          <w:szCs w:val="22"/>
        </w:rPr>
      </w:pPr>
      <w:r w:rsidRPr="00FE75AD">
        <w:rPr>
          <w:sz w:val="22"/>
          <w:szCs w:val="22"/>
        </w:rPr>
        <w:t>Dlhodobým c</w:t>
      </w:r>
      <w:r w:rsidRPr="00FE75AD">
        <w:rPr>
          <w:sz w:val="22"/>
          <w:szCs w:val="22"/>
          <w:lang w:eastAsia="cs-CZ"/>
        </w:rPr>
        <w:t xml:space="preserve">ieľom </w:t>
      </w:r>
      <w:r>
        <w:rPr>
          <w:sz w:val="22"/>
          <w:szCs w:val="22"/>
          <w:lang w:eastAsia="cs-CZ"/>
        </w:rPr>
        <w:t xml:space="preserve">MDVRR SR je výstavba </w:t>
      </w:r>
      <w:r w:rsidRPr="00FE75AD">
        <w:rPr>
          <w:sz w:val="22"/>
          <w:szCs w:val="22"/>
          <w:lang w:eastAsia="cs-CZ"/>
        </w:rPr>
        <w:t xml:space="preserve">základnej siete </w:t>
      </w:r>
      <w:r>
        <w:rPr>
          <w:sz w:val="22"/>
          <w:szCs w:val="22"/>
          <w:lang w:eastAsia="cs-CZ"/>
        </w:rPr>
        <w:t xml:space="preserve">verejných </w:t>
      </w:r>
      <w:r w:rsidRPr="00FE75AD">
        <w:rPr>
          <w:sz w:val="22"/>
          <w:szCs w:val="22"/>
          <w:lang w:eastAsia="cs-CZ"/>
        </w:rPr>
        <w:t>terminálov</w:t>
      </w:r>
      <w:r>
        <w:rPr>
          <w:sz w:val="22"/>
          <w:szCs w:val="22"/>
          <w:lang w:eastAsia="cs-CZ"/>
        </w:rPr>
        <w:t xml:space="preserve"> intermodálnej prepravy s cieľom</w:t>
      </w:r>
      <w:r w:rsidRPr="00FE75AD">
        <w:rPr>
          <w:sz w:val="22"/>
          <w:szCs w:val="22"/>
          <w:lang w:eastAsia="cs-CZ"/>
        </w:rPr>
        <w:t xml:space="preserve"> zlepšiť prístup ku kvalitným terminálovým a</w:t>
      </w:r>
      <w:r>
        <w:rPr>
          <w:sz w:val="22"/>
          <w:szCs w:val="22"/>
          <w:lang w:eastAsia="cs-CZ"/>
        </w:rPr>
        <w:t> </w:t>
      </w:r>
      <w:r w:rsidRPr="00FE75AD">
        <w:rPr>
          <w:sz w:val="22"/>
          <w:szCs w:val="22"/>
          <w:lang w:eastAsia="cs-CZ"/>
        </w:rPr>
        <w:t xml:space="preserve">logistickým službám. </w:t>
      </w:r>
      <w:r>
        <w:rPr>
          <w:sz w:val="22"/>
          <w:szCs w:val="22"/>
        </w:rPr>
        <w:t xml:space="preserve">Na základe Rozhodnutia EK (2013) 4423 zo dňa 17.7.2013 o štátnej pomoci SA.34369 – 2013/C Výstavba a prevádzka verejných terminálov intermodálnej dopravy vyplýva, že </w:t>
      </w:r>
      <w:r w:rsidRPr="00B12931">
        <w:rPr>
          <w:b/>
          <w:sz w:val="22"/>
          <w:szCs w:val="22"/>
        </w:rPr>
        <w:t>otázku budovania verejných terminálov na území SR bude možné opätovne otvoriť až po roku 2018, kedy MDVRR SR pripraví novú analýzu možností výstavby verejných terminálov intermodálnej prepravy. Poskytnutie verejnej finančnej pomoci pri výstavbe</w:t>
      </w:r>
      <w:r w:rsidR="00225F13">
        <w:rPr>
          <w:b/>
          <w:sz w:val="22"/>
          <w:szCs w:val="22"/>
        </w:rPr>
        <w:t xml:space="preserve"> ďalších</w:t>
      </w:r>
      <w:r w:rsidRPr="005F4E48">
        <w:rPr>
          <w:sz w:val="22"/>
          <w:szCs w:val="22"/>
        </w:rPr>
        <w:t xml:space="preserve"> </w:t>
      </w:r>
      <w:r w:rsidRPr="00B12931">
        <w:rPr>
          <w:b/>
          <w:sz w:val="22"/>
          <w:szCs w:val="22"/>
        </w:rPr>
        <w:t>terminálov v budúcnosti bude podmienené novým rozhodnutím Komisie o štátnej pomoci.</w:t>
      </w:r>
    </w:p>
    <w:p w:rsidR="00B12931" w:rsidRPr="00DA54A1" w:rsidRDefault="00B12931" w:rsidP="00B12931">
      <w:pPr>
        <w:numPr>
          <w:ilvl w:val="2"/>
          <w:numId w:val="21"/>
        </w:numPr>
        <w:tabs>
          <w:tab w:val="clear" w:pos="360"/>
        </w:tabs>
        <w:spacing w:before="180" w:after="120"/>
        <w:ind w:left="851" w:hanging="425"/>
        <w:jc w:val="both"/>
        <w:rPr>
          <w:b/>
          <w:i/>
          <w:color w:val="548DD4" w:themeColor="text2" w:themeTint="99"/>
          <w:sz w:val="22"/>
          <w:szCs w:val="22"/>
        </w:rPr>
      </w:pPr>
      <w:r w:rsidRPr="00DA54A1">
        <w:rPr>
          <w:b/>
          <w:i/>
          <w:color w:val="548DD4" w:themeColor="text2" w:themeTint="99"/>
          <w:sz w:val="22"/>
          <w:szCs w:val="22"/>
        </w:rPr>
        <w:t>Projektová príprava</w:t>
      </w:r>
    </w:p>
    <w:p w:rsidR="00BD39A7" w:rsidRDefault="00BD39A7" w:rsidP="008A4F0B">
      <w:pPr>
        <w:spacing w:after="120"/>
        <w:jc w:val="both"/>
        <w:rPr>
          <w:sz w:val="22"/>
          <w:szCs w:val="22"/>
        </w:rPr>
      </w:pPr>
      <w:r>
        <w:rPr>
          <w:sz w:val="22"/>
          <w:szCs w:val="22"/>
        </w:rPr>
        <w:t>Súčasný stav projektovej prípravy investičných stavieb je možné označiť ak</w:t>
      </w:r>
      <w:r w:rsidR="00724E8C">
        <w:rPr>
          <w:sz w:val="22"/>
          <w:szCs w:val="22"/>
        </w:rPr>
        <w:t>o prierezový problém systémového charakteru</w:t>
      </w:r>
      <w:r>
        <w:rPr>
          <w:sz w:val="22"/>
          <w:szCs w:val="22"/>
        </w:rPr>
        <w:t>.</w:t>
      </w:r>
    </w:p>
    <w:p w:rsidR="00B12931" w:rsidRDefault="008A4F0B" w:rsidP="00D24CAC">
      <w:pPr>
        <w:spacing w:after="180"/>
        <w:jc w:val="both"/>
        <w:rPr>
          <w:b/>
          <w:sz w:val="22"/>
          <w:szCs w:val="22"/>
        </w:rPr>
      </w:pPr>
      <w:r>
        <w:rPr>
          <w:sz w:val="22"/>
          <w:szCs w:val="22"/>
        </w:rPr>
        <w:t xml:space="preserve">V súvislosti s prípravou rezortu na čerpanie fondov EÚ v programovom období 2014 – 2020 v oblasti železníc je potrebné uviesť, že táto oblasť </w:t>
      </w:r>
      <w:r w:rsidR="00337C4C">
        <w:rPr>
          <w:sz w:val="22"/>
          <w:szCs w:val="22"/>
        </w:rPr>
        <w:t>kvalitatívne</w:t>
      </w:r>
      <w:r>
        <w:rPr>
          <w:sz w:val="22"/>
          <w:szCs w:val="22"/>
        </w:rPr>
        <w:t xml:space="preserve"> zaostáva za </w:t>
      </w:r>
      <w:r w:rsidR="00337C4C">
        <w:rPr>
          <w:sz w:val="22"/>
          <w:szCs w:val="22"/>
        </w:rPr>
        <w:t>s</w:t>
      </w:r>
      <w:r w:rsidR="00CC2391">
        <w:rPr>
          <w:sz w:val="22"/>
          <w:szCs w:val="22"/>
        </w:rPr>
        <w:t>tavom, ktorý bol dosiahnutý pri </w:t>
      </w:r>
      <w:r w:rsidR="00337C4C">
        <w:rPr>
          <w:sz w:val="22"/>
          <w:szCs w:val="22"/>
        </w:rPr>
        <w:t>cestnej doprave.</w:t>
      </w:r>
      <w:r>
        <w:rPr>
          <w:sz w:val="22"/>
          <w:szCs w:val="22"/>
        </w:rPr>
        <w:t xml:space="preserve"> </w:t>
      </w:r>
      <w:r w:rsidR="00337C4C">
        <w:rPr>
          <w:sz w:val="22"/>
          <w:szCs w:val="22"/>
        </w:rPr>
        <w:t>Podstatná časť prípravy</w:t>
      </w:r>
      <w:r w:rsidR="006C3A0D">
        <w:rPr>
          <w:sz w:val="22"/>
          <w:szCs w:val="22"/>
        </w:rPr>
        <w:t xml:space="preserve"> železničných stavieb</w:t>
      </w:r>
      <w:r w:rsidR="00337C4C">
        <w:rPr>
          <w:sz w:val="22"/>
          <w:szCs w:val="22"/>
        </w:rPr>
        <w:t xml:space="preserve"> začatá v programovom období 2007 – 2013 bola v priebehu obdobia pozastavená. Dôvodom je skutočnosť, že na základe požiadavky EK </w:t>
      </w:r>
      <w:r w:rsidR="00CC2391">
        <w:rPr>
          <w:sz w:val="22"/>
          <w:szCs w:val="22"/>
        </w:rPr>
        <w:t xml:space="preserve">sledujúc zabezpečenie nákladovo-efektívneho vynakladania zdrojov, </w:t>
      </w:r>
      <w:r w:rsidR="00337C4C">
        <w:rPr>
          <w:sz w:val="22"/>
          <w:szCs w:val="22"/>
        </w:rPr>
        <w:t xml:space="preserve">bolo potrebné opätovne posúdiť dopravno-prepravný potenciál </w:t>
      </w:r>
      <w:r w:rsidR="00CC2391">
        <w:rPr>
          <w:sz w:val="22"/>
          <w:szCs w:val="22"/>
        </w:rPr>
        <w:t xml:space="preserve">koridoru </w:t>
      </w:r>
      <w:r w:rsidR="00AD2615">
        <w:rPr>
          <w:sz w:val="22"/>
          <w:szCs w:val="22"/>
        </w:rPr>
        <w:t xml:space="preserve">č. </w:t>
      </w:r>
      <w:r w:rsidR="00CC2391">
        <w:rPr>
          <w:sz w:val="22"/>
          <w:szCs w:val="22"/>
        </w:rPr>
        <w:t>V</w:t>
      </w:r>
      <w:r w:rsidR="00AD2615">
        <w:rPr>
          <w:sz w:val="22"/>
          <w:szCs w:val="22"/>
        </w:rPr>
        <w:t>a</w:t>
      </w:r>
      <w:r w:rsidR="00CC2391">
        <w:rPr>
          <w:sz w:val="22"/>
          <w:szCs w:val="22"/>
        </w:rPr>
        <w:t xml:space="preserve"> </w:t>
      </w:r>
      <w:r w:rsidR="00337C4C">
        <w:rPr>
          <w:sz w:val="22"/>
          <w:szCs w:val="22"/>
        </w:rPr>
        <w:t>formou spracovania aktualizácie štúdie realizovateľnosti</w:t>
      </w:r>
      <w:r w:rsidR="006C3A0D" w:rsidRPr="006C3A0D">
        <w:rPr>
          <w:sz w:val="22"/>
          <w:szCs w:val="22"/>
        </w:rPr>
        <w:t xml:space="preserve"> </w:t>
      </w:r>
      <w:r w:rsidR="006C3A0D">
        <w:rPr>
          <w:sz w:val="22"/>
          <w:szCs w:val="22"/>
        </w:rPr>
        <w:t>v smere Žilina – Košice – št. hr. SR/Ukrajina</w:t>
      </w:r>
      <w:r w:rsidR="00337C4C">
        <w:rPr>
          <w:sz w:val="22"/>
          <w:szCs w:val="22"/>
        </w:rPr>
        <w:t>.</w:t>
      </w:r>
      <w:r w:rsidR="006C3A0D">
        <w:rPr>
          <w:sz w:val="22"/>
          <w:szCs w:val="22"/>
        </w:rPr>
        <w:t xml:space="preserve"> Z tohto dôvodu pri väčšine koridorových</w:t>
      </w:r>
      <w:r>
        <w:rPr>
          <w:sz w:val="22"/>
          <w:szCs w:val="22"/>
        </w:rPr>
        <w:t xml:space="preserve"> </w:t>
      </w:r>
      <w:r w:rsidR="006C3A0D">
        <w:rPr>
          <w:sz w:val="22"/>
          <w:szCs w:val="22"/>
        </w:rPr>
        <w:t>stavieb</w:t>
      </w:r>
      <w:r w:rsidR="00337C4C">
        <w:rPr>
          <w:sz w:val="22"/>
          <w:szCs w:val="22"/>
        </w:rPr>
        <w:t xml:space="preserve"> </w:t>
      </w:r>
      <w:r w:rsidR="00A17295">
        <w:rPr>
          <w:sz w:val="22"/>
          <w:szCs w:val="22"/>
        </w:rPr>
        <w:t xml:space="preserve">bude </w:t>
      </w:r>
      <w:r w:rsidR="0033570B">
        <w:rPr>
          <w:sz w:val="22"/>
          <w:szCs w:val="22"/>
        </w:rPr>
        <w:t xml:space="preserve">nutné </w:t>
      </w:r>
      <w:r w:rsidR="006C3A0D">
        <w:rPr>
          <w:sz w:val="22"/>
          <w:szCs w:val="22"/>
        </w:rPr>
        <w:t>v ďalšom období obstarať</w:t>
      </w:r>
      <w:r w:rsidR="00337C4C">
        <w:rPr>
          <w:sz w:val="22"/>
          <w:szCs w:val="22"/>
        </w:rPr>
        <w:t xml:space="preserve"> „</w:t>
      </w:r>
      <w:r w:rsidR="006C3A0D">
        <w:rPr>
          <w:sz w:val="22"/>
          <w:szCs w:val="22"/>
        </w:rPr>
        <w:t>vyššie</w:t>
      </w:r>
      <w:r w:rsidR="00337C4C">
        <w:rPr>
          <w:sz w:val="22"/>
          <w:szCs w:val="22"/>
        </w:rPr>
        <w:t>“ stup</w:t>
      </w:r>
      <w:r w:rsidR="006C3A0D">
        <w:rPr>
          <w:sz w:val="22"/>
          <w:szCs w:val="22"/>
        </w:rPr>
        <w:t>ne dokumentácie a</w:t>
      </w:r>
      <w:r w:rsidR="0033570B">
        <w:rPr>
          <w:sz w:val="22"/>
          <w:szCs w:val="22"/>
        </w:rPr>
        <w:t> </w:t>
      </w:r>
      <w:r w:rsidR="006C3A0D">
        <w:rPr>
          <w:sz w:val="22"/>
          <w:szCs w:val="22"/>
        </w:rPr>
        <w:t>zároveň</w:t>
      </w:r>
      <w:r w:rsidR="0033570B">
        <w:rPr>
          <w:sz w:val="22"/>
          <w:szCs w:val="22"/>
        </w:rPr>
        <w:t>,</w:t>
      </w:r>
      <w:r w:rsidR="006C3A0D">
        <w:rPr>
          <w:sz w:val="22"/>
          <w:szCs w:val="22"/>
        </w:rPr>
        <w:t xml:space="preserve"> pri už </w:t>
      </w:r>
      <w:r w:rsidR="00337C4C">
        <w:rPr>
          <w:sz w:val="22"/>
          <w:szCs w:val="22"/>
        </w:rPr>
        <w:t>dosiahnutých stupňoch</w:t>
      </w:r>
      <w:r w:rsidR="0033570B">
        <w:rPr>
          <w:sz w:val="22"/>
          <w:szCs w:val="22"/>
        </w:rPr>
        <w:t>,</w:t>
      </w:r>
      <w:r w:rsidR="00337C4C">
        <w:rPr>
          <w:sz w:val="22"/>
          <w:szCs w:val="22"/>
        </w:rPr>
        <w:t xml:space="preserve"> </w:t>
      </w:r>
      <w:r w:rsidR="00A17295">
        <w:rPr>
          <w:sz w:val="22"/>
          <w:szCs w:val="22"/>
        </w:rPr>
        <w:t xml:space="preserve">pravdepodobne zabezpečiť </w:t>
      </w:r>
      <w:r w:rsidR="00337C4C">
        <w:rPr>
          <w:sz w:val="22"/>
          <w:szCs w:val="22"/>
        </w:rPr>
        <w:t>ich aktualizáci</w:t>
      </w:r>
      <w:r w:rsidR="00A17295">
        <w:rPr>
          <w:sz w:val="22"/>
          <w:szCs w:val="22"/>
        </w:rPr>
        <w:t>u</w:t>
      </w:r>
      <w:r w:rsidR="00337C4C">
        <w:rPr>
          <w:sz w:val="22"/>
          <w:szCs w:val="22"/>
        </w:rPr>
        <w:t>.</w:t>
      </w:r>
      <w:r w:rsidR="006C3A0D">
        <w:rPr>
          <w:sz w:val="22"/>
          <w:szCs w:val="22"/>
        </w:rPr>
        <w:t xml:space="preserve"> Skrytý dlh v oblasti projektovej prípravy železničných projektov a horšia pozícia v absorpčnej kapacite boli taktiež jedným z dôvodov rozdelenia alokácie medzi prioritné osi. </w:t>
      </w:r>
      <w:r w:rsidR="006C3A0D" w:rsidRPr="006C3A0D">
        <w:rPr>
          <w:b/>
          <w:sz w:val="22"/>
          <w:szCs w:val="22"/>
        </w:rPr>
        <w:t>Na základe uvedeného bude</w:t>
      </w:r>
      <w:r w:rsidRPr="006C3A0D">
        <w:rPr>
          <w:b/>
          <w:sz w:val="22"/>
          <w:szCs w:val="22"/>
        </w:rPr>
        <w:t xml:space="preserve"> náležitá pozornosť i zdroje venované predprojektovej a projektovej príprave </w:t>
      </w:r>
      <w:r w:rsidR="00A82CE4">
        <w:rPr>
          <w:b/>
          <w:sz w:val="22"/>
          <w:szCs w:val="22"/>
        </w:rPr>
        <w:t>železničných</w:t>
      </w:r>
      <w:r w:rsidRPr="006C3A0D">
        <w:rPr>
          <w:b/>
          <w:sz w:val="22"/>
          <w:szCs w:val="22"/>
        </w:rPr>
        <w:t xml:space="preserve"> stavieb</w:t>
      </w:r>
      <w:r w:rsidR="00A82CE4">
        <w:rPr>
          <w:b/>
          <w:sz w:val="22"/>
          <w:szCs w:val="22"/>
        </w:rPr>
        <w:t>.</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289"/>
        <w:gridCol w:w="5783"/>
      </w:tblGrid>
      <w:tr w:rsidR="00293C83" w:rsidTr="00532DA2">
        <w:trPr>
          <w:trHeight w:val="340"/>
          <w:jc w:val="center"/>
        </w:trPr>
        <w:tc>
          <w:tcPr>
            <w:tcW w:w="3289" w:type="dxa"/>
            <w:shd w:val="clear" w:color="auto" w:fill="DBE5F1" w:themeFill="accent1" w:themeFillTint="33"/>
            <w:vAlign w:val="center"/>
          </w:tcPr>
          <w:p w:rsidR="00293C83" w:rsidRPr="009553A0" w:rsidRDefault="00293C83" w:rsidP="00532DA2">
            <w:pPr>
              <w:autoSpaceDE w:val="0"/>
              <w:autoSpaceDN w:val="0"/>
              <w:adjustRightInd w:val="0"/>
              <w:ind w:left="0"/>
              <w:rPr>
                <w:i/>
                <w:sz w:val="22"/>
                <w:szCs w:val="22"/>
              </w:rPr>
            </w:pPr>
            <w:r w:rsidRPr="009553A0">
              <w:rPr>
                <w:i/>
                <w:sz w:val="22"/>
                <w:szCs w:val="22"/>
              </w:rPr>
              <w:t>Cieľové skupiny:</w:t>
            </w:r>
          </w:p>
        </w:tc>
        <w:tc>
          <w:tcPr>
            <w:tcW w:w="5783" w:type="dxa"/>
            <w:vAlign w:val="center"/>
          </w:tcPr>
          <w:p w:rsidR="00293C83" w:rsidRPr="00B12931" w:rsidRDefault="00293C83" w:rsidP="00532DA2">
            <w:pPr>
              <w:pStyle w:val="Odsekzoznamu"/>
              <w:numPr>
                <w:ilvl w:val="0"/>
                <w:numId w:val="28"/>
              </w:numPr>
              <w:autoSpaceDE w:val="0"/>
              <w:autoSpaceDN w:val="0"/>
              <w:adjustRightInd w:val="0"/>
              <w:ind w:left="284" w:hanging="284"/>
              <w:rPr>
                <w:sz w:val="22"/>
                <w:szCs w:val="22"/>
              </w:rPr>
            </w:pPr>
            <w:r>
              <w:rPr>
                <w:sz w:val="22"/>
                <w:szCs w:val="22"/>
              </w:rPr>
              <w:t>široká verejnosť</w:t>
            </w:r>
          </w:p>
        </w:tc>
      </w:tr>
      <w:tr w:rsidR="00293C83" w:rsidTr="00532DA2">
        <w:trPr>
          <w:trHeight w:val="340"/>
          <w:jc w:val="center"/>
        </w:trPr>
        <w:tc>
          <w:tcPr>
            <w:tcW w:w="3289" w:type="dxa"/>
            <w:shd w:val="clear" w:color="auto" w:fill="DBE5F1" w:themeFill="accent1" w:themeFillTint="33"/>
            <w:vAlign w:val="center"/>
          </w:tcPr>
          <w:p w:rsidR="00293C83" w:rsidRPr="009553A0" w:rsidRDefault="00293C83" w:rsidP="00532DA2">
            <w:pPr>
              <w:autoSpaceDE w:val="0"/>
              <w:autoSpaceDN w:val="0"/>
              <w:adjustRightInd w:val="0"/>
              <w:ind w:left="0"/>
              <w:rPr>
                <w:i/>
                <w:sz w:val="22"/>
                <w:szCs w:val="22"/>
              </w:rPr>
            </w:pPr>
            <w:r w:rsidRPr="009553A0">
              <w:rPr>
                <w:i/>
                <w:sz w:val="22"/>
                <w:szCs w:val="22"/>
              </w:rPr>
              <w:t>Cieľové územia:</w:t>
            </w:r>
          </w:p>
        </w:tc>
        <w:tc>
          <w:tcPr>
            <w:tcW w:w="5783" w:type="dxa"/>
            <w:vAlign w:val="center"/>
          </w:tcPr>
          <w:p w:rsidR="00293C83" w:rsidRDefault="00293C83" w:rsidP="00532DA2">
            <w:pPr>
              <w:pStyle w:val="Odsekzoznamu"/>
              <w:numPr>
                <w:ilvl w:val="0"/>
                <w:numId w:val="28"/>
              </w:numPr>
              <w:autoSpaceDE w:val="0"/>
              <w:autoSpaceDN w:val="0"/>
              <w:adjustRightInd w:val="0"/>
              <w:ind w:left="284" w:hanging="284"/>
              <w:rPr>
                <w:sz w:val="22"/>
                <w:szCs w:val="22"/>
              </w:rPr>
            </w:pPr>
            <w:r>
              <w:rPr>
                <w:sz w:val="22"/>
                <w:szCs w:val="22"/>
              </w:rPr>
              <w:t>NUTS 1 (celé územie SR)</w:t>
            </w:r>
          </w:p>
        </w:tc>
      </w:tr>
      <w:tr w:rsidR="00293C83" w:rsidTr="00532DA2">
        <w:trPr>
          <w:trHeight w:val="340"/>
          <w:jc w:val="center"/>
        </w:trPr>
        <w:tc>
          <w:tcPr>
            <w:tcW w:w="3289" w:type="dxa"/>
            <w:shd w:val="clear" w:color="auto" w:fill="DBE5F1" w:themeFill="accent1" w:themeFillTint="33"/>
            <w:vAlign w:val="center"/>
          </w:tcPr>
          <w:p w:rsidR="00293C83" w:rsidRPr="009553A0" w:rsidRDefault="00293C83" w:rsidP="00532DA2">
            <w:pPr>
              <w:autoSpaceDE w:val="0"/>
              <w:autoSpaceDN w:val="0"/>
              <w:adjustRightInd w:val="0"/>
              <w:ind w:left="0"/>
              <w:rPr>
                <w:i/>
                <w:sz w:val="22"/>
                <w:szCs w:val="22"/>
              </w:rPr>
            </w:pPr>
            <w:r w:rsidRPr="009553A0">
              <w:rPr>
                <w:i/>
                <w:sz w:val="22"/>
                <w:szCs w:val="22"/>
              </w:rPr>
              <w:t>Prijímatelia:</w:t>
            </w:r>
          </w:p>
        </w:tc>
        <w:tc>
          <w:tcPr>
            <w:tcW w:w="5783" w:type="dxa"/>
            <w:vAlign w:val="center"/>
          </w:tcPr>
          <w:p w:rsidR="00293C83" w:rsidRPr="00C26329" w:rsidRDefault="00293C83" w:rsidP="00532DA2">
            <w:pPr>
              <w:pStyle w:val="Odsekzoznamu"/>
              <w:numPr>
                <w:ilvl w:val="0"/>
                <w:numId w:val="28"/>
              </w:numPr>
              <w:autoSpaceDE w:val="0"/>
              <w:autoSpaceDN w:val="0"/>
              <w:adjustRightInd w:val="0"/>
              <w:ind w:left="284" w:hanging="284"/>
              <w:rPr>
                <w:sz w:val="22"/>
                <w:szCs w:val="22"/>
              </w:rPr>
            </w:pPr>
            <w:r>
              <w:rPr>
                <w:sz w:val="22"/>
                <w:szCs w:val="22"/>
              </w:rPr>
              <w:t>Železnice Slovenskej republiky</w:t>
            </w:r>
          </w:p>
        </w:tc>
      </w:tr>
    </w:tbl>
    <w:p w:rsidR="00D844EF" w:rsidRDefault="00860925" w:rsidP="001B225C">
      <w:pPr>
        <w:spacing w:before="180" w:after="120"/>
        <w:rPr>
          <w:sz w:val="22"/>
          <w:szCs w:val="22"/>
          <w:u w:val="single"/>
        </w:rPr>
      </w:pPr>
      <w:r w:rsidRPr="00860925">
        <w:rPr>
          <w:sz w:val="22"/>
          <w:szCs w:val="22"/>
          <w:u w:val="single"/>
        </w:rPr>
        <w:t xml:space="preserve">Investičná priorita </w:t>
      </w:r>
      <w:r>
        <w:rPr>
          <w:sz w:val="22"/>
          <w:szCs w:val="22"/>
          <w:u w:val="single"/>
        </w:rPr>
        <w:t xml:space="preserve">7d) </w:t>
      </w:r>
      <w:r w:rsidRPr="00860925">
        <w:rPr>
          <w:sz w:val="22"/>
          <w:szCs w:val="22"/>
          <w:u w:val="single"/>
        </w:rPr>
        <w:t>bude napĺňaná prostredníctvom nasledujúcich aktivít:</w:t>
      </w:r>
    </w:p>
    <w:p w:rsidR="001B225C" w:rsidRDefault="00A80038" w:rsidP="00FE6025">
      <w:pPr>
        <w:numPr>
          <w:ilvl w:val="2"/>
          <w:numId w:val="54"/>
        </w:numPr>
        <w:tabs>
          <w:tab w:val="clear" w:pos="360"/>
        </w:tabs>
        <w:ind w:left="426" w:hanging="426"/>
        <w:jc w:val="both"/>
        <w:rPr>
          <w:sz w:val="22"/>
          <w:szCs w:val="22"/>
        </w:rPr>
      </w:pPr>
      <w:r w:rsidRPr="00C40F2A">
        <w:rPr>
          <w:sz w:val="22"/>
          <w:szCs w:val="22"/>
        </w:rPr>
        <w:t xml:space="preserve">Implementácia </w:t>
      </w:r>
      <w:r w:rsidR="008D02D4" w:rsidRPr="00C40F2A">
        <w:rPr>
          <w:sz w:val="22"/>
          <w:szCs w:val="22"/>
        </w:rPr>
        <w:t xml:space="preserve">systémov </w:t>
      </w:r>
      <w:r w:rsidRPr="00C40F2A">
        <w:rPr>
          <w:sz w:val="22"/>
          <w:szCs w:val="22"/>
        </w:rPr>
        <w:t>ETCS a GSM-R</w:t>
      </w:r>
      <w:r w:rsidR="00860925">
        <w:rPr>
          <w:sz w:val="22"/>
          <w:szCs w:val="22"/>
        </w:rPr>
        <w:t>,</w:t>
      </w:r>
      <w:r w:rsidR="00986FA0">
        <w:rPr>
          <w:sz w:val="22"/>
          <w:szCs w:val="22"/>
        </w:rPr>
        <w:t xml:space="preserve"> TSI TAF/TAP,</w:t>
      </w:r>
    </w:p>
    <w:p w:rsidR="00860925" w:rsidRDefault="00860925" w:rsidP="00FE6025">
      <w:pPr>
        <w:numPr>
          <w:ilvl w:val="2"/>
          <w:numId w:val="54"/>
        </w:numPr>
        <w:tabs>
          <w:tab w:val="clear" w:pos="360"/>
        </w:tabs>
        <w:ind w:left="426" w:hanging="426"/>
        <w:jc w:val="both"/>
        <w:rPr>
          <w:sz w:val="22"/>
          <w:szCs w:val="22"/>
        </w:rPr>
      </w:pPr>
      <w:r w:rsidRPr="00A80038">
        <w:rPr>
          <w:sz w:val="22"/>
          <w:szCs w:val="22"/>
        </w:rPr>
        <w:t>Obnova mobilných prostriedkov železničnej verejnej osobnej dopravy</w:t>
      </w:r>
      <w:r>
        <w:rPr>
          <w:sz w:val="22"/>
          <w:szCs w:val="22"/>
        </w:rPr>
        <w:t>,</w:t>
      </w:r>
    </w:p>
    <w:p w:rsidR="00860925" w:rsidRPr="00A80038" w:rsidRDefault="00860925" w:rsidP="00FE6025">
      <w:pPr>
        <w:numPr>
          <w:ilvl w:val="2"/>
          <w:numId w:val="54"/>
        </w:numPr>
        <w:tabs>
          <w:tab w:val="clear" w:pos="360"/>
        </w:tabs>
        <w:ind w:left="426" w:hanging="426"/>
        <w:jc w:val="both"/>
        <w:rPr>
          <w:sz w:val="22"/>
          <w:szCs w:val="22"/>
        </w:rPr>
      </w:pPr>
      <w:r>
        <w:rPr>
          <w:sz w:val="22"/>
          <w:szCs w:val="22"/>
        </w:rPr>
        <w:t>Projektová príprava.</w:t>
      </w:r>
    </w:p>
    <w:p w:rsidR="008D02D4" w:rsidRPr="00DA54A1" w:rsidRDefault="00986FA0" w:rsidP="00FE6025">
      <w:pPr>
        <w:numPr>
          <w:ilvl w:val="2"/>
          <w:numId w:val="55"/>
        </w:numPr>
        <w:tabs>
          <w:tab w:val="clear" w:pos="360"/>
        </w:tabs>
        <w:spacing w:before="180" w:after="120"/>
        <w:ind w:left="851" w:hanging="425"/>
        <w:jc w:val="both"/>
        <w:rPr>
          <w:b/>
          <w:i/>
          <w:color w:val="548DD4" w:themeColor="text2" w:themeTint="99"/>
          <w:sz w:val="22"/>
          <w:szCs w:val="22"/>
        </w:rPr>
      </w:pPr>
      <w:r>
        <w:rPr>
          <w:b/>
          <w:i/>
          <w:color w:val="548DD4" w:themeColor="text2" w:themeTint="99"/>
          <w:sz w:val="22"/>
          <w:szCs w:val="22"/>
        </w:rPr>
        <w:t xml:space="preserve">Implementácia systémov ETCS, </w:t>
      </w:r>
      <w:r w:rsidR="008D02D4" w:rsidRPr="00DA54A1">
        <w:rPr>
          <w:b/>
          <w:i/>
          <w:color w:val="548DD4" w:themeColor="text2" w:themeTint="99"/>
          <w:sz w:val="22"/>
          <w:szCs w:val="22"/>
        </w:rPr>
        <w:t>GSM-R</w:t>
      </w:r>
      <w:r>
        <w:rPr>
          <w:b/>
          <w:i/>
          <w:color w:val="548DD4" w:themeColor="text2" w:themeTint="99"/>
          <w:sz w:val="22"/>
          <w:szCs w:val="22"/>
        </w:rPr>
        <w:t>, TSI TAF/TAP</w:t>
      </w:r>
    </w:p>
    <w:p w:rsidR="00E87153" w:rsidRDefault="00C40F2A" w:rsidP="00E61C4C">
      <w:pPr>
        <w:spacing w:before="120"/>
        <w:jc w:val="both"/>
        <w:rPr>
          <w:color w:val="000000" w:themeColor="text1"/>
          <w:sz w:val="22"/>
          <w:szCs w:val="22"/>
        </w:rPr>
      </w:pPr>
      <w:r w:rsidRPr="00A02ED4">
        <w:rPr>
          <w:sz w:val="22"/>
          <w:szCs w:val="22"/>
        </w:rPr>
        <w:t>Jedným z</w:t>
      </w:r>
      <w:r>
        <w:rPr>
          <w:sz w:val="22"/>
          <w:szCs w:val="22"/>
        </w:rPr>
        <w:t> </w:t>
      </w:r>
      <w:r w:rsidRPr="00A02ED4">
        <w:rPr>
          <w:sz w:val="22"/>
          <w:szCs w:val="22"/>
        </w:rPr>
        <w:t xml:space="preserve">hlavných nedostatkov železničnej siete </w:t>
      </w:r>
      <w:r w:rsidRPr="00E57693">
        <w:rPr>
          <w:color w:val="000000" w:themeColor="text1"/>
          <w:sz w:val="22"/>
          <w:szCs w:val="22"/>
        </w:rPr>
        <w:t>je jej zastaranosť,</w:t>
      </w:r>
      <w:r w:rsidRPr="00A02ED4">
        <w:rPr>
          <w:sz w:val="22"/>
          <w:szCs w:val="22"/>
        </w:rPr>
        <w:t xml:space="preserve"> nízka </w:t>
      </w:r>
      <w:r w:rsidRPr="00E57693">
        <w:rPr>
          <w:color w:val="000000" w:themeColor="text1"/>
          <w:sz w:val="22"/>
          <w:szCs w:val="22"/>
        </w:rPr>
        <w:t xml:space="preserve">technická úroveň </w:t>
      </w:r>
      <w:r>
        <w:rPr>
          <w:color w:val="000000" w:themeColor="text1"/>
          <w:sz w:val="22"/>
          <w:szCs w:val="22"/>
        </w:rPr>
        <w:t>a </w:t>
      </w:r>
      <w:r w:rsidRPr="00E57693">
        <w:rPr>
          <w:color w:val="000000" w:themeColor="text1"/>
          <w:sz w:val="22"/>
          <w:szCs w:val="22"/>
        </w:rPr>
        <w:t xml:space="preserve">nedostatočná interoperabilita. </w:t>
      </w:r>
      <w:r w:rsidRPr="0058787C">
        <w:rPr>
          <w:color w:val="000000" w:themeColor="text1"/>
          <w:sz w:val="22"/>
          <w:szCs w:val="22"/>
        </w:rPr>
        <w:t xml:space="preserve">Cieľom je zlepšenie technickej infraštruktúry </w:t>
      </w:r>
      <w:r>
        <w:rPr>
          <w:color w:val="000000" w:themeColor="text1"/>
          <w:sz w:val="22"/>
          <w:szCs w:val="22"/>
        </w:rPr>
        <w:t>existujúcich tratí</w:t>
      </w:r>
      <w:r w:rsidRPr="0058787C">
        <w:rPr>
          <w:color w:val="000000" w:themeColor="text1"/>
          <w:sz w:val="22"/>
          <w:szCs w:val="22"/>
        </w:rPr>
        <w:t xml:space="preserve"> na takú úroveň, aby zodpovedala Technickým</w:t>
      </w:r>
      <w:r>
        <w:rPr>
          <w:color w:val="000000" w:themeColor="text1"/>
          <w:sz w:val="22"/>
          <w:szCs w:val="22"/>
        </w:rPr>
        <w:t xml:space="preserve"> špecifikáciám interoperability (TSI). To umožní </w:t>
      </w:r>
      <w:r w:rsidRPr="00E57693">
        <w:rPr>
          <w:color w:val="000000" w:themeColor="text1"/>
          <w:sz w:val="22"/>
          <w:szCs w:val="22"/>
        </w:rPr>
        <w:t xml:space="preserve">odbúranie doterajších technických bariér, zabezpečenie </w:t>
      </w:r>
      <w:r>
        <w:rPr>
          <w:color w:val="000000" w:themeColor="text1"/>
          <w:sz w:val="22"/>
          <w:szCs w:val="22"/>
        </w:rPr>
        <w:t>efektívnejšieho</w:t>
      </w:r>
      <w:r w:rsidRPr="00E57693">
        <w:rPr>
          <w:color w:val="000000" w:themeColor="text1"/>
          <w:sz w:val="22"/>
          <w:szCs w:val="22"/>
        </w:rPr>
        <w:t xml:space="preserve"> využitia technických parametrov železničných tratí a</w:t>
      </w:r>
      <w:r>
        <w:rPr>
          <w:color w:val="000000" w:themeColor="text1"/>
          <w:sz w:val="22"/>
          <w:szCs w:val="22"/>
        </w:rPr>
        <w:t> </w:t>
      </w:r>
      <w:r w:rsidRPr="00E57693">
        <w:rPr>
          <w:color w:val="000000" w:themeColor="text1"/>
          <w:sz w:val="22"/>
          <w:szCs w:val="22"/>
        </w:rPr>
        <w:t>zvýšenie konkurencieschopnosti železničnej dopravy.</w:t>
      </w:r>
    </w:p>
    <w:p w:rsidR="00E87153" w:rsidRDefault="00C40F2A" w:rsidP="00E61C4C">
      <w:pPr>
        <w:spacing w:before="180" w:after="120"/>
        <w:jc w:val="both"/>
        <w:rPr>
          <w:color w:val="000000" w:themeColor="text1"/>
          <w:sz w:val="22"/>
          <w:szCs w:val="22"/>
        </w:rPr>
      </w:pPr>
      <w:r w:rsidRPr="00E57693">
        <w:rPr>
          <w:color w:val="000000" w:themeColor="text1"/>
          <w:sz w:val="22"/>
          <w:szCs w:val="22"/>
        </w:rPr>
        <w:t>Intervencie v</w:t>
      </w:r>
      <w:r>
        <w:rPr>
          <w:color w:val="000000" w:themeColor="text1"/>
          <w:sz w:val="22"/>
          <w:szCs w:val="22"/>
        </w:rPr>
        <w:t> </w:t>
      </w:r>
      <w:r w:rsidRPr="00E57693">
        <w:rPr>
          <w:color w:val="000000" w:themeColor="text1"/>
          <w:sz w:val="22"/>
          <w:szCs w:val="22"/>
        </w:rPr>
        <w:t>oblasti železničnej dop</w:t>
      </w:r>
      <w:r>
        <w:rPr>
          <w:color w:val="000000" w:themeColor="text1"/>
          <w:sz w:val="22"/>
          <w:szCs w:val="22"/>
        </w:rPr>
        <w:t>ravy budú preto smerovať</w:t>
      </w:r>
      <w:r w:rsidR="00495ECB">
        <w:rPr>
          <w:color w:val="000000" w:themeColor="text1"/>
          <w:sz w:val="22"/>
          <w:szCs w:val="22"/>
        </w:rPr>
        <w:t xml:space="preserve"> najmä</w:t>
      </w:r>
      <w:r>
        <w:rPr>
          <w:color w:val="000000" w:themeColor="text1"/>
          <w:sz w:val="22"/>
          <w:szCs w:val="22"/>
        </w:rPr>
        <w:t xml:space="preserve"> k </w:t>
      </w:r>
      <w:r w:rsidR="00E61C4C">
        <w:rPr>
          <w:color w:val="000000" w:themeColor="text1"/>
          <w:sz w:val="22"/>
          <w:szCs w:val="22"/>
        </w:rPr>
        <w:t>zavedeniu systému ERTMS</w:t>
      </w:r>
      <w:r w:rsidR="009C4CE4">
        <w:rPr>
          <w:color w:val="000000" w:themeColor="text1"/>
          <w:sz w:val="22"/>
          <w:szCs w:val="22"/>
        </w:rPr>
        <w:t xml:space="preserve"> a podpornej prenosovej infraštruktúry</w:t>
      </w:r>
      <w:r w:rsidR="00E61C4C">
        <w:rPr>
          <w:color w:val="000000" w:themeColor="text1"/>
          <w:sz w:val="22"/>
          <w:szCs w:val="22"/>
        </w:rPr>
        <w:t xml:space="preserve"> na </w:t>
      </w:r>
      <w:r w:rsidRPr="00E57693">
        <w:rPr>
          <w:color w:val="000000" w:themeColor="text1"/>
          <w:sz w:val="22"/>
          <w:szCs w:val="22"/>
        </w:rPr>
        <w:t>ucelených úsekoch</w:t>
      </w:r>
      <w:r w:rsidRPr="00A02ED4">
        <w:rPr>
          <w:sz w:val="22"/>
          <w:szCs w:val="22"/>
        </w:rPr>
        <w:t xml:space="preserve"> </w:t>
      </w:r>
      <w:r>
        <w:rPr>
          <w:color w:val="000000" w:themeColor="text1"/>
          <w:sz w:val="22"/>
          <w:szCs w:val="22"/>
        </w:rPr>
        <w:t>na </w:t>
      </w:r>
      <w:r w:rsidRPr="00E57693">
        <w:rPr>
          <w:color w:val="000000" w:themeColor="text1"/>
          <w:sz w:val="22"/>
          <w:szCs w:val="22"/>
        </w:rPr>
        <w:t>modernizovaných železničných</w:t>
      </w:r>
      <w:r w:rsidRPr="00A02ED4">
        <w:rPr>
          <w:sz w:val="22"/>
          <w:szCs w:val="22"/>
        </w:rPr>
        <w:t xml:space="preserve"> tratiach,</w:t>
      </w:r>
      <w:r>
        <w:rPr>
          <w:sz w:val="22"/>
          <w:szCs w:val="22"/>
        </w:rPr>
        <w:t xml:space="preserve"> prednostne na tých, kde pre SR vyplývajú záväzky podľa</w:t>
      </w:r>
      <w:r w:rsidRPr="00E57693">
        <w:rPr>
          <w:color w:val="000000" w:themeColor="text1"/>
          <w:sz w:val="22"/>
          <w:szCs w:val="22"/>
        </w:rPr>
        <w:t xml:space="preserve"> Rozhodnutia</w:t>
      </w:r>
      <w:r>
        <w:rPr>
          <w:color w:val="000000" w:themeColor="text1"/>
          <w:sz w:val="22"/>
          <w:szCs w:val="22"/>
        </w:rPr>
        <w:t xml:space="preserve"> Komisie č. </w:t>
      </w:r>
      <w:r w:rsidRPr="00E57693">
        <w:rPr>
          <w:color w:val="000000" w:themeColor="text1"/>
          <w:sz w:val="22"/>
          <w:szCs w:val="22"/>
        </w:rPr>
        <w:t>2012/88/EÚ z</w:t>
      </w:r>
      <w:r>
        <w:rPr>
          <w:color w:val="000000" w:themeColor="text1"/>
          <w:sz w:val="22"/>
          <w:szCs w:val="22"/>
        </w:rPr>
        <w:t> </w:t>
      </w:r>
      <w:r w:rsidRPr="00E57693">
        <w:rPr>
          <w:color w:val="000000" w:themeColor="text1"/>
          <w:sz w:val="22"/>
          <w:szCs w:val="22"/>
        </w:rPr>
        <w:t>25. januára 2012 o</w:t>
      </w:r>
      <w:r>
        <w:rPr>
          <w:color w:val="000000" w:themeColor="text1"/>
          <w:sz w:val="22"/>
          <w:szCs w:val="22"/>
        </w:rPr>
        <w:t> </w:t>
      </w:r>
      <w:r w:rsidRPr="00E57693">
        <w:rPr>
          <w:color w:val="000000" w:themeColor="text1"/>
          <w:sz w:val="22"/>
          <w:szCs w:val="22"/>
        </w:rPr>
        <w:t>technickej špecifikácii interoperability týkajúcej sa subsystémov riadenia</w:t>
      </w:r>
      <w:r>
        <w:rPr>
          <w:color w:val="000000" w:themeColor="text1"/>
          <w:sz w:val="22"/>
          <w:szCs w:val="22"/>
        </w:rPr>
        <w:t xml:space="preserve"> </w:t>
      </w:r>
      <w:r w:rsidRPr="00E57693">
        <w:rPr>
          <w:color w:val="000000" w:themeColor="text1"/>
          <w:sz w:val="22"/>
          <w:szCs w:val="22"/>
        </w:rPr>
        <w:t>-</w:t>
      </w:r>
      <w:r>
        <w:rPr>
          <w:color w:val="000000" w:themeColor="text1"/>
          <w:sz w:val="22"/>
          <w:szCs w:val="22"/>
        </w:rPr>
        <w:t xml:space="preserve"> </w:t>
      </w:r>
      <w:r w:rsidRPr="00E57693">
        <w:rPr>
          <w:color w:val="000000" w:themeColor="text1"/>
          <w:sz w:val="22"/>
          <w:szCs w:val="22"/>
        </w:rPr>
        <w:t>zabezpečenia a</w:t>
      </w:r>
      <w:r>
        <w:rPr>
          <w:color w:val="000000" w:themeColor="text1"/>
          <w:sz w:val="22"/>
          <w:szCs w:val="22"/>
        </w:rPr>
        <w:t> </w:t>
      </w:r>
      <w:r w:rsidRPr="00E57693">
        <w:rPr>
          <w:color w:val="000000" w:themeColor="text1"/>
          <w:sz w:val="22"/>
          <w:szCs w:val="22"/>
        </w:rPr>
        <w:t>návestenia transe</w:t>
      </w:r>
      <w:r w:rsidR="00E61C4C">
        <w:rPr>
          <w:color w:val="000000" w:themeColor="text1"/>
          <w:sz w:val="22"/>
          <w:szCs w:val="22"/>
        </w:rPr>
        <w:t>urópskeho železničného systému</w:t>
      </w:r>
      <w:r w:rsidR="00A34DD1">
        <w:rPr>
          <w:color w:val="000000" w:themeColor="text1"/>
          <w:sz w:val="22"/>
          <w:szCs w:val="22"/>
        </w:rPr>
        <w:t xml:space="preserve">, resp. priamo </w:t>
      </w:r>
      <w:r w:rsidR="00A34DD1" w:rsidRPr="00BF0317">
        <w:rPr>
          <w:color w:val="000000" w:themeColor="text1"/>
          <w:sz w:val="22"/>
          <w:szCs w:val="22"/>
        </w:rPr>
        <w:t>zo</w:t>
      </w:r>
      <w:r w:rsidR="00E61C4C" w:rsidRPr="00BF0317">
        <w:rPr>
          <w:color w:val="000000" w:themeColor="text1"/>
          <w:sz w:val="22"/>
          <w:szCs w:val="22"/>
        </w:rPr>
        <w:t> Smernice</w:t>
      </w:r>
      <w:r w:rsidR="00BF0317">
        <w:rPr>
          <w:color w:val="000000" w:themeColor="text1"/>
          <w:sz w:val="22"/>
          <w:szCs w:val="22"/>
        </w:rPr>
        <w:t xml:space="preserve"> EP a Rady 2008/57/ES zo 17. júna 2008 </w:t>
      </w:r>
      <w:r w:rsidR="00E61C4C" w:rsidRPr="00BF0317">
        <w:rPr>
          <w:color w:val="000000" w:themeColor="text1"/>
          <w:sz w:val="22"/>
          <w:szCs w:val="22"/>
        </w:rPr>
        <w:t>o</w:t>
      </w:r>
      <w:r w:rsidR="00BF0317">
        <w:rPr>
          <w:color w:val="000000" w:themeColor="text1"/>
          <w:sz w:val="22"/>
          <w:szCs w:val="22"/>
        </w:rPr>
        <w:t> </w:t>
      </w:r>
      <w:r w:rsidR="00E61C4C" w:rsidRPr="00BF0317">
        <w:rPr>
          <w:color w:val="000000" w:themeColor="text1"/>
          <w:sz w:val="22"/>
          <w:szCs w:val="22"/>
        </w:rPr>
        <w:t>interoperabilite</w:t>
      </w:r>
      <w:r w:rsidR="00BF0317">
        <w:rPr>
          <w:color w:val="000000" w:themeColor="text1"/>
          <w:sz w:val="22"/>
          <w:szCs w:val="22"/>
        </w:rPr>
        <w:t xml:space="preserve"> systému železníc v Spoločenstve.</w:t>
      </w:r>
      <w:r w:rsidR="00E61C4C" w:rsidRPr="00BF0317">
        <w:rPr>
          <w:color w:val="000000" w:themeColor="text1"/>
          <w:sz w:val="22"/>
          <w:szCs w:val="22"/>
        </w:rPr>
        <w:t xml:space="preserve"> </w:t>
      </w:r>
      <w:r w:rsidRPr="00BF0317">
        <w:rPr>
          <w:color w:val="000000" w:themeColor="text1"/>
          <w:sz w:val="22"/>
          <w:szCs w:val="22"/>
        </w:rPr>
        <w:t>Konkrétne</w:t>
      </w:r>
      <w:r>
        <w:rPr>
          <w:color w:val="000000" w:themeColor="text1"/>
          <w:sz w:val="22"/>
          <w:szCs w:val="22"/>
        </w:rPr>
        <w:t xml:space="preserve"> ide o úseky</w:t>
      </w:r>
      <w:r w:rsidR="00E87153">
        <w:rPr>
          <w:color w:val="000000" w:themeColor="text1"/>
          <w:sz w:val="22"/>
          <w:szCs w:val="22"/>
        </w:rPr>
        <w:t>:</w:t>
      </w:r>
    </w:p>
    <w:p w:rsidR="00C40F2A" w:rsidRDefault="00C40F2A" w:rsidP="00FE6025">
      <w:pPr>
        <w:pStyle w:val="Odsekzoznamu"/>
        <w:numPr>
          <w:ilvl w:val="0"/>
          <w:numId w:val="56"/>
        </w:numPr>
        <w:spacing w:before="120" w:after="120"/>
        <w:jc w:val="both"/>
        <w:rPr>
          <w:color w:val="000000" w:themeColor="text1"/>
          <w:sz w:val="22"/>
          <w:szCs w:val="22"/>
        </w:rPr>
      </w:pPr>
      <w:r w:rsidRPr="00E87153">
        <w:rPr>
          <w:color w:val="000000" w:themeColor="text1"/>
          <w:sz w:val="22"/>
          <w:szCs w:val="22"/>
        </w:rPr>
        <w:t xml:space="preserve">v smere </w:t>
      </w:r>
      <w:r w:rsidRPr="00E87153">
        <w:rPr>
          <w:b/>
          <w:color w:val="000000" w:themeColor="text1"/>
          <w:sz w:val="22"/>
          <w:szCs w:val="22"/>
        </w:rPr>
        <w:t>št. hr. ČR/SR Kúty – Bratislava</w:t>
      </w:r>
      <w:r w:rsidR="00E87153">
        <w:rPr>
          <w:color w:val="000000" w:themeColor="text1"/>
          <w:sz w:val="22"/>
          <w:szCs w:val="22"/>
        </w:rPr>
        <w:t>,</w:t>
      </w:r>
      <w:r w:rsidR="00D43FF2">
        <w:rPr>
          <w:color w:val="000000" w:themeColor="text1"/>
          <w:sz w:val="22"/>
          <w:szCs w:val="22"/>
        </w:rPr>
        <w:t xml:space="preserve"> vrátane uzla Bratislava</w:t>
      </w:r>
      <w:r w:rsidR="00E61C4C">
        <w:rPr>
          <w:color w:val="000000" w:themeColor="text1"/>
          <w:sz w:val="22"/>
          <w:szCs w:val="22"/>
        </w:rPr>
        <w:t>,</w:t>
      </w:r>
    </w:p>
    <w:p w:rsidR="00E61C4C" w:rsidRDefault="00E61C4C" w:rsidP="00FE6025">
      <w:pPr>
        <w:pStyle w:val="Odsekzoznamu"/>
        <w:numPr>
          <w:ilvl w:val="0"/>
          <w:numId w:val="56"/>
        </w:numPr>
        <w:spacing w:before="120" w:after="120"/>
        <w:jc w:val="both"/>
        <w:rPr>
          <w:color w:val="000000" w:themeColor="text1"/>
          <w:sz w:val="22"/>
          <w:szCs w:val="22"/>
        </w:rPr>
      </w:pPr>
      <w:r>
        <w:rPr>
          <w:color w:val="000000" w:themeColor="text1"/>
          <w:sz w:val="22"/>
          <w:szCs w:val="22"/>
        </w:rPr>
        <w:t>ucelené úseky na základnej sieti TEN-T v smere Púchov – Žilina</w:t>
      </w:r>
      <w:r w:rsidR="004A5562">
        <w:rPr>
          <w:color w:val="000000" w:themeColor="text1"/>
          <w:sz w:val="22"/>
          <w:szCs w:val="22"/>
        </w:rPr>
        <w:t xml:space="preserve"> (ako súčasť modernizácie)</w:t>
      </w:r>
      <w:r w:rsidR="00A34DD1">
        <w:rPr>
          <w:color w:val="000000" w:themeColor="text1"/>
          <w:sz w:val="22"/>
          <w:szCs w:val="22"/>
        </w:rPr>
        <w:t>.</w:t>
      </w:r>
    </w:p>
    <w:p w:rsidR="00A80038" w:rsidRPr="00DA54A1" w:rsidRDefault="00A80038" w:rsidP="00FE6025">
      <w:pPr>
        <w:numPr>
          <w:ilvl w:val="2"/>
          <w:numId w:val="55"/>
        </w:numPr>
        <w:tabs>
          <w:tab w:val="clear" w:pos="360"/>
        </w:tabs>
        <w:spacing w:before="180" w:after="120"/>
        <w:ind w:left="851" w:hanging="425"/>
        <w:jc w:val="both"/>
        <w:rPr>
          <w:b/>
          <w:i/>
          <w:color w:val="548DD4" w:themeColor="text2" w:themeTint="99"/>
          <w:sz w:val="22"/>
          <w:szCs w:val="22"/>
        </w:rPr>
      </w:pPr>
      <w:r w:rsidRPr="00DA54A1">
        <w:rPr>
          <w:b/>
          <w:i/>
          <w:color w:val="548DD4" w:themeColor="text2" w:themeTint="99"/>
          <w:sz w:val="22"/>
          <w:szCs w:val="22"/>
        </w:rPr>
        <w:lastRenderedPageBreak/>
        <w:t>Obnova mobilných prostriedkov železničnej verejnej osobnej dopravy</w:t>
      </w:r>
    </w:p>
    <w:p w:rsidR="00A80038" w:rsidRPr="00DA54CE" w:rsidRDefault="00A80038" w:rsidP="00A80038">
      <w:pPr>
        <w:jc w:val="both"/>
        <w:rPr>
          <w:sz w:val="22"/>
          <w:szCs w:val="22"/>
        </w:rPr>
      </w:pPr>
      <w:r w:rsidRPr="00DA54CE">
        <w:rPr>
          <w:sz w:val="22"/>
          <w:szCs w:val="22"/>
        </w:rPr>
        <w:t>Obnova parku koľajových vozidiel poskytujúcich služby železničnej verejnej osobnej dopravy bola v programovom období 2007 – 2013 orientovaná na podporu rozvoja regiónov Slovens</w:t>
      </w:r>
      <w:r w:rsidR="00225F13">
        <w:rPr>
          <w:sz w:val="22"/>
          <w:szCs w:val="22"/>
        </w:rPr>
        <w:t>ka a mobility pracovnej sily</w:t>
      </w:r>
      <w:r w:rsidRPr="00DA54CE">
        <w:rPr>
          <w:sz w:val="22"/>
          <w:szCs w:val="22"/>
        </w:rPr>
        <w:t xml:space="preserve"> hlavne v rámci budovania </w:t>
      </w:r>
      <w:r w:rsidRPr="00DA54CE">
        <w:rPr>
          <w:b/>
          <w:sz w:val="22"/>
          <w:szCs w:val="22"/>
        </w:rPr>
        <w:t xml:space="preserve">integrovaných dopravných systémov v okolí Bratislavy a Košíc. </w:t>
      </w:r>
      <w:r w:rsidRPr="00DA54CE">
        <w:rPr>
          <w:sz w:val="22"/>
          <w:szCs w:val="22"/>
        </w:rPr>
        <w:t xml:space="preserve">Výsledkom dvoch projektov je obstaranie </w:t>
      </w:r>
      <w:r w:rsidRPr="00DA54CE">
        <w:rPr>
          <w:b/>
          <w:sz w:val="22"/>
          <w:szCs w:val="22"/>
        </w:rPr>
        <w:t>61 ks regionálnych jednotiek</w:t>
      </w:r>
      <w:r w:rsidRPr="00DA54CE">
        <w:rPr>
          <w:sz w:val="22"/>
          <w:szCs w:val="22"/>
        </w:rPr>
        <w:t xml:space="preserve">, prevádzka ktorých sa </w:t>
      </w:r>
      <w:r>
        <w:rPr>
          <w:sz w:val="22"/>
          <w:szCs w:val="22"/>
        </w:rPr>
        <w:t>zamerala</w:t>
      </w:r>
      <w:r w:rsidRPr="00DA54CE">
        <w:rPr>
          <w:sz w:val="22"/>
          <w:szCs w:val="22"/>
        </w:rPr>
        <w:t xml:space="preserve"> na sedem regiónov: Bratislava, Trnava, Nitra, Trenčín, Žilina, Košice a Prešov. Približne dve tretiny služieb ponúkaných novými a modernizovanými koľajovými vozidlami je poskytovaná v rámci </w:t>
      </w:r>
      <w:r>
        <w:rPr>
          <w:sz w:val="22"/>
          <w:szCs w:val="22"/>
        </w:rPr>
        <w:t xml:space="preserve">siete </w:t>
      </w:r>
      <w:r w:rsidRPr="00DA54CE">
        <w:rPr>
          <w:sz w:val="22"/>
          <w:szCs w:val="22"/>
        </w:rPr>
        <w:t>TEN-T.</w:t>
      </w:r>
    </w:p>
    <w:p w:rsidR="00A80038" w:rsidRPr="00DA54CE" w:rsidRDefault="00A80038" w:rsidP="00A80038">
      <w:pPr>
        <w:spacing w:before="180"/>
        <w:jc w:val="both"/>
        <w:rPr>
          <w:sz w:val="22"/>
          <w:szCs w:val="22"/>
        </w:rPr>
      </w:pPr>
      <w:r w:rsidRPr="00DA54CE">
        <w:rPr>
          <w:sz w:val="22"/>
          <w:szCs w:val="22"/>
        </w:rPr>
        <w:t>MDVRR SR vidí priestor pre pokračovanie projektov tohto typu aj v ďalšom období predovšetkým v oblasti podpory segmentu mestskej a prímestskej dopravy a riešenia otázky integrovaných dopravných systémov</w:t>
      </w:r>
      <w:r>
        <w:rPr>
          <w:sz w:val="22"/>
          <w:szCs w:val="22"/>
        </w:rPr>
        <w:t xml:space="preserve"> v meste</w:t>
      </w:r>
      <w:r w:rsidRPr="00DA54CE">
        <w:rPr>
          <w:sz w:val="22"/>
          <w:szCs w:val="22"/>
        </w:rPr>
        <w:t xml:space="preserve"> </w:t>
      </w:r>
      <w:r w:rsidRPr="00DA54CE">
        <w:rPr>
          <w:b/>
          <w:sz w:val="22"/>
          <w:szCs w:val="22"/>
        </w:rPr>
        <w:t>Žilina a </w:t>
      </w:r>
      <w:r w:rsidR="00724E8C">
        <w:rPr>
          <w:b/>
          <w:sz w:val="22"/>
          <w:szCs w:val="22"/>
        </w:rPr>
        <w:t>súmestí</w:t>
      </w:r>
      <w:r w:rsidRPr="00DA54CE">
        <w:rPr>
          <w:b/>
          <w:sz w:val="22"/>
          <w:szCs w:val="22"/>
        </w:rPr>
        <w:t xml:space="preserve"> Banská Bystrica – Zvolen</w:t>
      </w:r>
      <w:r w:rsidRPr="00DA54CE">
        <w:rPr>
          <w:sz w:val="22"/>
          <w:szCs w:val="22"/>
        </w:rPr>
        <w:t xml:space="preserve">. </w:t>
      </w:r>
      <w:r w:rsidR="004E7180" w:rsidRPr="008D02D4">
        <w:rPr>
          <w:b/>
          <w:sz w:val="22"/>
          <w:szCs w:val="22"/>
        </w:rPr>
        <w:t>Cieľom je obstarať nové nízkopodlažné elektrické a</w:t>
      </w:r>
      <w:r w:rsidR="008D02D4" w:rsidRPr="008D02D4">
        <w:rPr>
          <w:b/>
          <w:sz w:val="22"/>
          <w:szCs w:val="22"/>
        </w:rPr>
        <w:t> diesel-motorové</w:t>
      </w:r>
      <w:r w:rsidR="004E7180" w:rsidRPr="008D02D4">
        <w:rPr>
          <w:b/>
          <w:sz w:val="22"/>
          <w:szCs w:val="22"/>
        </w:rPr>
        <w:t xml:space="preserve"> </w:t>
      </w:r>
      <w:r w:rsidR="008D02D4">
        <w:rPr>
          <w:b/>
          <w:sz w:val="22"/>
          <w:szCs w:val="22"/>
        </w:rPr>
        <w:t xml:space="preserve">ucelené vlakové </w:t>
      </w:r>
      <w:r w:rsidR="004E7180" w:rsidRPr="008D02D4">
        <w:rPr>
          <w:b/>
          <w:sz w:val="22"/>
          <w:szCs w:val="22"/>
        </w:rPr>
        <w:t>jednotky</w:t>
      </w:r>
      <w:r w:rsidR="008D02D4" w:rsidRPr="008D02D4">
        <w:rPr>
          <w:b/>
          <w:sz w:val="22"/>
          <w:szCs w:val="22"/>
        </w:rPr>
        <w:t xml:space="preserve">. </w:t>
      </w:r>
      <w:r w:rsidRPr="00DA54CE">
        <w:rPr>
          <w:sz w:val="22"/>
          <w:szCs w:val="22"/>
        </w:rPr>
        <w:t>Realizáciou projektu dôjde k multiplikácii efektov už realizovaných projektov a k vytvoreniu logického celku kvalitne fungujúcej regionálnej a prímestskej dopravy v okolí najvýznamnejších dopravných centier.</w:t>
      </w:r>
    </w:p>
    <w:p w:rsidR="00A80038" w:rsidRDefault="00A80038" w:rsidP="00A80038">
      <w:pPr>
        <w:spacing w:before="180"/>
        <w:jc w:val="both"/>
        <w:rPr>
          <w:sz w:val="22"/>
          <w:szCs w:val="22"/>
        </w:rPr>
      </w:pPr>
      <w:r w:rsidRPr="00DA54CE">
        <w:rPr>
          <w:b/>
          <w:sz w:val="22"/>
          <w:szCs w:val="22"/>
        </w:rPr>
        <w:t xml:space="preserve">Integrácia verejnej osobnej dopravy môže byť úspešná za predpokladu, ak železničná osobná doprava ponúkne prepravu v porovnateľnej kvalite ako iné druhy dopravy a vo frekvencii, ktorá zodpovedá prepravnému dopytu. Podpora je smerovaná najmä na regionálnu dopravu, z ktorej pochádza až 75 % cestujúcich. </w:t>
      </w:r>
      <w:r w:rsidRPr="00DA54CE">
        <w:rPr>
          <w:sz w:val="22"/>
          <w:szCs w:val="22"/>
        </w:rPr>
        <w:t>Významným dôsledkom integrácie je harmonizácia prepravy a odstránenie paralelných spojov v železničnej, resp. autobusovej doprave. Tá dosahuje v niektorých regiónoch až 61 % prepravy a spôsobuje klesajúce využitie prepravnej kapacity obidvoch dopravcov.</w:t>
      </w:r>
    </w:p>
    <w:p w:rsidR="00A80038" w:rsidRPr="00DA54CE" w:rsidRDefault="00A80038" w:rsidP="00A80038">
      <w:pPr>
        <w:spacing w:before="180"/>
        <w:jc w:val="both"/>
        <w:rPr>
          <w:sz w:val="22"/>
          <w:szCs w:val="22"/>
        </w:rPr>
      </w:pPr>
      <w:r w:rsidRPr="00DA54CE">
        <w:rPr>
          <w:sz w:val="22"/>
          <w:szCs w:val="22"/>
        </w:rPr>
        <w:t xml:space="preserve">Opatrenia týkajúce sa služieb vo verejnom záujme budú implementované v súlade </w:t>
      </w:r>
      <w:r>
        <w:rPr>
          <w:sz w:val="22"/>
          <w:szCs w:val="22"/>
        </w:rPr>
        <w:t>s </w:t>
      </w:r>
      <w:r w:rsidRPr="00DA54CE">
        <w:rPr>
          <w:sz w:val="22"/>
          <w:szCs w:val="22"/>
        </w:rPr>
        <w:t>požiadavkami nariadenia EP a Rady (ES) č. 1370 z 23. októbra 2007 o službách vo verejnom záujme v železničnej a cestnej osobnej doprave, ktorým sa zrušujú nariadenia Rady (EHS) č. 1191/69 a (EHS) č. 1107/70.</w:t>
      </w:r>
    </w:p>
    <w:p w:rsidR="00A80038" w:rsidRPr="00DA54CE" w:rsidRDefault="00A80038" w:rsidP="00A80038">
      <w:pPr>
        <w:spacing w:before="180"/>
        <w:jc w:val="both"/>
        <w:rPr>
          <w:sz w:val="22"/>
          <w:szCs w:val="22"/>
        </w:rPr>
      </w:pPr>
      <w:r w:rsidRPr="00DA54CE">
        <w:rPr>
          <w:sz w:val="22"/>
          <w:szCs w:val="22"/>
        </w:rPr>
        <w:t xml:space="preserve">Samostatný pohľad predstavuje prístup poskytovateľov služieb vo verejnom záujme k železničným koľajovým vozidlám pre prevádzku verejnej železničnej osobnej dopravy zakúpených z fondov EÚ. </w:t>
      </w:r>
      <w:r w:rsidRPr="003531C5">
        <w:rPr>
          <w:b/>
          <w:sz w:val="22"/>
          <w:szCs w:val="22"/>
        </w:rPr>
        <w:t>Prístup k</w:t>
      </w:r>
      <w:r w:rsidR="00225F13">
        <w:rPr>
          <w:b/>
          <w:sz w:val="22"/>
          <w:szCs w:val="22"/>
        </w:rPr>
        <w:t xml:space="preserve"> týmto vozidlám</w:t>
      </w:r>
      <w:r w:rsidRPr="003531C5">
        <w:rPr>
          <w:b/>
          <w:sz w:val="22"/>
          <w:szCs w:val="22"/>
        </w:rPr>
        <w:t xml:space="preserve"> prostredníctvom nediskriminačných, primeraných a účinných opatrení v súlade s legislatívou EÚ pokiaľ ide o otvorenie trhu so službami vnútroštátnej osobnej železničnej dopravy</w:t>
      </w:r>
      <w:r w:rsidR="00225F13">
        <w:rPr>
          <w:b/>
          <w:sz w:val="22"/>
          <w:szCs w:val="22"/>
        </w:rPr>
        <w:t xml:space="preserve"> bude zabezpečený</w:t>
      </w:r>
      <w:r w:rsidRPr="003531C5">
        <w:rPr>
          <w:b/>
          <w:sz w:val="22"/>
          <w:szCs w:val="22"/>
        </w:rPr>
        <w:t xml:space="preserve"> v rámci platnosti legislatívy tzv. IV. železničného balíčka.</w:t>
      </w:r>
    </w:p>
    <w:p w:rsidR="00A80038" w:rsidRDefault="00A80038" w:rsidP="00A80038">
      <w:pPr>
        <w:spacing w:before="180" w:after="120"/>
        <w:jc w:val="both"/>
        <w:rPr>
          <w:sz w:val="22"/>
          <w:szCs w:val="22"/>
        </w:rPr>
      </w:pPr>
      <w:r w:rsidRPr="00B76CC8">
        <w:rPr>
          <w:sz w:val="22"/>
          <w:szCs w:val="22"/>
        </w:rPr>
        <w:t xml:space="preserve">V podmienkach SR môže byť riešením, ktoré garantuje vyššie spomenutý princíp, zriadenie tzv. „Dopravnej autority“. Dopravná autorita by mala vzniknúť ako nezávislý úrad s jasne ohraničeným rozsahom činností v oblasti objednávania služieb vo verejnom záujme, ako aj v iných oblastiach. Vznik inštitúcie, ako aj jej nábeh na výkon jednotlivých činností je možné plánovať v priebehu rokov 2015 – 2018. </w:t>
      </w:r>
      <w:r w:rsidR="00BE0B89">
        <w:rPr>
          <w:sz w:val="22"/>
          <w:szCs w:val="22"/>
        </w:rPr>
        <w:t>Vytvorenie predmetnej autority</w:t>
      </w:r>
      <w:r w:rsidR="00BE0B89" w:rsidRPr="00B76CC8">
        <w:rPr>
          <w:sz w:val="22"/>
          <w:szCs w:val="22"/>
        </w:rPr>
        <w:t xml:space="preserve"> je nutné </w:t>
      </w:r>
      <w:r w:rsidR="00BE0B89">
        <w:rPr>
          <w:sz w:val="22"/>
          <w:szCs w:val="22"/>
        </w:rPr>
        <w:t>vhodne koordinovať s plánovanou realizáciou</w:t>
      </w:r>
      <w:r w:rsidR="00BE0B89" w:rsidRPr="00B76CC8">
        <w:rPr>
          <w:sz w:val="22"/>
          <w:szCs w:val="22"/>
        </w:rPr>
        <w:t xml:space="preserve"> ďalšieho projektu v oblasti obnovy a modernizácie mobilných prostriedkov v rovnakom čase.</w:t>
      </w:r>
      <w:r w:rsidR="00BE0B89">
        <w:rPr>
          <w:sz w:val="22"/>
          <w:szCs w:val="22"/>
        </w:rPr>
        <w:t xml:space="preserve"> V súvislosti s úlohami Dopravnej autority ako objednávateľa služieb vo verejnom záujme, MDVRR SR v súčasnosti analyzuje možné varianty, vrátane nulového variantu. Obsah a výsledky analýzy je nutné konzultovať s VÚC z dôvodu ich súčasného postavenia ako objednávatelia regionálnej autobusovej dopravy.</w:t>
      </w:r>
    </w:p>
    <w:p w:rsidR="00D43FF2" w:rsidRPr="00DA54A1" w:rsidRDefault="00D43FF2" w:rsidP="00FE6025">
      <w:pPr>
        <w:numPr>
          <w:ilvl w:val="2"/>
          <w:numId w:val="55"/>
        </w:numPr>
        <w:tabs>
          <w:tab w:val="clear" w:pos="360"/>
        </w:tabs>
        <w:spacing w:before="180" w:after="120"/>
        <w:ind w:left="851" w:hanging="425"/>
        <w:jc w:val="both"/>
        <w:rPr>
          <w:b/>
          <w:i/>
          <w:color w:val="548DD4" w:themeColor="text2" w:themeTint="99"/>
          <w:sz w:val="22"/>
          <w:szCs w:val="22"/>
        </w:rPr>
      </w:pPr>
      <w:r w:rsidRPr="00DA54A1">
        <w:rPr>
          <w:b/>
          <w:i/>
          <w:color w:val="548DD4" w:themeColor="text2" w:themeTint="99"/>
          <w:sz w:val="22"/>
          <w:szCs w:val="22"/>
        </w:rPr>
        <w:t>Projektová príprava</w:t>
      </w:r>
    </w:p>
    <w:p w:rsidR="00854EA5" w:rsidRDefault="003531C5" w:rsidP="003531C5">
      <w:pPr>
        <w:spacing w:after="180"/>
        <w:jc w:val="both"/>
        <w:rPr>
          <w:sz w:val="22"/>
          <w:szCs w:val="22"/>
        </w:rPr>
      </w:pPr>
      <w:r>
        <w:rPr>
          <w:sz w:val="22"/>
          <w:szCs w:val="22"/>
        </w:rPr>
        <w:t xml:space="preserve">Súčasný stav projektovej prípravy investičných stavieb je možné </w:t>
      </w:r>
      <w:r w:rsidR="00724E8C">
        <w:rPr>
          <w:sz w:val="22"/>
          <w:szCs w:val="22"/>
        </w:rPr>
        <w:t>označiť ako prierezový problém systémového charakteru</w:t>
      </w:r>
      <w:r>
        <w:rPr>
          <w:sz w:val="22"/>
          <w:szCs w:val="22"/>
        </w:rPr>
        <w:t xml:space="preserve">. </w:t>
      </w:r>
      <w:r w:rsidRPr="003531C5">
        <w:rPr>
          <w:sz w:val="22"/>
          <w:szCs w:val="22"/>
        </w:rPr>
        <w:t>Na základe uvedeného bude náležitá pozornosť i zdroje venované predprojektovej a projektovej príprave železničných stavieb.</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288"/>
        <w:gridCol w:w="5784"/>
      </w:tblGrid>
      <w:tr w:rsidR="00532DA2" w:rsidRPr="00B12931" w:rsidTr="00532DA2">
        <w:trPr>
          <w:trHeight w:val="340"/>
          <w:jc w:val="center"/>
        </w:trPr>
        <w:tc>
          <w:tcPr>
            <w:tcW w:w="3288" w:type="dxa"/>
            <w:shd w:val="clear" w:color="auto" w:fill="DBE5F1" w:themeFill="accent1" w:themeFillTint="33"/>
            <w:vAlign w:val="center"/>
          </w:tcPr>
          <w:p w:rsidR="00532DA2" w:rsidRPr="009553A0" w:rsidRDefault="00532DA2" w:rsidP="00532DA2">
            <w:pPr>
              <w:autoSpaceDE w:val="0"/>
              <w:autoSpaceDN w:val="0"/>
              <w:adjustRightInd w:val="0"/>
              <w:ind w:left="0"/>
              <w:rPr>
                <w:i/>
                <w:sz w:val="22"/>
                <w:szCs w:val="22"/>
              </w:rPr>
            </w:pPr>
            <w:r w:rsidRPr="009553A0">
              <w:rPr>
                <w:i/>
                <w:sz w:val="22"/>
                <w:szCs w:val="22"/>
              </w:rPr>
              <w:t>Cieľové skupiny:</w:t>
            </w:r>
          </w:p>
        </w:tc>
        <w:tc>
          <w:tcPr>
            <w:tcW w:w="5784" w:type="dxa"/>
            <w:vAlign w:val="center"/>
          </w:tcPr>
          <w:p w:rsidR="00532DA2" w:rsidRPr="00B12931" w:rsidRDefault="00532DA2" w:rsidP="00532DA2">
            <w:pPr>
              <w:pStyle w:val="Odsekzoznamu"/>
              <w:numPr>
                <w:ilvl w:val="0"/>
                <w:numId w:val="28"/>
              </w:numPr>
              <w:autoSpaceDE w:val="0"/>
              <w:autoSpaceDN w:val="0"/>
              <w:adjustRightInd w:val="0"/>
              <w:ind w:left="284" w:hanging="284"/>
              <w:rPr>
                <w:sz w:val="22"/>
                <w:szCs w:val="22"/>
              </w:rPr>
            </w:pPr>
            <w:r>
              <w:rPr>
                <w:sz w:val="22"/>
                <w:szCs w:val="22"/>
              </w:rPr>
              <w:t>široká verejnosť</w:t>
            </w:r>
          </w:p>
        </w:tc>
      </w:tr>
      <w:tr w:rsidR="00532DA2" w:rsidTr="00532DA2">
        <w:trPr>
          <w:trHeight w:val="340"/>
          <w:jc w:val="center"/>
        </w:trPr>
        <w:tc>
          <w:tcPr>
            <w:tcW w:w="3288" w:type="dxa"/>
            <w:shd w:val="clear" w:color="auto" w:fill="DBE5F1" w:themeFill="accent1" w:themeFillTint="33"/>
            <w:vAlign w:val="center"/>
          </w:tcPr>
          <w:p w:rsidR="00532DA2" w:rsidRPr="009553A0" w:rsidRDefault="00532DA2" w:rsidP="00532DA2">
            <w:pPr>
              <w:autoSpaceDE w:val="0"/>
              <w:autoSpaceDN w:val="0"/>
              <w:adjustRightInd w:val="0"/>
              <w:ind w:left="0"/>
              <w:rPr>
                <w:i/>
                <w:sz w:val="22"/>
                <w:szCs w:val="22"/>
              </w:rPr>
            </w:pPr>
            <w:r w:rsidRPr="009553A0">
              <w:rPr>
                <w:i/>
                <w:sz w:val="22"/>
                <w:szCs w:val="22"/>
              </w:rPr>
              <w:t>Cieľové územia:</w:t>
            </w:r>
          </w:p>
        </w:tc>
        <w:tc>
          <w:tcPr>
            <w:tcW w:w="5784" w:type="dxa"/>
            <w:vAlign w:val="center"/>
          </w:tcPr>
          <w:p w:rsidR="00532DA2" w:rsidRDefault="00532DA2" w:rsidP="00532DA2">
            <w:pPr>
              <w:pStyle w:val="Odsekzoznamu"/>
              <w:numPr>
                <w:ilvl w:val="0"/>
                <w:numId w:val="28"/>
              </w:numPr>
              <w:autoSpaceDE w:val="0"/>
              <w:autoSpaceDN w:val="0"/>
              <w:adjustRightInd w:val="0"/>
              <w:ind w:left="284" w:hanging="284"/>
              <w:rPr>
                <w:sz w:val="22"/>
                <w:szCs w:val="22"/>
              </w:rPr>
            </w:pPr>
            <w:r>
              <w:rPr>
                <w:sz w:val="22"/>
                <w:szCs w:val="22"/>
              </w:rPr>
              <w:t>NUTS 1 (celé územie SR)</w:t>
            </w:r>
          </w:p>
        </w:tc>
      </w:tr>
      <w:tr w:rsidR="00532DA2" w:rsidRPr="00C26329" w:rsidTr="00532DA2">
        <w:trPr>
          <w:trHeight w:val="340"/>
          <w:jc w:val="center"/>
        </w:trPr>
        <w:tc>
          <w:tcPr>
            <w:tcW w:w="3288" w:type="dxa"/>
            <w:shd w:val="clear" w:color="auto" w:fill="DBE5F1" w:themeFill="accent1" w:themeFillTint="33"/>
            <w:vAlign w:val="center"/>
          </w:tcPr>
          <w:p w:rsidR="00532DA2" w:rsidRPr="009553A0" w:rsidRDefault="00532DA2" w:rsidP="00532DA2">
            <w:pPr>
              <w:autoSpaceDE w:val="0"/>
              <w:autoSpaceDN w:val="0"/>
              <w:adjustRightInd w:val="0"/>
              <w:ind w:left="0"/>
              <w:rPr>
                <w:i/>
                <w:sz w:val="22"/>
                <w:szCs w:val="22"/>
              </w:rPr>
            </w:pPr>
            <w:r w:rsidRPr="009553A0">
              <w:rPr>
                <w:i/>
                <w:sz w:val="22"/>
                <w:szCs w:val="22"/>
              </w:rPr>
              <w:t>Prijímatelia:</w:t>
            </w:r>
          </w:p>
        </w:tc>
        <w:tc>
          <w:tcPr>
            <w:tcW w:w="5784" w:type="dxa"/>
            <w:vAlign w:val="center"/>
          </w:tcPr>
          <w:p w:rsidR="00532DA2" w:rsidRDefault="00532DA2" w:rsidP="00532DA2">
            <w:pPr>
              <w:pStyle w:val="Odsekzoznamu"/>
              <w:numPr>
                <w:ilvl w:val="0"/>
                <w:numId w:val="28"/>
              </w:numPr>
              <w:autoSpaceDE w:val="0"/>
              <w:autoSpaceDN w:val="0"/>
              <w:adjustRightInd w:val="0"/>
              <w:ind w:left="284" w:hanging="284"/>
              <w:rPr>
                <w:sz w:val="22"/>
                <w:szCs w:val="22"/>
              </w:rPr>
            </w:pPr>
            <w:r>
              <w:rPr>
                <w:sz w:val="22"/>
                <w:szCs w:val="22"/>
              </w:rPr>
              <w:t>Železnice Slovenskej republiky</w:t>
            </w:r>
          </w:p>
          <w:p w:rsidR="00532DA2" w:rsidRPr="00C26329" w:rsidRDefault="00532DA2" w:rsidP="00532DA2">
            <w:pPr>
              <w:pStyle w:val="Odsekzoznamu"/>
              <w:numPr>
                <w:ilvl w:val="0"/>
                <w:numId w:val="28"/>
              </w:numPr>
              <w:autoSpaceDE w:val="0"/>
              <w:autoSpaceDN w:val="0"/>
              <w:adjustRightInd w:val="0"/>
              <w:ind w:left="284" w:hanging="284"/>
              <w:rPr>
                <w:sz w:val="22"/>
                <w:szCs w:val="22"/>
              </w:rPr>
            </w:pPr>
            <w:r>
              <w:rPr>
                <w:sz w:val="22"/>
                <w:szCs w:val="22"/>
              </w:rPr>
              <w:t>Železničná spoločnosť Slovensko, a. s.</w:t>
            </w:r>
          </w:p>
        </w:tc>
      </w:tr>
    </w:tbl>
    <w:p w:rsidR="00293C83" w:rsidRPr="008A4F0B" w:rsidRDefault="00293C83" w:rsidP="003531C5">
      <w:pPr>
        <w:spacing w:after="180"/>
        <w:jc w:val="both"/>
        <w:rPr>
          <w:sz w:val="22"/>
          <w:szCs w:val="22"/>
        </w:rPr>
      </w:pPr>
    </w:p>
    <w:p w:rsidR="001A218B" w:rsidRDefault="001A218B" w:rsidP="00DA54A1">
      <w:pPr>
        <w:pStyle w:val="Nadpis4"/>
        <w:spacing w:before="240"/>
      </w:pPr>
      <w:r>
        <w:lastRenderedPageBreak/>
        <w:t>Hlavné princípy výberu projektov</w:t>
      </w:r>
    </w:p>
    <w:p w:rsidR="003976D8" w:rsidRDefault="003976D8" w:rsidP="003976D8">
      <w:pPr>
        <w:tabs>
          <w:tab w:val="left" w:pos="540"/>
        </w:tabs>
        <w:jc w:val="both"/>
        <w:rPr>
          <w:sz w:val="22"/>
          <w:szCs w:val="22"/>
        </w:rPr>
      </w:pPr>
      <w:r>
        <w:rPr>
          <w:sz w:val="22"/>
          <w:szCs w:val="22"/>
        </w:rPr>
        <w:t>Vzhľadom na </w:t>
      </w:r>
      <w:r w:rsidRPr="00FE75AD">
        <w:rPr>
          <w:sz w:val="22"/>
          <w:szCs w:val="22"/>
        </w:rPr>
        <w:t>špecifické postavenie MDVRR SR vo vzťahu k</w:t>
      </w:r>
      <w:r>
        <w:rPr>
          <w:sz w:val="22"/>
          <w:szCs w:val="22"/>
        </w:rPr>
        <w:t> </w:t>
      </w:r>
      <w:r w:rsidRPr="00FE75AD">
        <w:rPr>
          <w:sz w:val="22"/>
          <w:szCs w:val="22"/>
        </w:rPr>
        <w:t>podporovaným aktivitám budú jednotliví prijímatelia stanovení vopred a</w:t>
      </w:r>
      <w:r>
        <w:rPr>
          <w:sz w:val="22"/>
          <w:szCs w:val="22"/>
        </w:rPr>
        <w:t> </w:t>
      </w:r>
      <w:r w:rsidRPr="00FE75AD">
        <w:rPr>
          <w:sz w:val="22"/>
          <w:szCs w:val="22"/>
        </w:rPr>
        <w:t>písomnými vyzvaniami (pre stanovené oblasti) žiadaní o</w:t>
      </w:r>
      <w:r>
        <w:rPr>
          <w:sz w:val="22"/>
          <w:szCs w:val="22"/>
        </w:rPr>
        <w:t> </w:t>
      </w:r>
      <w:r w:rsidRPr="00FE75AD">
        <w:rPr>
          <w:sz w:val="22"/>
          <w:szCs w:val="22"/>
        </w:rPr>
        <w:t>predkladanie projektových žiadostí.</w:t>
      </w:r>
      <w:r>
        <w:rPr>
          <w:sz w:val="22"/>
          <w:szCs w:val="22"/>
        </w:rPr>
        <w:t xml:space="preserve"> </w:t>
      </w:r>
      <w:r w:rsidRPr="00FE75AD">
        <w:rPr>
          <w:sz w:val="22"/>
          <w:szCs w:val="22"/>
        </w:rPr>
        <w:t xml:space="preserve">Výber </w:t>
      </w:r>
      <w:r>
        <w:rPr>
          <w:sz w:val="22"/>
          <w:szCs w:val="22"/>
        </w:rPr>
        <w:t>projektov na </w:t>
      </w:r>
      <w:r w:rsidRPr="00FE75AD">
        <w:rPr>
          <w:sz w:val="22"/>
          <w:szCs w:val="22"/>
        </w:rPr>
        <w:t>implementáci</w:t>
      </w:r>
      <w:r>
        <w:rPr>
          <w:sz w:val="22"/>
          <w:szCs w:val="22"/>
        </w:rPr>
        <w:t>u bude rešpektovať výstupy strategických dokumentov spracovaných pre potreby programového obdobia, ako aj ich prípad</w:t>
      </w:r>
      <w:r w:rsidR="00D21821">
        <w:rPr>
          <w:sz w:val="22"/>
          <w:szCs w:val="22"/>
        </w:rPr>
        <w:t>né aktualizácie, ktoré zohľadňujú</w:t>
      </w:r>
      <w:r>
        <w:rPr>
          <w:sz w:val="22"/>
          <w:szCs w:val="22"/>
        </w:rPr>
        <w:t xml:space="preserve"> rezortné potreby v širšom kontexte. Ide predovšetkým o Strategický plán a Stratégiu </w:t>
      </w:r>
      <w:r w:rsidR="00AF47E4">
        <w:rPr>
          <w:sz w:val="22"/>
          <w:szCs w:val="22"/>
        </w:rPr>
        <w:t>VOD</w:t>
      </w:r>
      <w:r>
        <w:rPr>
          <w:sz w:val="22"/>
          <w:szCs w:val="22"/>
        </w:rPr>
        <w:t>.</w:t>
      </w:r>
    </w:p>
    <w:p w:rsidR="001A218B" w:rsidRDefault="001A218B" w:rsidP="00740654">
      <w:pPr>
        <w:pStyle w:val="Nadpis4"/>
      </w:pPr>
      <w:r>
        <w:t>Plánované využitie finančných nástrojov</w:t>
      </w:r>
    </w:p>
    <w:p w:rsidR="00731428" w:rsidRPr="00AB00A4" w:rsidRDefault="00731428" w:rsidP="00731428">
      <w:pPr>
        <w:jc w:val="both"/>
        <w:rPr>
          <w:sz w:val="22"/>
          <w:szCs w:val="22"/>
        </w:rPr>
      </w:pPr>
      <w:r w:rsidRPr="00AB00A4">
        <w:rPr>
          <w:sz w:val="22"/>
          <w:szCs w:val="22"/>
        </w:rPr>
        <w:t>Finančné nástroje budú použité na podporu implementácie tých aktivít, pri ktorých bude preukázané efektívnejšie využitie finančných prostriedkov z EŠIF takouto formou podpory. Pri ekonomicky životaschopných projektoch, kde sa predpokladá návratnosť prostriedkov alebo úspora nákladov, predstavujú finančné nástroje vhodnejšiu formu podpory, ktorá vedie len k minimálnej, prípadne žiadnej deformácii trhu a nenarúša tak hospodársku súťaž. Finančné nástroje budú zamerané na podporu tých aktivít, ktoré nenachádzajú financovanie na trhu, prípadne nenachádzajú adekvátne financovanie, pri ktorom b</w:t>
      </w:r>
      <w:r w:rsidR="00724E8C">
        <w:rPr>
          <w:sz w:val="22"/>
          <w:szCs w:val="22"/>
        </w:rPr>
        <w:t>y ich realizácia bola efektívna</w:t>
      </w:r>
      <w:r w:rsidRPr="00AB00A4">
        <w:rPr>
          <w:sz w:val="22"/>
          <w:szCs w:val="22"/>
        </w:rPr>
        <w:t>.</w:t>
      </w:r>
    </w:p>
    <w:p w:rsidR="00731428" w:rsidRDefault="00731428" w:rsidP="00731428">
      <w:pPr>
        <w:spacing w:before="180"/>
        <w:jc w:val="both"/>
        <w:rPr>
          <w:sz w:val="22"/>
          <w:szCs w:val="22"/>
        </w:rPr>
      </w:pPr>
      <w:r w:rsidRPr="00430B9D">
        <w:rPr>
          <w:sz w:val="22"/>
          <w:szCs w:val="22"/>
        </w:rPr>
        <w:t xml:space="preserve">Okrem možnosti opakovateľného použitia prostriedkov </w:t>
      </w:r>
      <w:r w:rsidR="00D21821">
        <w:rPr>
          <w:sz w:val="22"/>
          <w:szCs w:val="22"/>
        </w:rPr>
        <w:t xml:space="preserve">na realizáciu cieľov </w:t>
      </w:r>
      <w:r w:rsidRPr="00430B9D">
        <w:rPr>
          <w:sz w:val="22"/>
          <w:szCs w:val="22"/>
        </w:rPr>
        <w:t xml:space="preserve">prioritnej osi patrí medzi výhody využitia finančných nástrojov možnosť navýšenia </w:t>
      </w:r>
      <w:r w:rsidR="00D21821">
        <w:rPr>
          <w:sz w:val="22"/>
          <w:szCs w:val="22"/>
        </w:rPr>
        <w:t>prostriedkov na</w:t>
      </w:r>
      <w:r>
        <w:rPr>
          <w:sz w:val="22"/>
          <w:szCs w:val="22"/>
        </w:rPr>
        <w:t> </w:t>
      </w:r>
      <w:r w:rsidRPr="00430B9D">
        <w:rPr>
          <w:sz w:val="22"/>
          <w:szCs w:val="22"/>
        </w:rPr>
        <w:t>dosiahnutie príslušných cieľov prostredníctvom pritiahnutia dodatočného kapitálu vďaka atraktívnemu nastaveniu daných nástrojov. Pritiahnutie dodatočného kapi</w:t>
      </w:r>
      <w:r>
        <w:rPr>
          <w:sz w:val="22"/>
          <w:szCs w:val="22"/>
        </w:rPr>
        <w:t>tálu je potrebné aj vzhľadom na limitovaný</w:t>
      </w:r>
      <w:r w:rsidRPr="00430B9D">
        <w:rPr>
          <w:sz w:val="22"/>
          <w:szCs w:val="22"/>
        </w:rPr>
        <w:t xml:space="preserve"> objem prostriedkov z </w:t>
      </w:r>
      <w:r>
        <w:rPr>
          <w:sz w:val="22"/>
          <w:szCs w:val="22"/>
        </w:rPr>
        <w:t>EŠIF</w:t>
      </w:r>
      <w:r w:rsidRPr="00430B9D">
        <w:rPr>
          <w:sz w:val="22"/>
          <w:szCs w:val="22"/>
        </w:rPr>
        <w:t xml:space="preserve"> na pokrytie všetkých investičných potrieb v príslušných oblastiach. Účasť súkromných investorov môže prispieť aj ku skvalitneniu implementácie projektov, a teda dodatočne prispieva k celkovo efektívnejšiemu po</w:t>
      </w:r>
      <w:r>
        <w:rPr>
          <w:sz w:val="22"/>
          <w:szCs w:val="22"/>
        </w:rPr>
        <w:t>užitiu finančných prostriedkov.</w:t>
      </w:r>
    </w:p>
    <w:p w:rsidR="000A1A12" w:rsidRPr="00034021" w:rsidRDefault="000A1A12" w:rsidP="000A1A12">
      <w:pPr>
        <w:spacing w:before="180"/>
        <w:jc w:val="both"/>
        <w:rPr>
          <w:sz w:val="22"/>
          <w:szCs w:val="22"/>
        </w:rPr>
      </w:pPr>
      <w:r w:rsidRPr="00034021">
        <w:rPr>
          <w:sz w:val="22"/>
          <w:szCs w:val="22"/>
        </w:rPr>
        <w:t>Príslušné aktivity bude možné podporiť rôznymi finančnými produktmi (úvery, záruky, kapitálové vklady, mezanínové financovanie a</w:t>
      </w:r>
      <w:r>
        <w:rPr>
          <w:sz w:val="22"/>
          <w:szCs w:val="22"/>
        </w:rPr>
        <w:t> </w:t>
      </w:r>
      <w:r w:rsidRPr="00034021">
        <w:rPr>
          <w:sz w:val="22"/>
          <w:szCs w:val="22"/>
        </w:rPr>
        <w:t>pod</w:t>
      </w:r>
      <w:r>
        <w:rPr>
          <w:sz w:val="22"/>
          <w:szCs w:val="22"/>
        </w:rPr>
        <w:t>.</w:t>
      </w:r>
      <w:r w:rsidRPr="00034021">
        <w:rPr>
          <w:sz w:val="22"/>
          <w:szCs w:val="22"/>
        </w:rPr>
        <w:t xml:space="preserve">). V súlade s čl. 37(2) nariadenia č. 1303/2013, </w:t>
      </w:r>
      <w:r w:rsidRPr="00034021">
        <w:rPr>
          <w:b/>
          <w:sz w:val="22"/>
          <w:szCs w:val="22"/>
        </w:rPr>
        <w:t>konkrétne aktivity, vhodná suma prostriedkov a podmienky implementácie finančných nástrojov vrátane možnej multiplikácie alokovaných prostriedkov a ich kombinácie s inými formami podpory budú vychádzať z výsledkov ex ante hodnotenia pre finančné nástroje</w:t>
      </w:r>
      <w:r w:rsidR="008F350F">
        <w:rPr>
          <w:rStyle w:val="Odkaznapoznmkupodiarou"/>
          <w:b/>
          <w:sz w:val="22"/>
          <w:szCs w:val="22"/>
        </w:rPr>
        <w:footnoteReference w:id="11"/>
      </w:r>
      <w:r>
        <w:rPr>
          <w:b/>
          <w:sz w:val="22"/>
          <w:szCs w:val="22"/>
        </w:rPr>
        <w:t>.</w:t>
      </w:r>
    </w:p>
    <w:p w:rsidR="001A218B" w:rsidRDefault="001A218B" w:rsidP="00740654">
      <w:pPr>
        <w:pStyle w:val="Nadpis4"/>
      </w:pPr>
      <w:r>
        <w:t>Plánované využitie veľkých projektov</w:t>
      </w:r>
    </w:p>
    <w:p w:rsidR="007B3B80" w:rsidRPr="007B3B80" w:rsidRDefault="007B3B80" w:rsidP="007B3B80">
      <w:pPr>
        <w:jc w:val="both"/>
        <w:rPr>
          <w:sz w:val="22"/>
          <w:szCs w:val="22"/>
        </w:rPr>
      </w:pPr>
      <w:r w:rsidRPr="00FE75AD">
        <w:rPr>
          <w:sz w:val="22"/>
          <w:szCs w:val="22"/>
        </w:rPr>
        <w:t>Zoznam veľkých projektov, ktorých spolufinancovanie z</w:t>
      </w:r>
      <w:r>
        <w:rPr>
          <w:sz w:val="22"/>
          <w:szCs w:val="22"/>
        </w:rPr>
        <w:t> </w:t>
      </w:r>
      <w:r w:rsidRPr="00FE75AD">
        <w:rPr>
          <w:sz w:val="22"/>
          <w:szCs w:val="22"/>
        </w:rPr>
        <w:t>prostriedkov prioritnej osi navrhuje RO </w:t>
      </w:r>
      <w:r>
        <w:rPr>
          <w:sz w:val="22"/>
          <w:szCs w:val="22"/>
        </w:rPr>
        <w:t>OPII</w:t>
      </w:r>
      <w:r w:rsidRPr="00FE75AD">
        <w:rPr>
          <w:sz w:val="22"/>
          <w:szCs w:val="22"/>
        </w:rPr>
        <w:t xml:space="preserve"> je uvedený v</w:t>
      </w:r>
      <w:r>
        <w:rPr>
          <w:sz w:val="22"/>
          <w:szCs w:val="22"/>
        </w:rPr>
        <w:t> kapitole 13.1</w:t>
      </w:r>
      <w:r w:rsidRPr="00FE75AD">
        <w:rPr>
          <w:sz w:val="22"/>
          <w:szCs w:val="22"/>
        </w:rPr>
        <w:t>.</w:t>
      </w:r>
      <w:r>
        <w:rPr>
          <w:sz w:val="22"/>
          <w:szCs w:val="22"/>
        </w:rPr>
        <w:t xml:space="preserve"> </w:t>
      </w:r>
      <w:r w:rsidRPr="005F1686">
        <w:rPr>
          <w:sz w:val="22"/>
          <w:szCs w:val="22"/>
        </w:rPr>
        <w:t>Grafické zobrazenie rozvoja železničnej infraštruktúry na Slovensku zabezpečené realizáciou zadefinovaných veľkých projektov je uvedené v</w:t>
      </w:r>
      <w:r>
        <w:rPr>
          <w:sz w:val="22"/>
          <w:szCs w:val="22"/>
        </w:rPr>
        <w:t> </w:t>
      </w:r>
      <w:r w:rsidRPr="005F1686">
        <w:rPr>
          <w:sz w:val="22"/>
          <w:szCs w:val="22"/>
        </w:rPr>
        <w:t xml:space="preserve">Prílohe </w:t>
      </w:r>
      <w:r>
        <w:rPr>
          <w:sz w:val="22"/>
          <w:szCs w:val="22"/>
        </w:rPr>
        <w:t>4.</w:t>
      </w:r>
    </w:p>
    <w:p w:rsidR="0055381F" w:rsidRDefault="0055381F" w:rsidP="00740654">
      <w:pPr>
        <w:pStyle w:val="Nadpis4"/>
      </w:pPr>
      <w:r>
        <w:t>Ukazovatele výstupu na úrovni investičnej priority a kategórie regiónu</w:t>
      </w:r>
    </w:p>
    <w:p w:rsidR="008C1732" w:rsidRPr="008C1732" w:rsidRDefault="008C1732" w:rsidP="008C1732">
      <w:pPr>
        <w:pStyle w:val="Tab"/>
      </w:pPr>
      <w:r>
        <w:t>Spoločné a špecifické ukazovatele výstupu</w:t>
      </w:r>
      <w:r w:rsidR="00D43FF2">
        <w:t xml:space="preserve"> investičnej priority 7a)</w:t>
      </w:r>
    </w:p>
    <w:tbl>
      <w:tblPr>
        <w:tblStyle w:val="Mriekatabuky"/>
        <w:tblW w:w="941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78"/>
        <w:gridCol w:w="2425"/>
        <w:gridCol w:w="903"/>
        <w:gridCol w:w="621"/>
        <w:gridCol w:w="1229"/>
        <w:gridCol w:w="1253"/>
        <w:gridCol w:w="1015"/>
        <w:gridCol w:w="1388"/>
      </w:tblGrid>
      <w:tr w:rsidR="008C1732" w:rsidTr="0095191D">
        <w:trPr>
          <w:trHeight w:val="487"/>
          <w:jc w:val="center"/>
        </w:trPr>
        <w:tc>
          <w:tcPr>
            <w:tcW w:w="578" w:type="dxa"/>
            <w:shd w:val="clear" w:color="auto" w:fill="C6D9F1" w:themeFill="text2" w:themeFillTint="33"/>
            <w:vAlign w:val="center"/>
          </w:tcPr>
          <w:p w:rsidR="008C1732" w:rsidRPr="008C1732" w:rsidRDefault="00854EA5" w:rsidP="00350B96">
            <w:pPr>
              <w:ind w:left="0"/>
              <w:jc w:val="center"/>
              <w:rPr>
                <w:b/>
                <w:sz w:val="18"/>
                <w:szCs w:val="18"/>
              </w:rPr>
            </w:pPr>
            <w:r>
              <w:rPr>
                <w:b/>
                <w:sz w:val="18"/>
                <w:szCs w:val="18"/>
              </w:rPr>
              <w:t>P. č.</w:t>
            </w:r>
          </w:p>
        </w:tc>
        <w:tc>
          <w:tcPr>
            <w:tcW w:w="2425" w:type="dxa"/>
            <w:shd w:val="clear" w:color="auto" w:fill="C6D9F1" w:themeFill="text2" w:themeFillTint="33"/>
            <w:vAlign w:val="center"/>
          </w:tcPr>
          <w:p w:rsidR="008C1732" w:rsidRPr="008C1732" w:rsidRDefault="008C1732" w:rsidP="00350B96">
            <w:pPr>
              <w:ind w:left="0"/>
              <w:jc w:val="center"/>
              <w:rPr>
                <w:b/>
                <w:sz w:val="18"/>
                <w:szCs w:val="18"/>
              </w:rPr>
            </w:pPr>
            <w:r w:rsidRPr="008C1732">
              <w:rPr>
                <w:b/>
                <w:sz w:val="18"/>
                <w:szCs w:val="18"/>
              </w:rPr>
              <w:t>Ukazovateľ výstupu</w:t>
            </w:r>
          </w:p>
        </w:tc>
        <w:tc>
          <w:tcPr>
            <w:tcW w:w="903" w:type="dxa"/>
            <w:shd w:val="clear" w:color="auto" w:fill="C6D9F1" w:themeFill="text2" w:themeFillTint="33"/>
            <w:vAlign w:val="center"/>
          </w:tcPr>
          <w:p w:rsidR="008C1732" w:rsidRPr="008C1732" w:rsidRDefault="008C1732" w:rsidP="00350B96">
            <w:pPr>
              <w:ind w:left="0"/>
              <w:jc w:val="center"/>
              <w:rPr>
                <w:b/>
                <w:sz w:val="18"/>
                <w:szCs w:val="18"/>
              </w:rPr>
            </w:pPr>
            <w:r w:rsidRPr="008C1732">
              <w:rPr>
                <w:b/>
                <w:sz w:val="18"/>
                <w:szCs w:val="18"/>
              </w:rPr>
              <w:t>Merná jednotka</w:t>
            </w:r>
          </w:p>
        </w:tc>
        <w:tc>
          <w:tcPr>
            <w:tcW w:w="621" w:type="dxa"/>
            <w:shd w:val="clear" w:color="auto" w:fill="C6D9F1" w:themeFill="text2" w:themeFillTint="33"/>
            <w:vAlign w:val="center"/>
          </w:tcPr>
          <w:p w:rsidR="008C1732" w:rsidRPr="008C1732" w:rsidRDefault="008C1732" w:rsidP="00350B96">
            <w:pPr>
              <w:ind w:left="0"/>
              <w:jc w:val="center"/>
              <w:rPr>
                <w:b/>
                <w:sz w:val="18"/>
                <w:szCs w:val="18"/>
              </w:rPr>
            </w:pPr>
            <w:r w:rsidRPr="008C1732">
              <w:rPr>
                <w:b/>
                <w:sz w:val="18"/>
                <w:szCs w:val="18"/>
              </w:rPr>
              <w:t>Fond</w:t>
            </w:r>
          </w:p>
        </w:tc>
        <w:tc>
          <w:tcPr>
            <w:tcW w:w="1229" w:type="dxa"/>
            <w:shd w:val="clear" w:color="auto" w:fill="C6D9F1" w:themeFill="text2" w:themeFillTint="33"/>
            <w:vAlign w:val="center"/>
          </w:tcPr>
          <w:p w:rsidR="008C1732" w:rsidRPr="008C1732" w:rsidRDefault="008C1732" w:rsidP="00350B96">
            <w:pPr>
              <w:ind w:left="0"/>
              <w:jc w:val="center"/>
              <w:rPr>
                <w:b/>
                <w:sz w:val="18"/>
                <w:szCs w:val="18"/>
              </w:rPr>
            </w:pPr>
            <w:r w:rsidRPr="008C1732">
              <w:rPr>
                <w:b/>
                <w:sz w:val="18"/>
                <w:szCs w:val="18"/>
              </w:rPr>
              <w:t>Kategória regiónu</w:t>
            </w:r>
          </w:p>
        </w:tc>
        <w:tc>
          <w:tcPr>
            <w:tcW w:w="1253" w:type="dxa"/>
            <w:shd w:val="clear" w:color="auto" w:fill="C6D9F1" w:themeFill="text2" w:themeFillTint="33"/>
            <w:vAlign w:val="center"/>
          </w:tcPr>
          <w:p w:rsidR="008C1732" w:rsidRPr="008C1732" w:rsidRDefault="008C1732" w:rsidP="00350B96">
            <w:pPr>
              <w:ind w:left="0"/>
              <w:jc w:val="center"/>
              <w:rPr>
                <w:b/>
                <w:sz w:val="18"/>
                <w:szCs w:val="18"/>
              </w:rPr>
            </w:pPr>
            <w:r w:rsidRPr="008C1732">
              <w:rPr>
                <w:b/>
                <w:sz w:val="18"/>
                <w:szCs w:val="18"/>
              </w:rPr>
              <w:t>Cieľová hodnota (2023)</w:t>
            </w:r>
          </w:p>
        </w:tc>
        <w:tc>
          <w:tcPr>
            <w:tcW w:w="1015" w:type="dxa"/>
            <w:shd w:val="clear" w:color="auto" w:fill="C6D9F1" w:themeFill="text2" w:themeFillTint="33"/>
            <w:vAlign w:val="center"/>
          </w:tcPr>
          <w:p w:rsidR="008C1732" w:rsidRPr="008C1732" w:rsidRDefault="008C1732" w:rsidP="00350B96">
            <w:pPr>
              <w:ind w:left="0"/>
              <w:jc w:val="center"/>
              <w:rPr>
                <w:b/>
                <w:sz w:val="18"/>
                <w:szCs w:val="18"/>
              </w:rPr>
            </w:pPr>
            <w:r w:rsidRPr="008C1732">
              <w:rPr>
                <w:b/>
                <w:sz w:val="18"/>
                <w:szCs w:val="18"/>
              </w:rPr>
              <w:t>Zdroj údajov</w:t>
            </w:r>
          </w:p>
        </w:tc>
        <w:tc>
          <w:tcPr>
            <w:tcW w:w="1388" w:type="dxa"/>
            <w:shd w:val="clear" w:color="auto" w:fill="C6D9F1" w:themeFill="text2" w:themeFillTint="33"/>
            <w:vAlign w:val="center"/>
          </w:tcPr>
          <w:p w:rsidR="008C1732" w:rsidRPr="008C1732" w:rsidRDefault="008C1732" w:rsidP="00350B96">
            <w:pPr>
              <w:ind w:left="0"/>
              <w:jc w:val="center"/>
              <w:rPr>
                <w:b/>
                <w:sz w:val="18"/>
                <w:szCs w:val="18"/>
              </w:rPr>
            </w:pPr>
            <w:r w:rsidRPr="008C1732">
              <w:rPr>
                <w:b/>
                <w:sz w:val="18"/>
                <w:szCs w:val="18"/>
              </w:rPr>
              <w:t>Frekvencia vykazovania</w:t>
            </w:r>
          </w:p>
        </w:tc>
      </w:tr>
      <w:tr w:rsidR="008C1732" w:rsidRPr="00D43FF2" w:rsidTr="0095191D">
        <w:trPr>
          <w:trHeight w:val="680"/>
          <w:jc w:val="center"/>
        </w:trPr>
        <w:tc>
          <w:tcPr>
            <w:tcW w:w="578" w:type="dxa"/>
            <w:shd w:val="clear" w:color="auto" w:fill="auto"/>
            <w:vAlign w:val="center"/>
          </w:tcPr>
          <w:p w:rsidR="008C1732" w:rsidRPr="00D43FF2" w:rsidRDefault="00854EA5" w:rsidP="005917D8">
            <w:pPr>
              <w:ind w:left="0"/>
              <w:jc w:val="center"/>
              <w:rPr>
                <w:sz w:val="18"/>
                <w:szCs w:val="18"/>
              </w:rPr>
            </w:pPr>
            <w:r>
              <w:rPr>
                <w:sz w:val="18"/>
                <w:szCs w:val="18"/>
              </w:rPr>
              <w:t>1.</w:t>
            </w:r>
          </w:p>
        </w:tc>
        <w:tc>
          <w:tcPr>
            <w:tcW w:w="2425" w:type="dxa"/>
            <w:shd w:val="clear" w:color="auto" w:fill="auto"/>
            <w:vAlign w:val="center"/>
          </w:tcPr>
          <w:p w:rsidR="00320259" w:rsidRPr="00D43FF2" w:rsidRDefault="008C1732" w:rsidP="00CB59EA">
            <w:pPr>
              <w:ind w:left="0"/>
              <w:rPr>
                <w:sz w:val="18"/>
                <w:szCs w:val="18"/>
              </w:rPr>
            </w:pPr>
            <w:r w:rsidRPr="00D43FF2">
              <w:rPr>
                <w:sz w:val="18"/>
                <w:szCs w:val="18"/>
              </w:rPr>
              <w:t>Celková dĺžka rekonštruovaných alebo zrenovovaných</w:t>
            </w:r>
            <w:r w:rsidR="00320259">
              <w:rPr>
                <w:sz w:val="18"/>
                <w:szCs w:val="18"/>
              </w:rPr>
              <w:t xml:space="preserve"> železničných</w:t>
            </w:r>
            <w:r w:rsidRPr="00D43FF2">
              <w:rPr>
                <w:sz w:val="18"/>
                <w:szCs w:val="18"/>
              </w:rPr>
              <w:t xml:space="preserve"> tratí </w:t>
            </w:r>
            <w:r w:rsidR="00320259">
              <w:rPr>
                <w:sz w:val="18"/>
                <w:szCs w:val="18"/>
              </w:rPr>
              <w:t>(</w:t>
            </w:r>
            <w:r w:rsidRPr="00D43FF2">
              <w:rPr>
                <w:sz w:val="18"/>
                <w:szCs w:val="18"/>
              </w:rPr>
              <w:t>TEN-T</w:t>
            </w:r>
            <w:r w:rsidR="00CB59EA">
              <w:rPr>
                <w:sz w:val="18"/>
                <w:szCs w:val="18"/>
              </w:rPr>
              <w:t xml:space="preserve"> CORE</w:t>
            </w:r>
            <w:r w:rsidR="00320259">
              <w:rPr>
                <w:sz w:val="18"/>
                <w:szCs w:val="18"/>
              </w:rPr>
              <w:t>)</w:t>
            </w:r>
          </w:p>
        </w:tc>
        <w:tc>
          <w:tcPr>
            <w:tcW w:w="903" w:type="dxa"/>
            <w:shd w:val="clear" w:color="auto" w:fill="auto"/>
            <w:vAlign w:val="center"/>
          </w:tcPr>
          <w:p w:rsidR="008C1732" w:rsidRPr="00D43FF2" w:rsidRDefault="008C1732" w:rsidP="00D43FF2">
            <w:pPr>
              <w:ind w:left="0"/>
              <w:jc w:val="center"/>
              <w:rPr>
                <w:i/>
                <w:sz w:val="18"/>
                <w:szCs w:val="18"/>
              </w:rPr>
            </w:pPr>
            <w:r w:rsidRPr="00D43FF2">
              <w:rPr>
                <w:i/>
                <w:sz w:val="18"/>
                <w:szCs w:val="18"/>
              </w:rPr>
              <w:t>km</w:t>
            </w:r>
          </w:p>
        </w:tc>
        <w:tc>
          <w:tcPr>
            <w:tcW w:w="621" w:type="dxa"/>
            <w:shd w:val="clear" w:color="auto" w:fill="auto"/>
            <w:vAlign w:val="center"/>
          </w:tcPr>
          <w:p w:rsidR="008C1732" w:rsidRPr="00D43FF2" w:rsidRDefault="008C1732" w:rsidP="00D43FF2">
            <w:pPr>
              <w:ind w:left="0"/>
              <w:jc w:val="center"/>
              <w:rPr>
                <w:i/>
                <w:sz w:val="18"/>
                <w:szCs w:val="18"/>
              </w:rPr>
            </w:pPr>
            <w:r w:rsidRPr="00D43FF2">
              <w:rPr>
                <w:i/>
                <w:sz w:val="18"/>
                <w:szCs w:val="18"/>
              </w:rPr>
              <w:t>KF</w:t>
            </w:r>
          </w:p>
        </w:tc>
        <w:tc>
          <w:tcPr>
            <w:tcW w:w="1229" w:type="dxa"/>
            <w:shd w:val="clear" w:color="auto" w:fill="auto"/>
            <w:vAlign w:val="center"/>
          </w:tcPr>
          <w:p w:rsidR="008C1732" w:rsidRPr="00D43FF2" w:rsidRDefault="008C1732" w:rsidP="00D43FF2">
            <w:pPr>
              <w:ind w:left="0"/>
              <w:jc w:val="center"/>
              <w:rPr>
                <w:i/>
                <w:sz w:val="18"/>
                <w:szCs w:val="18"/>
              </w:rPr>
            </w:pPr>
            <w:r w:rsidRPr="00D43FF2">
              <w:rPr>
                <w:i/>
                <w:sz w:val="18"/>
                <w:szCs w:val="18"/>
              </w:rPr>
              <w:t>N/A</w:t>
            </w:r>
          </w:p>
        </w:tc>
        <w:tc>
          <w:tcPr>
            <w:tcW w:w="1253" w:type="dxa"/>
            <w:shd w:val="clear" w:color="auto" w:fill="auto"/>
            <w:vAlign w:val="center"/>
          </w:tcPr>
          <w:p w:rsidR="008C1732" w:rsidRPr="00D43FF2" w:rsidRDefault="008C1732" w:rsidP="00D43FF2">
            <w:pPr>
              <w:ind w:left="0"/>
              <w:jc w:val="center"/>
              <w:rPr>
                <w:i/>
                <w:sz w:val="18"/>
                <w:szCs w:val="18"/>
              </w:rPr>
            </w:pPr>
          </w:p>
        </w:tc>
        <w:tc>
          <w:tcPr>
            <w:tcW w:w="1015" w:type="dxa"/>
            <w:vAlign w:val="center"/>
          </w:tcPr>
          <w:p w:rsidR="008C1732" w:rsidRPr="00D43FF2" w:rsidRDefault="008C1732" w:rsidP="00D43FF2">
            <w:pPr>
              <w:ind w:left="0"/>
              <w:jc w:val="center"/>
              <w:rPr>
                <w:i/>
                <w:sz w:val="18"/>
                <w:szCs w:val="18"/>
              </w:rPr>
            </w:pPr>
            <w:r w:rsidRPr="00D43FF2">
              <w:rPr>
                <w:i/>
                <w:sz w:val="18"/>
                <w:szCs w:val="18"/>
              </w:rPr>
              <w:t>RO OPII</w:t>
            </w:r>
          </w:p>
        </w:tc>
        <w:tc>
          <w:tcPr>
            <w:tcW w:w="1388" w:type="dxa"/>
            <w:vAlign w:val="center"/>
          </w:tcPr>
          <w:p w:rsidR="008C1732" w:rsidRPr="00D43FF2" w:rsidRDefault="004F0234" w:rsidP="00D43FF2">
            <w:pPr>
              <w:ind w:left="0"/>
              <w:jc w:val="center"/>
              <w:rPr>
                <w:i/>
                <w:sz w:val="18"/>
                <w:szCs w:val="18"/>
              </w:rPr>
            </w:pPr>
            <w:r w:rsidRPr="00D43FF2">
              <w:rPr>
                <w:i/>
                <w:sz w:val="18"/>
                <w:szCs w:val="18"/>
              </w:rPr>
              <w:t>Ročne</w:t>
            </w:r>
          </w:p>
        </w:tc>
      </w:tr>
    </w:tbl>
    <w:p w:rsidR="00350B96" w:rsidRPr="00CB59EA" w:rsidRDefault="00CB59EA" w:rsidP="00350B96">
      <w:pPr>
        <w:rPr>
          <w:sz w:val="20"/>
          <w:szCs w:val="20"/>
        </w:rPr>
      </w:pPr>
      <w:r w:rsidRPr="000C1600">
        <w:rPr>
          <w:sz w:val="20"/>
          <w:szCs w:val="20"/>
          <w:u w:val="single"/>
        </w:rPr>
        <w:t>Pozn</w:t>
      </w:r>
      <w:r w:rsidRPr="000C1600">
        <w:rPr>
          <w:sz w:val="20"/>
          <w:szCs w:val="20"/>
        </w:rPr>
        <w:t xml:space="preserve">.: Hodnoty ukazovateľov budú doplnené v ďalšom štádiu prípravy dokumentu. </w:t>
      </w:r>
    </w:p>
    <w:p w:rsidR="00D43FF2" w:rsidRPr="00D43FF2" w:rsidRDefault="00D43FF2" w:rsidP="00D43FF2">
      <w:pPr>
        <w:pStyle w:val="Tab"/>
      </w:pPr>
      <w:r w:rsidRPr="00D43FF2">
        <w:t>Spoločné a špecifické ukazovatele výstupu investičnej priority 7d)</w:t>
      </w:r>
    </w:p>
    <w:tbl>
      <w:tblPr>
        <w:tblStyle w:val="Mriekatabuky"/>
        <w:tblW w:w="941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78"/>
        <w:gridCol w:w="2425"/>
        <w:gridCol w:w="903"/>
        <w:gridCol w:w="621"/>
        <w:gridCol w:w="1229"/>
        <w:gridCol w:w="1253"/>
        <w:gridCol w:w="1015"/>
        <w:gridCol w:w="1388"/>
      </w:tblGrid>
      <w:tr w:rsidR="00D43FF2" w:rsidRPr="00D43FF2" w:rsidTr="0095191D">
        <w:trPr>
          <w:trHeight w:val="487"/>
          <w:jc w:val="center"/>
        </w:trPr>
        <w:tc>
          <w:tcPr>
            <w:tcW w:w="578" w:type="dxa"/>
            <w:shd w:val="clear" w:color="auto" w:fill="C6D9F1" w:themeFill="text2" w:themeFillTint="33"/>
            <w:vAlign w:val="center"/>
          </w:tcPr>
          <w:p w:rsidR="00D43FF2" w:rsidRPr="00D43FF2" w:rsidRDefault="00854EA5" w:rsidP="00350B96">
            <w:pPr>
              <w:ind w:left="0"/>
              <w:jc w:val="center"/>
              <w:rPr>
                <w:b/>
                <w:sz w:val="18"/>
                <w:szCs w:val="18"/>
              </w:rPr>
            </w:pPr>
            <w:r>
              <w:rPr>
                <w:b/>
                <w:sz w:val="18"/>
                <w:szCs w:val="18"/>
              </w:rPr>
              <w:t>P. č.</w:t>
            </w:r>
          </w:p>
        </w:tc>
        <w:tc>
          <w:tcPr>
            <w:tcW w:w="2425" w:type="dxa"/>
            <w:shd w:val="clear" w:color="auto" w:fill="C6D9F1" w:themeFill="text2" w:themeFillTint="33"/>
            <w:vAlign w:val="center"/>
          </w:tcPr>
          <w:p w:rsidR="00D43FF2" w:rsidRPr="00D43FF2" w:rsidRDefault="00D43FF2" w:rsidP="00350B96">
            <w:pPr>
              <w:ind w:left="0"/>
              <w:jc w:val="center"/>
              <w:rPr>
                <w:b/>
                <w:sz w:val="18"/>
                <w:szCs w:val="18"/>
              </w:rPr>
            </w:pPr>
            <w:r w:rsidRPr="00D43FF2">
              <w:rPr>
                <w:b/>
                <w:sz w:val="18"/>
                <w:szCs w:val="18"/>
              </w:rPr>
              <w:t>Ukazovateľ výstupu</w:t>
            </w:r>
          </w:p>
        </w:tc>
        <w:tc>
          <w:tcPr>
            <w:tcW w:w="903" w:type="dxa"/>
            <w:shd w:val="clear" w:color="auto" w:fill="C6D9F1" w:themeFill="text2" w:themeFillTint="33"/>
            <w:vAlign w:val="center"/>
          </w:tcPr>
          <w:p w:rsidR="00D43FF2" w:rsidRPr="00D43FF2" w:rsidRDefault="00D43FF2" w:rsidP="00350B96">
            <w:pPr>
              <w:ind w:left="0"/>
              <w:jc w:val="center"/>
              <w:rPr>
                <w:b/>
                <w:sz w:val="18"/>
                <w:szCs w:val="18"/>
              </w:rPr>
            </w:pPr>
            <w:r w:rsidRPr="00D43FF2">
              <w:rPr>
                <w:b/>
                <w:sz w:val="18"/>
                <w:szCs w:val="18"/>
              </w:rPr>
              <w:t>Merná jednotka</w:t>
            </w:r>
          </w:p>
        </w:tc>
        <w:tc>
          <w:tcPr>
            <w:tcW w:w="621" w:type="dxa"/>
            <w:shd w:val="clear" w:color="auto" w:fill="C6D9F1" w:themeFill="text2" w:themeFillTint="33"/>
            <w:vAlign w:val="center"/>
          </w:tcPr>
          <w:p w:rsidR="00D43FF2" w:rsidRPr="00D43FF2" w:rsidRDefault="00D43FF2" w:rsidP="00350B96">
            <w:pPr>
              <w:ind w:left="0"/>
              <w:jc w:val="center"/>
              <w:rPr>
                <w:b/>
                <w:sz w:val="18"/>
                <w:szCs w:val="18"/>
              </w:rPr>
            </w:pPr>
            <w:r w:rsidRPr="00D43FF2">
              <w:rPr>
                <w:b/>
                <w:sz w:val="18"/>
                <w:szCs w:val="18"/>
              </w:rPr>
              <w:t>Fond</w:t>
            </w:r>
          </w:p>
        </w:tc>
        <w:tc>
          <w:tcPr>
            <w:tcW w:w="1229" w:type="dxa"/>
            <w:shd w:val="clear" w:color="auto" w:fill="C6D9F1" w:themeFill="text2" w:themeFillTint="33"/>
            <w:vAlign w:val="center"/>
          </w:tcPr>
          <w:p w:rsidR="00D43FF2" w:rsidRPr="00D43FF2" w:rsidRDefault="00D43FF2" w:rsidP="00350B96">
            <w:pPr>
              <w:ind w:left="0"/>
              <w:jc w:val="center"/>
              <w:rPr>
                <w:b/>
                <w:sz w:val="18"/>
                <w:szCs w:val="18"/>
              </w:rPr>
            </w:pPr>
            <w:r w:rsidRPr="00D43FF2">
              <w:rPr>
                <w:b/>
                <w:sz w:val="18"/>
                <w:szCs w:val="18"/>
              </w:rPr>
              <w:t>Kategória regiónu</w:t>
            </w:r>
          </w:p>
        </w:tc>
        <w:tc>
          <w:tcPr>
            <w:tcW w:w="1253" w:type="dxa"/>
            <w:shd w:val="clear" w:color="auto" w:fill="C6D9F1" w:themeFill="text2" w:themeFillTint="33"/>
            <w:vAlign w:val="center"/>
          </w:tcPr>
          <w:p w:rsidR="00D43FF2" w:rsidRPr="00D43FF2" w:rsidRDefault="00D43FF2" w:rsidP="00350B96">
            <w:pPr>
              <w:ind w:left="0"/>
              <w:jc w:val="center"/>
              <w:rPr>
                <w:b/>
                <w:sz w:val="18"/>
                <w:szCs w:val="18"/>
              </w:rPr>
            </w:pPr>
            <w:r w:rsidRPr="00D43FF2">
              <w:rPr>
                <w:b/>
                <w:sz w:val="18"/>
                <w:szCs w:val="18"/>
              </w:rPr>
              <w:t>Cieľová hodnota (2023)</w:t>
            </w:r>
          </w:p>
        </w:tc>
        <w:tc>
          <w:tcPr>
            <w:tcW w:w="1015" w:type="dxa"/>
            <w:shd w:val="clear" w:color="auto" w:fill="C6D9F1" w:themeFill="text2" w:themeFillTint="33"/>
            <w:vAlign w:val="center"/>
          </w:tcPr>
          <w:p w:rsidR="00D43FF2" w:rsidRPr="00D43FF2" w:rsidRDefault="00D43FF2" w:rsidP="00350B96">
            <w:pPr>
              <w:ind w:left="0"/>
              <w:jc w:val="center"/>
              <w:rPr>
                <w:b/>
                <w:sz w:val="18"/>
                <w:szCs w:val="18"/>
              </w:rPr>
            </w:pPr>
            <w:r w:rsidRPr="00D43FF2">
              <w:rPr>
                <w:b/>
                <w:sz w:val="18"/>
                <w:szCs w:val="18"/>
              </w:rPr>
              <w:t>Zdroj údajov</w:t>
            </w:r>
          </w:p>
        </w:tc>
        <w:tc>
          <w:tcPr>
            <w:tcW w:w="1388" w:type="dxa"/>
            <w:shd w:val="clear" w:color="auto" w:fill="C6D9F1" w:themeFill="text2" w:themeFillTint="33"/>
            <w:vAlign w:val="center"/>
          </w:tcPr>
          <w:p w:rsidR="00D43FF2" w:rsidRPr="00D43FF2" w:rsidRDefault="00D43FF2" w:rsidP="00350B96">
            <w:pPr>
              <w:ind w:left="0"/>
              <w:jc w:val="center"/>
              <w:rPr>
                <w:b/>
                <w:sz w:val="18"/>
                <w:szCs w:val="18"/>
              </w:rPr>
            </w:pPr>
            <w:r w:rsidRPr="00D43FF2">
              <w:rPr>
                <w:b/>
                <w:sz w:val="18"/>
                <w:szCs w:val="18"/>
              </w:rPr>
              <w:t>Frekvencia vykazovania</w:t>
            </w:r>
          </w:p>
        </w:tc>
      </w:tr>
      <w:tr w:rsidR="00D43FF2" w:rsidRPr="00D43FF2" w:rsidTr="0095191D">
        <w:trPr>
          <w:trHeight w:val="680"/>
          <w:jc w:val="center"/>
        </w:trPr>
        <w:tc>
          <w:tcPr>
            <w:tcW w:w="578" w:type="dxa"/>
            <w:shd w:val="clear" w:color="auto" w:fill="auto"/>
            <w:vAlign w:val="center"/>
          </w:tcPr>
          <w:p w:rsidR="00D43FF2" w:rsidRPr="00D43FF2" w:rsidRDefault="00854EA5" w:rsidP="006A2D5B">
            <w:pPr>
              <w:ind w:left="0"/>
              <w:jc w:val="center"/>
              <w:rPr>
                <w:sz w:val="18"/>
                <w:szCs w:val="18"/>
              </w:rPr>
            </w:pPr>
            <w:r>
              <w:rPr>
                <w:sz w:val="18"/>
                <w:szCs w:val="18"/>
              </w:rPr>
              <w:t>1.</w:t>
            </w:r>
          </w:p>
        </w:tc>
        <w:tc>
          <w:tcPr>
            <w:tcW w:w="2425" w:type="dxa"/>
            <w:shd w:val="clear" w:color="auto" w:fill="auto"/>
            <w:vAlign w:val="center"/>
          </w:tcPr>
          <w:p w:rsidR="00D43FF2" w:rsidRPr="00D43FF2" w:rsidRDefault="00D43FF2" w:rsidP="00CB59EA">
            <w:pPr>
              <w:ind w:left="0"/>
              <w:rPr>
                <w:sz w:val="18"/>
                <w:szCs w:val="18"/>
              </w:rPr>
            </w:pPr>
            <w:r w:rsidRPr="00D43FF2">
              <w:rPr>
                <w:sz w:val="18"/>
                <w:szCs w:val="18"/>
              </w:rPr>
              <w:t>Dĺžka železničných tratí</w:t>
            </w:r>
            <w:r w:rsidR="005E7C00">
              <w:rPr>
                <w:sz w:val="18"/>
                <w:szCs w:val="18"/>
              </w:rPr>
              <w:t xml:space="preserve"> TEN-T CORE</w:t>
            </w:r>
            <w:r w:rsidRPr="00D43FF2">
              <w:rPr>
                <w:sz w:val="18"/>
                <w:szCs w:val="18"/>
              </w:rPr>
              <w:t xml:space="preserve"> so zavedeným systémom ERTMS</w:t>
            </w:r>
          </w:p>
        </w:tc>
        <w:tc>
          <w:tcPr>
            <w:tcW w:w="903" w:type="dxa"/>
            <w:shd w:val="clear" w:color="auto" w:fill="auto"/>
            <w:vAlign w:val="center"/>
          </w:tcPr>
          <w:p w:rsidR="00D43FF2" w:rsidRPr="00D43FF2" w:rsidRDefault="00D43FF2" w:rsidP="00D43FF2">
            <w:pPr>
              <w:ind w:left="0"/>
              <w:jc w:val="center"/>
              <w:rPr>
                <w:i/>
                <w:sz w:val="18"/>
                <w:szCs w:val="18"/>
              </w:rPr>
            </w:pPr>
            <w:r w:rsidRPr="00D43FF2">
              <w:rPr>
                <w:i/>
                <w:sz w:val="18"/>
                <w:szCs w:val="18"/>
              </w:rPr>
              <w:t>km</w:t>
            </w:r>
          </w:p>
        </w:tc>
        <w:tc>
          <w:tcPr>
            <w:tcW w:w="621" w:type="dxa"/>
            <w:shd w:val="clear" w:color="auto" w:fill="auto"/>
            <w:vAlign w:val="center"/>
          </w:tcPr>
          <w:p w:rsidR="00D43FF2" w:rsidRPr="00D43FF2" w:rsidRDefault="00D43FF2" w:rsidP="00D43FF2">
            <w:pPr>
              <w:ind w:left="0"/>
              <w:jc w:val="center"/>
              <w:rPr>
                <w:i/>
                <w:sz w:val="18"/>
                <w:szCs w:val="18"/>
              </w:rPr>
            </w:pPr>
            <w:r w:rsidRPr="00D43FF2">
              <w:rPr>
                <w:i/>
                <w:sz w:val="18"/>
                <w:szCs w:val="18"/>
              </w:rPr>
              <w:t>KF</w:t>
            </w:r>
          </w:p>
        </w:tc>
        <w:tc>
          <w:tcPr>
            <w:tcW w:w="1229" w:type="dxa"/>
            <w:shd w:val="clear" w:color="auto" w:fill="auto"/>
            <w:vAlign w:val="center"/>
          </w:tcPr>
          <w:p w:rsidR="00D43FF2" w:rsidRPr="00D43FF2" w:rsidRDefault="00D43FF2" w:rsidP="00D43FF2">
            <w:pPr>
              <w:ind w:left="0"/>
              <w:jc w:val="center"/>
              <w:rPr>
                <w:i/>
                <w:sz w:val="18"/>
                <w:szCs w:val="18"/>
              </w:rPr>
            </w:pPr>
            <w:r w:rsidRPr="00D43FF2">
              <w:rPr>
                <w:i/>
                <w:sz w:val="18"/>
                <w:szCs w:val="18"/>
              </w:rPr>
              <w:t>N/A</w:t>
            </w:r>
          </w:p>
        </w:tc>
        <w:tc>
          <w:tcPr>
            <w:tcW w:w="1253" w:type="dxa"/>
            <w:shd w:val="clear" w:color="auto" w:fill="auto"/>
            <w:vAlign w:val="center"/>
          </w:tcPr>
          <w:p w:rsidR="00D43FF2" w:rsidRPr="00D43FF2" w:rsidRDefault="00D43FF2" w:rsidP="00D43FF2">
            <w:pPr>
              <w:ind w:left="0"/>
              <w:jc w:val="center"/>
              <w:rPr>
                <w:i/>
                <w:sz w:val="18"/>
                <w:szCs w:val="18"/>
              </w:rPr>
            </w:pPr>
          </w:p>
        </w:tc>
        <w:tc>
          <w:tcPr>
            <w:tcW w:w="1015" w:type="dxa"/>
            <w:vAlign w:val="center"/>
          </w:tcPr>
          <w:p w:rsidR="00D43FF2" w:rsidRPr="00D43FF2" w:rsidRDefault="00D43FF2" w:rsidP="00D43FF2">
            <w:pPr>
              <w:ind w:left="0"/>
              <w:jc w:val="center"/>
              <w:rPr>
                <w:i/>
                <w:sz w:val="18"/>
                <w:szCs w:val="18"/>
              </w:rPr>
            </w:pPr>
            <w:r w:rsidRPr="00D43FF2">
              <w:rPr>
                <w:i/>
                <w:sz w:val="18"/>
                <w:szCs w:val="18"/>
              </w:rPr>
              <w:t>RO OPII</w:t>
            </w:r>
          </w:p>
        </w:tc>
        <w:tc>
          <w:tcPr>
            <w:tcW w:w="1388" w:type="dxa"/>
            <w:vAlign w:val="center"/>
          </w:tcPr>
          <w:p w:rsidR="00D43FF2" w:rsidRPr="00D43FF2" w:rsidRDefault="00D43FF2" w:rsidP="00D43FF2">
            <w:pPr>
              <w:ind w:left="0"/>
              <w:jc w:val="center"/>
              <w:rPr>
                <w:i/>
                <w:sz w:val="18"/>
                <w:szCs w:val="18"/>
              </w:rPr>
            </w:pPr>
            <w:r w:rsidRPr="00D43FF2">
              <w:rPr>
                <w:i/>
                <w:sz w:val="18"/>
                <w:szCs w:val="18"/>
              </w:rPr>
              <w:t>Ročne</w:t>
            </w:r>
          </w:p>
        </w:tc>
      </w:tr>
      <w:tr w:rsidR="00D43FF2" w:rsidRPr="00D43FF2" w:rsidTr="0095191D">
        <w:trPr>
          <w:trHeight w:val="680"/>
          <w:jc w:val="center"/>
        </w:trPr>
        <w:tc>
          <w:tcPr>
            <w:tcW w:w="578" w:type="dxa"/>
            <w:shd w:val="clear" w:color="auto" w:fill="auto"/>
            <w:vAlign w:val="center"/>
          </w:tcPr>
          <w:p w:rsidR="00D43FF2" w:rsidRPr="00D43FF2" w:rsidRDefault="00854EA5" w:rsidP="00854EA5">
            <w:pPr>
              <w:ind w:left="0"/>
              <w:jc w:val="center"/>
              <w:rPr>
                <w:sz w:val="18"/>
                <w:szCs w:val="18"/>
              </w:rPr>
            </w:pPr>
            <w:r>
              <w:rPr>
                <w:sz w:val="18"/>
                <w:szCs w:val="18"/>
              </w:rPr>
              <w:lastRenderedPageBreak/>
              <w:t>2.</w:t>
            </w:r>
          </w:p>
        </w:tc>
        <w:tc>
          <w:tcPr>
            <w:tcW w:w="2425" w:type="dxa"/>
            <w:shd w:val="clear" w:color="auto" w:fill="auto"/>
            <w:vAlign w:val="center"/>
          </w:tcPr>
          <w:p w:rsidR="00D43FF2" w:rsidRPr="00D43FF2" w:rsidRDefault="00225F13" w:rsidP="00CB59EA">
            <w:pPr>
              <w:ind w:left="0"/>
              <w:rPr>
                <w:sz w:val="18"/>
                <w:szCs w:val="18"/>
              </w:rPr>
            </w:pPr>
            <w:r>
              <w:rPr>
                <w:sz w:val="18"/>
                <w:szCs w:val="18"/>
              </w:rPr>
              <w:t>Počet obnovených</w:t>
            </w:r>
            <w:r w:rsidR="00D43FF2" w:rsidRPr="00D43FF2">
              <w:rPr>
                <w:sz w:val="18"/>
                <w:szCs w:val="18"/>
              </w:rPr>
              <w:t xml:space="preserve"> </w:t>
            </w:r>
            <w:r w:rsidR="00CB59EA">
              <w:rPr>
                <w:sz w:val="18"/>
                <w:szCs w:val="18"/>
              </w:rPr>
              <w:t xml:space="preserve">vlakových súprav v </w:t>
            </w:r>
            <w:r>
              <w:rPr>
                <w:sz w:val="18"/>
                <w:szCs w:val="18"/>
              </w:rPr>
              <w:t>železničnej verejnej osobnej</w:t>
            </w:r>
            <w:r w:rsidR="00D43FF2" w:rsidRPr="00D43FF2">
              <w:rPr>
                <w:sz w:val="18"/>
                <w:szCs w:val="18"/>
              </w:rPr>
              <w:t xml:space="preserve"> doprav</w:t>
            </w:r>
            <w:r w:rsidR="00CB59EA">
              <w:rPr>
                <w:sz w:val="18"/>
                <w:szCs w:val="18"/>
              </w:rPr>
              <w:t>e</w:t>
            </w:r>
          </w:p>
        </w:tc>
        <w:tc>
          <w:tcPr>
            <w:tcW w:w="903" w:type="dxa"/>
            <w:shd w:val="clear" w:color="auto" w:fill="auto"/>
            <w:vAlign w:val="center"/>
          </w:tcPr>
          <w:p w:rsidR="00D43FF2" w:rsidRPr="00D43FF2" w:rsidRDefault="00D43FF2" w:rsidP="00D43FF2">
            <w:pPr>
              <w:ind w:left="0"/>
              <w:jc w:val="center"/>
              <w:rPr>
                <w:i/>
                <w:sz w:val="18"/>
                <w:szCs w:val="18"/>
              </w:rPr>
            </w:pPr>
            <w:r w:rsidRPr="00D43FF2">
              <w:rPr>
                <w:i/>
                <w:sz w:val="18"/>
                <w:szCs w:val="18"/>
              </w:rPr>
              <w:t>počet</w:t>
            </w:r>
          </w:p>
        </w:tc>
        <w:tc>
          <w:tcPr>
            <w:tcW w:w="621" w:type="dxa"/>
            <w:shd w:val="clear" w:color="auto" w:fill="auto"/>
            <w:vAlign w:val="center"/>
          </w:tcPr>
          <w:p w:rsidR="00D43FF2" w:rsidRPr="00D43FF2" w:rsidRDefault="00D43FF2" w:rsidP="00D43FF2">
            <w:pPr>
              <w:ind w:left="0"/>
              <w:jc w:val="center"/>
              <w:rPr>
                <w:i/>
                <w:sz w:val="18"/>
                <w:szCs w:val="18"/>
              </w:rPr>
            </w:pPr>
            <w:r w:rsidRPr="00D43FF2">
              <w:rPr>
                <w:i/>
                <w:sz w:val="18"/>
                <w:szCs w:val="18"/>
              </w:rPr>
              <w:t>KF</w:t>
            </w:r>
          </w:p>
        </w:tc>
        <w:tc>
          <w:tcPr>
            <w:tcW w:w="1229" w:type="dxa"/>
            <w:shd w:val="clear" w:color="auto" w:fill="auto"/>
            <w:vAlign w:val="center"/>
          </w:tcPr>
          <w:p w:rsidR="00D43FF2" w:rsidRPr="00D43FF2" w:rsidRDefault="00D43FF2" w:rsidP="00D43FF2">
            <w:pPr>
              <w:ind w:left="0"/>
              <w:jc w:val="center"/>
              <w:rPr>
                <w:i/>
                <w:sz w:val="18"/>
                <w:szCs w:val="18"/>
              </w:rPr>
            </w:pPr>
            <w:r w:rsidRPr="00D43FF2">
              <w:rPr>
                <w:i/>
                <w:sz w:val="18"/>
                <w:szCs w:val="18"/>
              </w:rPr>
              <w:t>N/A</w:t>
            </w:r>
          </w:p>
        </w:tc>
        <w:tc>
          <w:tcPr>
            <w:tcW w:w="1253" w:type="dxa"/>
            <w:shd w:val="clear" w:color="auto" w:fill="auto"/>
            <w:vAlign w:val="center"/>
          </w:tcPr>
          <w:p w:rsidR="00D43FF2" w:rsidRPr="00D43FF2" w:rsidRDefault="00D43FF2" w:rsidP="00D43FF2">
            <w:pPr>
              <w:ind w:left="0"/>
              <w:jc w:val="center"/>
              <w:rPr>
                <w:i/>
                <w:sz w:val="18"/>
                <w:szCs w:val="18"/>
              </w:rPr>
            </w:pPr>
          </w:p>
        </w:tc>
        <w:tc>
          <w:tcPr>
            <w:tcW w:w="1015" w:type="dxa"/>
            <w:vAlign w:val="center"/>
          </w:tcPr>
          <w:p w:rsidR="00D43FF2" w:rsidRPr="00D43FF2" w:rsidRDefault="00D43FF2" w:rsidP="00D43FF2">
            <w:pPr>
              <w:ind w:left="0"/>
              <w:jc w:val="center"/>
              <w:rPr>
                <w:i/>
                <w:sz w:val="18"/>
                <w:szCs w:val="18"/>
              </w:rPr>
            </w:pPr>
            <w:r w:rsidRPr="00D43FF2">
              <w:rPr>
                <w:i/>
                <w:sz w:val="18"/>
                <w:szCs w:val="18"/>
              </w:rPr>
              <w:t>RO OPII</w:t>
            </w:r>
          </w:p>
        </w:tc>
        <w:tc>
          <w:tcPr>
            <w:tcW w:w="1388" w:type="dxa"/>
            <w:vAlign w:val="center"/>
          </w:tcPr>
          <w:p w:rsidR="00D43FF2" w:rsidRPr="00D43FF2" w:rsidRDefault="00D43FF2" w:rsidP="00D43FF2">
            <w:pPr>
              <w:ind w:left="0"/>
              <w:jc w:val="center"/>
              <w:rPr>
                <w:i/>
                <w:sz w:val="18"/>
                <w:szCs w:val="18"/>
              </w:rPr>
            </w:pPr>
            <w:r w:rsidRPr="00D43FF2">
              <w:rPr>
                <w:i/>
                <w:sz w:val="18"/>
                <w:szCs w:val="18"/>
              </w:rPr>
              <w:t>Ročne</w:t>
            </w:r>
          </w:p>
        </w:tc>
      </w:tr>
    </w:tbl>
    <w:p w:rsidR="00CB59EA" w:rsidRPr="00CB59EA" w:rsidRDefault="00CB59EA" w:rsidP="00CB59EA">
      <w:pPr>
        <w:rPr>
          <w:sz w:val="20"/>
          <w:szCs w:val="20"/>
        </w:rPr>
      </w:pPr>
      <w:r w:rsidRPr="000C1600">
        <w:rPr>
          <w:sz w:val="20"/>
          <w:szCs w:val="20"/>
          <w:u w:val="single"/>
        </w:rPr>
        <w:t>Pozn</w:t>
      </w:r>
      <w:r w:rsidRPr="000C1600">
        <w:rPr>
          <w:sz w:val="20"/>
          <w:szCs w:val="20"/>
        </w:rPr>
        <w:t xml:space="preserve">.: Hodnoty ukazovateľov budú doplnené v ďalšom štádiu prípravy dokumentu. </w:t>
      </w:r>
    </w:p>
    <w:p w:rsidR="001A218B" w:rsidRDefault="001A218B" w:rsidP="001A218B">
      <w:pPr>
        <w:pStyle w:val="Nadpis3"/>
      </w:pPr>
      <w:bookmarkStart w:id="24" w:name="_Toc385310683"/>
      <w:r>
        <w:t>Výkonnostný rámec prioritnej osi</w:t>
      </w:r>
      <w:bookmarkEnd w:id="24"/>
    </w:p>
    <w:p w:rsidR="007B3B80" w:rsidRPr="007B3B80" w:rsidRDefault="00731428" w:rsidP="008C1732">
      <w:pPr>
        <w:pStyle w:val="Tab"/>
      </w:pPr>
      <w:r>
        <w:t>Výkonnostný rámec Prioritnej osi 1</w:t>
      </w:r>
    </w:p>
    <w:tbl>
      <w:tblPr>
        <w:tblStyle w:val="Mriekatabuky"/>
        <w:tblW w:w="969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1476"/>
        <w:gridCol w:w="371"/>
        <w:gridCol w:w="1576"/>
        <w:gridCol w:w="897"/>
        <w:gridCol w:w="617"/>
        <w:gridCol w:w="986"/>
        <w:gridCol w:w="987"/>
        <w:gridCol w:w="736"/>
        <w:gridCol w:w="747"/>
        <w:gridCol w:w="1306"/>
      </w:tblGrid>
      <w:tr w:rsidR="008C1732" w:rsidTr="0095191D">
        <w:trPr>
          <w:trHeight w:val="340"/>
          <w:jc w:val="center"/>
        </w:trPr>
        <w:tc>
          <w:tcPr>
            <w:tcW w:w="1476" w:type="dxa"/>
            <w:shd w:val="clear" w:color="auto" w:fill="C6D9F1" w:themeFill="text2" w:themeFillTint="33"/>
          </w:tcPr>
          <w:p w:rsidR="00731428" w:rsidRPr="008C1732" w:rsidRDefault="00731428" w:rsidP="00731428">
            <w:pPr>
              <w:ind w:left="0"/>
              <w:rPr>
                <w:b/>
                <w:sz w:val="18"/>
                <w:szCs w:val="18"/>
              </w:rPr>
            </w:pPr>
            <w:r w:rsidRPr="008C1732">
              <w:rPr>
                <w:b/>
                <w:sz w:val="18"/>
                <w:szCs w:val="18"/>
              </w:rPr>
              <w:t>Typ ukazovateľa</w:t>
            </w:r>
          </w:p>
          <w:p w:rsidR="00731428" w:rsidRPr="008C1732" w:rsidRDefault="00731428" w:rsidP="00731428">
            <w:pPr>
              <w:ind w:left="0"/>
              <w:rPr>
                <w:b/>
                <w:sz w:val="18"/>
                <w:szCs w:val="18"/>
              </w:rPr>
            </w:pPr>
          </w:p>
          <w:p w:rsidR="00731428" w:rsidRPr="008C1732" w:rsidRDefault="00731428" w:rsidP="00731428">
            <w:pPr>
              <w:ind w:left="0"/>
              <w:rPr>
                <w:b/>
                <w:sz w:val="18"/>
                <w:szCs w:val="18"/>
              </w:rPr>
            </w:pPr>
            <w:r w:rsidRPr="008C1732">
              <w:rPr>
                <w:b/>
                <w:sz w:val="18"/>
                <w:szCs w:val="18"/>
              </w:rPr>
              <w:t>(Implementačný krok, finančný ukazovateľ, ukazovateľ výstupu alebo výsledku)</w:t>
            </w:r>
            <w:r w:rsidRPr="008C1732">
              <w:rPr>
                <w:b/>
                <w:bCs/>
                <w:sz w:val="16"/>
                <w:szCs w:val="16"/>
              </w:rPr>
              <w:t xml:space="preserve"> </w:t>
            </w:r>
          </w:p>
        </w:tc>
        <w:tc>
          <w:tcPr>
            <w:tcW w:w="371" w:type="dxa"/>
            <w:shd w:val="clear" w:color="auto" w:fill="C6D9F1" w:themeFill="text2" w:themeFillTint="33"/>
          </w:tcPr>
          <w:p w:rsidR="00731428" w:rsidRPr="008C1732" w:rsidRDefault="00350B96" w:rsidP="00731428">
            <w:pPr>
              <w:ind w:left="0"/>
              <w:rPr>
                <w:b/>
                <w:sz w:val="18"/>
                <w:szCs w:val="18"/>
              </w:rPr>
            </w:pPr>
            <w:r>
              <w:rPr>
                <w:b/>
                <w:sz w:val="18"/>
                <w:szCs w:val="18"/>
              </w:rPr>
              <w:t>P. č.</w:t>
            </w:r>
          </w:p>
        </w:tc>
        <w:tc>
          <w:tcPr>
            <w:tcW w:w="1576" w:type="dxa"/>
            <w:shd w:val="clear" w:color="auto" w:fill="C6D9F1" w:themeFill="text2" w:themeFillTint="33"/>
          </w:tcPr>
          <w:p w:rsidR="00731428" w:rsidRPr="008C1732" w:rsidRDefault="00731428" w:rsidP="00731428">
            <w:pPr>
              <w:ind w:left="0"/>
              <w:rPr>
                <w:b/>
                <w:sz w:val="18"/>
                <w:szCs w:val="18"/>
              </w:rPr>
            </w:pPr>
            <w:r w:rsidRPr="008C1732">
              <w:rPr>
                <w:b/>
                <w:sz w:val="18"/>
                <w:szCs w:val="18"/>
              </w:rPr>
              <w:t>Definícia ukazovateľa alebo implementačného kroku</w:t>
            </w:r>
          </w:p>
        </w:tc>
        <w:tc>
          <w:tcPr>
            <w:tcW w:w="897" w:type="dxa"/>
            <w:shd w:val="clear" w:color="auto" w:fill="C6D9F1" w:themeFill="text2" w:themeFillTint="33"/>
          </w:tcPr>
          <w:p w:rsidR="00731428" w:rsidRPr="008C1732" w:rsidRDefault="00731428" w:rsidP="00731428">
            <w:pPr>
              <w:ind w:left="0"/>
              <w:rPr>
                <w:b/>
                <w:sz w:val="18"/>
                <w:szCs w:val="18"/>
              </w:rPr>
            </w:pPr>
            <w:r w:rsidRPr="008C1732">
              <w:rPr>
                <w:b/>
                <w:sz w:val="18"/>
                <w:szCs w:val="18"/>
              </w:rPr>
              <w:t>Merná jednotka</w:t>
            </w:r>
          </w:p>
        </w:tc>
        <w:tc>
          <w:tcPr>
            <w:tcW w:w="617" w:type="dxa"/>
            <w:shd w:val="clear" w:color="auto" w:fill="C6D9F1" w:themeFill="text2" w:themeFillTint="33"/>
          </w:tcPr>
          <w:p w:rsidR="00731428" w:rsidRPr="008C1732" w:rsidRDefault="00731428" w:rsidP="00731428">
            <w:pPr>
              <w:ind w:left="0"/>
              <w:rPr>
                <w:b/>
                <w:sz w:val="18"/>
                <w:szCs w:val="18"/>
              </w:rPr>
            </w:pPr>
            <w:r w:rsidRPr="008C1732">
              <w:rPr>
                <w:b/>
                <w:sz w:val="18"/>
                <w:szCs w:val="18"/>
              </w:rPr>
              <w:t>Fond</w:t>
            </w:r>
          </w:p>
        </w:tc>
        <w:tc>
          <w:tcPr>
            <w:tcW w:w="986" w:type="dxa"/>
            <w:shd w:val="clear" w:color="auto" w:fill="C6D9F1" w:themeFill="text2" w:themeFillTint="33"/>
          </w:tcPr>
          <w:p w:rsidR="00731428" w:rsidRPr="008C1732" w:rsidRDefault="00731428" w:rsidP="00731428">
            <w:pPr>
              <w:ind w:left="0"/>
              <w:rPr>
                <w:b/>
                <w:sz w:val="18"/>
                <w:szCs w:val="18"/>
              </w:rPr>
            </w:pPr>
            <w:r w:rsidRPr="008C1732">
              <w:rPr>
                <w:b/>
                <w:sz w:val="18"/>
                <w:szCs w:val="18"/>
              </w:rPr>
              <w:t>Kategória regiónu</w:t>
            </w:r>
          </w:p>
        </w:tc>
        <w:tc>
          <w:tcPr>
            <w:tcW w:w="987" w:type="dxa"/>
            <w:shd w:val="clear" w:color="auto" w:fill="C6D9F1" w:themeFill="text2" w:themeFillTint="33"/>
          </w:tcPr>
          <w:p w:rsidR="00731428" w:rsidRPr="008C1732" w:rsidRDefault="00731428" w:rsidP="00731428">
            <w:pPr>
              <w:ind w:left="0"/>
              <w:rPr>
                <w:b/>
                <w:sz w:val="18"/>
                <w:szCs w:val="18"/>
              </w:rPr>
            </w:pPr>
            <w:r w:rsidRPr="008C1732">
              <w:rPr>
                <w:b/>
                <w:sz w:val="18"/>
                <w:szCs w:val="18"/>
              </w:rPr>
              <w:t>Čiastkový cieľ pre rok 2018</w:t>
            </w:r>
          </w:p>
        </w:tc>
        <w:tc>
          <w:tcPr>
            <w:tcW w:w="736" w:type="dxa"/>
            <w:shd w:val="clear" w:color="auto" w:fill="C6D9F1" w:themeFill="text2" w:themeFillTint="33"/>
          </w:tcPr>
          <w:p w:rsidR="00731428" w:rsidRPr="008C1732" w:rsidRDefault="00731428" w:rsidP="00731428">
            <w:pPr>
              <w:ind w:left="0"/>
              <w:rPr>
                <w:b/>
                <w:sz w:val="18"/>
                <w:szCs w:val="18"/>
              </w:rPr>
            </w:pPr>
            <w:r w:rsidRPr="008C1732">
              <w:rPr>
                <w:b/>
                <w:sz w:val="18"/>
                <w:szCs w:val="18"/>
              </w:rPr>
              <w:t>Zámer</w:t>
            </w:r>
          </w:p>
          <w:p w:rsidR="00731428" w:rsidRPr="008C1732" w:rsidRDefault="00731428" w:rsidP="00731428">
            <w:pPr>
              <w:ind w:left="0"/>
              <w:rPr>
                <w:b/>
                <w:sz w:val="18"/>
                <w:szCs w:val="18"/>
              </w:rPr>
            </w:pPr>
            <w:r w:rsidRPr="008C1732">
              <w:rPr>
                <w:b/>
                <w:sz w:val="18"/>
                <w:szCs w:val="18"/>
              </w:rPr>
              <w:t>(2023)</w:t>
            </w:r>
          </w:p>
        </w:tc>
        <w:tc>
          <w:tcPr>
            <w:tcW w:w="747" w:type="dxa"/>
            <w:shd w:val="clear" w:color="auto" w:fill="C6D9F1" w:themeFill="text2" w:themeFillTint="33"/>
          </w:tcPr>
          <w:p w:rsidR="00731428" w:rsidRPr="008C1732" w:rsidRDefault="00731428" w:rsidP="00731428">
            <w:pPr>
              <w:ind w:left="0"/>
              <w:rPr>
                <w:b/>
                <w:sz w:val="18"/>
                <w:szCs w:val="18"/>
              </w:rPr>
            </w:pPr>
            <w:r w:rsidRPr="008C1732">
              <w:rPr>
                <w:b/>
                <w:sz w:val="18"/>
                <w:szCs w:val="18"/>
              </w:rPr>
              <w:t>Zdroj údajov</w:t>
            </w:r>
          </w:p>
        </w:tc>
        <w:tc>
          <w:tcPr>
            <w:tcW w:w="1306" w:type="dxa"/>
            <w:shd w:val="clear" w:color="auto" w:fill="C6D9F1" w:themeFill="text2" w:themeFillTint="33"/>
          </w:tcPr>
          <w:p w:rsidR="00731428" w:rsidRPr="008C1732" w:rsidRDefault="00731428" w:rsidP="00731428">
            <w:pPr>
              <w:ind w:left="0"/>
              <w:rPr>
                <w:b/>
                <w:sz w:val="18"/>
                <w:szCs w:val="18"/>
              </w:rPr>
            </w:pPr>
            <w:r w:rsidRPr="008C1732">
              <w:rPr>
                <w:b/>
                <w:sz w:val="18"/>
                <w:szCs w:val="18"/>
              </w:rPr>
              <w:t>Zdôvodnenie výberu ukazovateľa</w:t>
            </w:r>
          </w:p>
        </w:tc>
      </w:tr>
      <w:tr w:rsidR="008C1732" w:rsidTr="0095191D">
        <w:trPr>
          <w:trHeight w:val="454"/>
          <w:jc w:val="center"/>
        </w:trPr>
        <w:tc>
          <w:tcPr>
            <w:tcW w:w="1476" w:type="dxa"/>
          </w:tcPr>
          <w:p w:rsidR="00731428" w:rsidRPr="00731428" w:rsidRDefault="00731428" w:rsidP="00731428">
            <w:pPr>
              <w:ind w:left="0"/>
              <w:rPr>
                <w:i/>
                <w:sz w:val="18"/>
                <w:szCs w:val="18"/>
              </w:rPr>
            </w:pPr>
            <w:r w:rsidRPr="00731428">
              <w:rPr>
                <w:i/>
                <w:sz w:val="18"/>
                <w:szCs w:val="18"/>
              </w:rPr>
              <w:t>finančný ukazovateľ</w:t>
            </w:r>
          </w:p>
        </w:tc>
        <w:tc>
          <w:tcPr>
            <w:tcW w:w="371" w:type="dxa"/>
          </w:tcPr>
          <w:p w:rsidR="00731428" w:rsidRDefault="00731428" w:rsidP="00731428">
            <w:pPr>
              <w:rPr>
                <w:sz w:val="18"/>
                <w:szCs w:val="18"/>
              </w:rPr>
            </w:pPr>
          </w:p>
        </w:tc>
        <w:tc>
          <w:tcPr>
            <w:tcW w:w="1576" w:type="dxa"/>
            <w:vAlign w:val="center"/>
          </w:tcPr>
          <w:p w:rsidR="00731428" w:rsidRDefault="00731428" w:rsidP="00731428">
            <w:pPr>
              <w:ind w:left="0"/>
              <w:rPr>
                <w:sz w:val="18"/>
                <w:szCs w:val="18"/>
              </w:rPr>
            </w:pPr>
            <w:r>
              <w:rPr>
                <w:sz w:val="18"/>
                <w:szCs w:val="18"/>
              </w:rPr>
              <w:t>Celková suma oprávnených výdavkov po ich certifikácii zo strany Certifikačného orgánu</w:t>
            </w:r>
          </w:p>
        </w:tc>
        <w:tc>
          <w:tcPr>
            <w:tcW w:w="897" w:type="dxa"/>
          </w:tcPr>
          <w:p w:rsidR="00731428" w:rsidRPr="00731428" w:rsidRDefault="00731428" w:rsidP="00731428">
            <w:pPr>
              <w:ind w:left="0"/>
              <w:rPr>
                <w:i/>
                <w:sz w:val="18"/>
                <w:szCs w:val="18"/>
                <w:lang w:val="en-US"/>
              </w:rPr>
            </w:pPr>
            <w:r w:rsidRPr="00731428">
              <w:rPr>
                <w:i/>
                <w:sz w:val="18"/>
                <w:szCs w:val="18"/>
                <w:lang w:val="en-US"/>
              </w:rPr>
              <w:t>%</w:t>
            </w:r>
          </w:p>
        </w:tc>
        <w:tc>
          <w:tcPr>
            <w:tcW w:w="617" w:type="dxa"/>
          </w:tcPr>
          <w:p w:rsidR="00731428" w:rsidRPr="00731428" w:rsidRDefault="00731428" w:rsidP="00731428">
            <w:pPr>
              <w:ind w:left="0"/>
              <w:rPr>
                <w:i/>
                <w:sz w:val="18"/>
                <w:szCs w:val="18"/>
              </w:rPr>
            </w:pPr>
            <w:r w:rsidRPr="00731428">
              <w:rPr>
                <w:i/>
                <w:sz w:val="18"/>
                <w:szCs w:val="18"/>
              </w:rPr>
              <w:t>KF</w:t>
            </w:r>
          </w:p>
        </w:tc>
        <w:tc>
          <w:tcPr>
            <w:tcW w:w="986" w:type="dxa"/>
          </w:tcPr>
          <w:p w:rsidR="00731428" w:rsidRPr="00731428" w:rsidRDefault="00731428" w:rsidP="00731428">
            <w:pPr>
              <w:ind w:left="0"/>
              <w:rPr>
                <w:i/>
                <w:sz w:val="18"/>
                <w:szCs w:val="18"/>
              </w:rPr>
            </w:pPr>
            <w:r w:rsidRPr="00731428">
              <w:rPr>
                <w:i/>
                <w:sz w:val="18"/>
                <w:szCs w:val="18"/>
              </w:rPr>
              <w:t>N/A</w:t>
            </w:r>
          </w:p>
        </w:tc>
        <w:tc>
          <w:tcPr>
            <w:tcW w:w="987" w:type="dxa"/>
          </w:tcPr>
          <w:p w:rsidR="00731428" w:rsidRPr="00731428" w:rsidRDefault="00731428" w:rsidP="00731428">
            <w:pPr>
              <w:ind w:left="0"/>
              <w:rPr>
                <w:i/>
                <w:sz w:val="18"/>
                <w:szCs w:val="18"/>
              </w:rPr>
            </w:pPr>
          </w:p>
        </w:tc>
        <w:tc>
          <w:tcPr>
            <w:tcW w:w="736" w:type="dxa"/>
          </w:tcPr>
          <w:p w:rsidR="00731428" w:rsidRPr="00731428" w:rsidRDefault="00731428" w:rsidP="00731428">
            <w:pPr>
              <w:ind w:left="0"/>
              <w:rPr>
                <w:i/>
                <w:sz w:val="18"/>
                <w:szCs w:val="18"/>
              </w:rPr>
            </w:pPr>
          </w:p>
        </w:tc>
        <w:tc>
          <w:tcPr>
            <w:tcW w:w="747" w:type="dxa"/>
          </w:tcPr>
          <w:p w:rsidR="00731428" w:rsidRPr="00731428" w:rsidRDefault="00731428" w:rsidP="00731428">
            <w:pPr>
              <w:ind w:left="0"/>
              <w:rPr>
                <w:i/>
                <w:sz w:val="18"/>
                <w:szCs w:val="18"/>
              </w:rPr>
            </w:pPr>
            <w:r w:rsidRPr="00731428">
              <w:rPr>
                <w:i/>
                <w:sz w:val="18"/>
                <w:szCs w:val="18"/>
              </w:rPr>
              <w:t>RO OPII</w:t>
            </w:r>
          </w:p>
        </w:tc>
        <w:tc>
          <w:tcPr>
            <w:tcW w:w="1306" w:type="dxa"/>
          </w:tcPr>
          <w:p w:rsidR="00731428" w:rsidRPr="00731428" w:rsidRDefault="00731428" w:rsidP="00731428">
            <w:pPr>
              <w:ind w:left="0"/>
              <w:rPr>
                <w:i/>
                <w:sz w:val="18"/>
                <w:szCs w:val="18"/>
              </w:rPr>
            </w:pPr>
            <w:r w:rsidRPr="00731428">
              <w:rPr>
                <w:i/>
                <w:sz w:val="18"/>
                <w:szCs w:val="18"/>
              </w:rPr>
              <w:t>Základný finančný ukazovateľ</w:t>
            </w:r>
          </w:p>
        </w:tc>
      </w:tr>
      <w:tr w:rsidR="008C1732" w:rsidTr="0095191D">
        <w:trPr>
          <w:trHeight w:val="454"/>
          <w:jc w:val="center"/>
        </w:trPr>
        <w:tc>
          <w:tcPr>
            <w:tcW w:w="1476" w:type="dxa"/>
          </w:tcPr>
          <w:p w:rsidR="00731428" w:rsidRPr="00430B9D" w:rsidRDefault="00731428" w:rsidP="00731428">
            <w:pPr>
              <w:ind w:left="0"/>
              <w:rPr>
                <w:sz w:val="18"/>
                <w:szCs w:val="18"/>
              </w:rPr>
            </w:pPr>
            <w:r w:rsidRPr="00731428">
              <w:rPr>
                <w:i/>
                <w:sz w:val="18"/>
                <w:szCs w:val="18"/>
              </w:rPr>
              <w:t>Implementačný krok</w:t>
            </w:r>
          </w:p>
        </w:tc>
        <w:tc>
          <w:tcPr>
            <w:tcW w:w="371" w:type="dxa"/>
          </w:tcPr>
          <w:p w:rsidR="00731428" w:rsidRPr="00430B9D" w:rsidRDefault="00731428" w:rsidP="00731428">
            <w:pPr>
              <w:rPr>
                <w:sz w:val="18"/>
                <w:szCs w:val="18"/>
              </w:rPr>
            </w:pPr>
          </w:p>
        </w:tc>
        <w:tc>
          <w:tcPr>
            <w:tcW w:w="1576" w:type="dxa"/>
            <w:vAlign w:val="center"/>
          </w:tcPr>
          <w:p w:rsidR="00731428" w:rsidRPr="00430B9D" w:rsidRDefault="00731428" w:rsidP="00731428">
            <w:pPr>
              <w:ind w:left="0"/>
              <w:rPr>
                <w:sz w:val="18"/>
                <w:szCs w:val="18"/>
              </w:rPr>
            </w:pPr>
            <w:r w:rsidRPr="00430B9D">
              <w:rPr>
                <w:sz w:val="18"/>
                <w:szCs w:val="18"/>
              </w:rPr>
              <w:t>Počet VO</w:t>
            </w:r>
            <w:r>
              <w:rPr>
                <w:sz w:val="18"/>
                <w:szCs w:val="18"/>
              </w:rPr>
              <w:t xml:space="preserve"> na veľké projekty </w:t>
            </w:r>
            <w:r w:rsidRPr="00430B9D">
              <w:rPr>
                <w:sz w:val="18"/>
                <w:szCs w:val="18"/>
              </w:rPr>
              <w:t xml:space="preserve">vyhlásených v súlade s aktualizovanou štúdiou realizovateľnosti </w:t>
            </w:r>
            <w:r>
              <w:rPr>
                <w:sz w:val="18"/>
                <w:szCs w:val="18"/>
              </w:rPr>
              <w:t xml:space="preserve">príslušného </w:t>
            </w:r>
            <w:r w:rsidRPr="00430B9D">
              <w:rPr>
                <w:sz w:val="18"/>
                <w:szCs w:val="18"/>
              </w:rPr>
              <w:t>koridoru</w:t>
            </w:r>
          </w:p>
        </w:tc>
        <w:tc>
          <w:tcPr>
            <w:tcW w:w="897" w:type="dxa"/>
          </w:tcPr>
          <w:p w:rsidR="00731428" w:rsidRPr="00731428" w:rsidRDefault="00731428" w:rsidP="00731428">
            <w:pPr>
              <w:ind w:left="0"/>
              <w:rPr>
                <w:i/>
                <w:sz w:val="18"/>
                <w:szCs w:val="18"/>
              </w:rPr>
            </w:pPr>
            <w:r w:rsidRPr="00731428">
              <w:rPr>
                <w:i/>
                <w:sz w:val="18"/>
                <w:szCs w:val="18"/>
              </w:rPr>
              <w:t>počet</w:t>
            </w:r>
          </w:p>
        </w:tc>
        <w:tc>
          <w:tcPr>
            <w:tcW w:w="617" w:type="dxa"/>
          </w:tcPr>
          <w:p w:rsidR="00731428" w:rsidRPr="00731428" w:rsidRDefault="00731428" w:rsidP="00731428">
            <w:pPr>
              <w:ind w:left="0"/>
              <w:rPr>
                <w:i/>
                <w:sz w:val="18"/>
                <w:szCs w:val="18"/>
              </w:rPr>
            </w:pPr>
            <w:r w:rsidRPr="00731428">
              <w:rPr>
                <w:i/>
                <w:sz w:val="18"/>
                <w:szCs w:val="18"/>
              </w:rPr>
              <w:t>KF</w:t>
            </w:r>
          </w:p>
        </w:tc>
        <w:tc>
          <w:tcPr>
            <w:tcW w:w="986" w:type="dxa"/>
          </w:tcPr>
          <w:p w:rsidR="00731428" w:rsidRPr="00731428" w:rsidRDefault="00731428" w:rsidP="00731428">
            <w:pPr>
              <w:ind w:left="0"/>
              <w:rPr>
                <w:i/>
                <w:sz w:val="18"/>
                <w:szCs w:val="18"/>
              </w:rPr>
            </w:pPr>
            <w:r w:rsidRPr="00731428">
              <w:rPr>
                <w:i/>
                <w:sz w:val="18"/>
                <w:szCs w:val="18"/>
              </w:rPr>
              <w:t>N/A</w:t>
            </w:r>
          </w:p>
        </w:tc>
        <w:tc>
          <w:tcPr>
            <w:tcW w:w="987" w:type="dxa"/>
          </w:tcPr>
          <w:p w:rsidR="00731428" w:rsidRPr="00731428" w:rsidRDefault="00731428" w:rsidP="00731428">
            <w:pPr>
              <w:ind w:left="0"/>
              <w:rPr>
                <w:i/>
                <w:sz w:val="18"/>
                <w:szCs w:val="18"/>
              </w:rPr>
            </w:pPr>
          </w:p>
        </w:tc>
        <w:tc>
          <w:tcPr>
            <w:tcW w:w="736" w:type="dxa"/>
          </w:tcPr>
          <w:p w:rsidR="00731428" w:rsidRPr="00731428" w:rsidRDefault="00731428" w:rsidP="00731428">
            <w:pPr>
              <w:ind w:left="0"/>
              <w:rPr>
                <w:i/>
                <w:sz w:val="18"/>
                <w:szCs w:val="18"/>
                <w:lang w:val="en-US"/>
              </w:rPr>
            </w:pPr>
          </w:p>
        </w:tc>
        <w:tc>
          <w:tcPr>
            <w:tcW w:w="747" w:type="dxa"/>
          </w:tcPr>
          <w:p w:rsidR="00731428" w:rsidRPr="00731428" w:rsidRDefault="00731428" w:rsidP="00731428">
            <w:pPr>
              <w:ind w:left="0"/>
              <w:rPr>
                <w:i/>
                <w:sz w:val="18"/>
                <w:szCs w:val="18"/>
              </w:rPr>
            </w:pPr>
            <w:r w:rsidRPr="00731428">
              <w:rPr>
                <w:i/>
                <w:sz w:val="18"/>
                <w:szCs w:val="18"/>
              </w:rPr>
              <w:t>RO OPII</w:t>
            </w:r>
          </w:p>
        </w:tc>
        <w:tc>
          <w:tcPr>
            <w:tcW w:w="1306" w:type="dxa"/>
          </w:tcPr>
          <w:p w:rsidR="00731428" w:rsidRPr="00731428" w:rsidRDefault="00731428" w:rsidP="00731428">
            <w:pPr>
              <w:ind w:left="0"/>
              <w:rPr>
                <w:i/>
                <w:sz w:val="18"/>
                <w:szCs w:val="18"/>
              </w:rPr>
            </w:pPr>
            <w:r w:rsidRPr="00731428">
              <w:rPr>
                <w:i/>
                <w:sz w:val="18"/>
                <w:szCs w:val="18"/>
              </w:rPr>
              <w:t>Dôležitý implementačný krok</w:t>
            </w:r>
          </w:p>
        </w:tc>
      </w:tr>
    </w:tbl>
    <w:p w:rsidR="00816B1A" w:rsidRPr="000C1600" w:rsidRDefault="00816B1A" w:rsidP="000C1600">
      <w:pPr>
        <w:rPr>
          <w:sz w:val="20"/>
          <w:szCs w:val="20"/>
        </w:rPr>
      </w:pPr>
      <w:r w:rsidRPr="000C1600">
        <w:rPr>
          <w:sz w:val="20"/>
          <w:szCs w:val="20"/>
          <w:u w:val="single"/>
        </w:rPr>
        <w:t>Pozn</w:t>
      </w:r>
      <w:r w:rsidRPr="000C1600">
        <w:rPr>
          <w:sz w:val="20"/>
          <w:szCs w:val="20"/>
        </w:rPr>
        <w:t xml:space="preserve">.: Hodnoty ukazovateľov budú doplnené v ďalšom štádiu prípravy dokumentu. </w:t>
      </w:r>
    </w:p>
    <w:p w:rsidR="007B3B80" w:rsidRDefault="007B3B80" w:rsidP="007B3B80">
      <w:pPr>
        <w:pStyle w:val="Nadpis3"/>
      </w:pPr>
      <w:bookmarkStart w:id="25" w:name="_Toc385310684"/>
      <w:r>
        <w:t>Kategórie intervencií</w:t>
      </w:r>
      <w:bookmarkEnd w:id="25"/>
    </w:p>
    <w:p w:rsidR="006579CE" w:rsidRPr="006579CE" w:rsidRDefault="006579CE" w:rsidP="006579CE">
      <w:pPr>
        <w:pStyle w:val="Tab"/>
      </w:pPr>
    </w:p>
    <w:tbl>
      <w:tblPr>
        <w:tblStyle w:val="Mriekatabuky"/>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28"/>
        <w:gridCol w:w="2126"/>
        <w:gridCol w:w="2044"/>
      </w:tblGrid>
      <w:tr w:rsidR="006579CE" w:rsidTr="0095191D">
        <w:trPr>
          <w:trHeight w:val="255"/>
        </w:trPr>
        <w:tc>
          <w:tcPr>
            <w:tcW w:w="9098" w:type="dxa"/>
            <w:gridSpan w:val="3"/>
            <w:shd w:val="clear" w:color="auto" w:fill="DBE5F1" w:themeFill="accent1" w:themeFillTint="33"/>
            <w:vAlign w:val="center"/>
          </w:tcPr>
          <w:p w:rsidR="006579CE" w:rsidRPr="006579CE" w:rsidRDefault="006579CE" w:rsidP="006579CE">
            <w:pPr>
              <w:pStyle w:val="Default"/>
              <w:autoSpaceDE/>
              <w:autoSpaceDN/>
              <w:adjustRightInd/>
              <w:ind w:left="0"/>
              <w:rPr>
                <w:sz w:val="20"/>
                <w:szCs w:val="20"/>
              </w:rPr>
            </w:pPr>
            <w:r>
              <w:rPr>
                <w:b/>
                <w:bCs/>
                <w:sz w:val="20"/>
                <w:szCs w:val="20"/>
              </w:rPr>
              <w:t xml:space="preserve">Rozmer 1 – Oblasť intervencie </w:t>
            </w:r>
          </w:p>
        </w:tc>
      </w:tr>
      <w:tr w:rsidR="006579CE" w:rsidTr="0095191D">
        <w:trPr>
          <w:trHeight w:val="255"/>
        </w:trPr>
        <w:tc>
          <w:tcPr>
            <w:tcW w:w="4928" w:type="dxa"/>
            <w:shd w:val="clear" w:color="auto" w:fill="DBE5F1" w:themeFill="accent1" w:themeFillTint="33"/>
            <w:vAlign w:val="center"/>
          </w:tcPr>
          <w:p w:rsidR="006579CE" w:rsidRPr="006579CE" w:rsidRDefault="006579CE" w:rsidP="006579CE">
            <w:pPr>
              <w:pStyle w:val="Default"/>
              <w:autoSpaceDE/>
              <w:autoSpaceDN/>
              <w:adjustRightInd/>
              <w:ind w:left="0"/>
              <w:rPr>
                <w:b/>
                <w:bCs/>
                <w:sz w:val="20"/>
                <w:szCs w:val="20"/>
              </w:rPr>
            </w:pPr>
            <w:r w:rsidRPr="006579CE">
              <w:rPr>
                <w:b/>
                <w:bCs/>
                <w:sz w:val="20"/>
                <w:szCs w:val="20"/>
              </w:rPr>
              <w:t>Fond</w:t>
            </w:r>
          </w:p>
        </w:tc>
        <w:tc>
          <w:tcPr>
            <w:tcW w:w="4170" w:type="dxa"/>
            <w:gridSpan w:val="2"/>
            <w:shd w:val="clear" w:color="auto" w:fill="DBE5F1" w:themeFill="accent1" w:themeFillTint="33"/>
            <w:vAlign w:val="center"/>
          </w:tcPr>
          <w:p w:rsidR="006579CE" w:rsidRPr="006579CE" w:rsidRDefault="006579CE" w:rsidP="006579CE">
            <w:pPr>
              <w:pStyle w:val="Default"/>
              <w:autoSpaceDE/>
              <w:autoSpaceDN/>
              <w:adjustRightInd/>
              <w:ind w:left="0"/>
              <w:rPr>
                <w:bCs/>
                <w:sz w:val="20"/>
                <w:szCs w:val="20"/>
              </w:rPr>
            </w:pPr>
            <w:r w:rsidRPr="006579CE">
              <w:rPr>
                <w:bCs/>
                <w:sz w:val="20"/>
                <w:szCs w:val="20"/>
              </w:rPr>
              <w:t>Kohézny fond</w:t>
            </w:r>
          </w:p>
        </w:tc>
      </w:tr>
      <w:tr w:rsidR="006579CE" w:rsidTr="0095191D">
        <w:trPr>
          <w:trHeight w:val="255"/>
        </w:trPr>
        <w:tc>
          <w:tcPr>
            <w:tcW w:w="4928" w:type="dxa"/>
            <w:shd w:val="clear" w:color="auto" w:fill="DBE5F1" w:themeFill="accent1" w:themeFillTint="33"/>
            <w:vAlign w:val="center"/>
          </w:tcPr>
          <w:p w:rsidR="006579CE" w:rsidRPr="006579CE" w:rsidRDefault="006579CE" w:rsidP="006579CE">
            <w:pPr>
              <w:ind w:left="0"/>
              <w:rPr>
                <w:sz w:val="20"/>
                <w:szCs w:val="20"/>
              </w:rPr>
            </w:pPr>
            <w:r w:rsidRPr="006579CE">
              <w:rPr>
                <w:b/>
                <w:bCs/>
                <w:color w:val="000000"/>
                <w:sz w:val="20"/>
                <w:szCs w:val="20"/>
              </w:rPr>
              <w:t>Kategória regiónu</w:t>
            </w:r>
          </w:p>
        </w:tc>
        <w:tc>
          <w:tcPr>
            <w:tcW w:w="4170" w:type="dxa"/>
            <w:gridSpan w:val="2"/>
            <w:shd w:val="clear" w:color="auto" w:fill="DBE5F1" w:themeFill="accent1" w:themeFillTint="33"/>
            <w:vAlign w:val="center"/>
          </w:tcPr>
          <w:p w:rsidR="006579CE" w:rsidRPr="006579CE" w:rsidRDefault="006579CE" w:rsidP="006579CE">
            <w:pPr>
              <w:ind w:left="0"/>
              <w:rPr>
                <w:sz w:val="20"/>
                <w:szCs w:val="20"/>
              </w:rPr>
            </w:pPr>
            <w:r w:rsidRPr="006579CE">
              <w:rPr>
                <w:sz w:val="20"/>
                <w:szCs w:val="20"/>
              </w:rPr>
              <w:t>N/A</w:t>
            </w:r>
          </w:p>
        </w:tc>
      </w:tr>
      <w:tr w:rsidR="006579CE" w:rsidTr="0095191D">
        <w:trPr>
          <w:trHeight w:val="255"/>
        </w:trPr>
        <w:tc>
          <w:tcPr>
            <w:tcW w:w="4928" w:type="dxa"/>
            <w:vAlign w:val="center"/>
          </w:tcPr>
          <w:p w:rsidR="006579CE" w:rsidRPr="00D479A4" w:rsidRDefault="00D479A4" w:rsidP="00D479A4">
            <w:pPr>
              <w:ind w:left="0"/>
              <w:jc w:val="center"/>
              <w:rPr>
                <w:b/>
                <w:sz w:val="20"/>
                <w:szCs w:val="20"/>
              </w:rPr>
            </w:pPr>
            <w:r w:rsidRPr="00D479A4">
              <w:rPr>
                <w:b/>
                <w:sz w:val="20"/>
                <w:szCs w:val="20"/>
              </w:rPr>
              <w:t>Prioritná os</w:t>
            </w:r>
          </w:p>
        </w:tc>
        <w:tc>
          <w:tcPr>
            <w:tcW w:w="2126" w:type="dxa"/>
            <w:vAlign w:val="center"/>
          </w:tcPr>
          <w:p w:rsidR="006579CE" w:rsidRPr="00D479A4" w:rsidRDefault="00D479A4" w:rsidP="00D479A4">
            <w:pPr>
              <w:ind w:left="0"/>
              <w:jc w:val="center"/>
              <w:rPr>
                <w:b/>
                <w:sz w:val="20"/>
                <w:szCs w:val="20"/>
              </w:rPr>
            </w:pPr>
            <w:r w:rsidRPr="00D479A4">
              <w:rPr>
                <w:b/>
                <w:sz w:val="20"/>
                <w:szCs w:val="20"/>
              </w:rPr>
              <w:t>Kód</w:t>
            </w:r>
          </w:p>
        </w:tc>
        <w:tc>
          <w:tcPr>
            <w:tcW w:w="2044" w:type="dxa"/>
            <w:vAlign w:val="center"/>
          </w:tcPr>
          <w:p w:rsidR="006579CE" w:rsidRPr="00D479A4" w:rsidRDefault="00D479A4" w:rsidP="00D479A4">
            <w:pPr>
              <w:ind w:left="0"/>
              <w:jc w:val="center"/>
              <w:rPr>
                <w:b/>
                <w:sz w:val="20"/>
                <w:szCs w:val="20"/>
              </w:rPr>
            </w:pPr>
            <w:r w:rsidRPr="00D479A4">
              <w:rPr>
                <w:b/>
                <w:sz w:val="20"/>
                <w:szCs w:val="20"/>
              </w:rPr>
              <w:t>Suma (v EUR)</w:t>
            </w:r>
          </w:p>
        </w:tc>
      </w:tr>
      <w:tr w:rsidR="00D479A4" w:rsidTr="0095191D">
        <w:trPr>
          <w:trHeight w:val="255"/>
        </w:trPr>
        <w:tc>
          <w:tcPr>
            <w:tcW w:w="4928" w:type="dxa"/>
            <w:vMerge w:val="restart"/>
            <w:vAlign w:val="center"/>
          </w:tcPr>
          <w:p w:rsidR="00D479A4" w:rsidRPr="00D479A4" w:rsidRDefault="00D615EB" w:rsidP="00D479A4">
            <w:pPr>
              <w:ind w:left="0"/>
              <w:rPr>
                <w:sz w:val="20"/>
                <w:szCs w:val="20"/>
              </w:rPr>
            </w:pPr>
            <w:r>
              <w:rPr>
                <w:sz w:val="20"/>
                <w:szCs w:val="20"/>
              </w:rPr>
              <w:t xml:space="preserve">Prioritná os 1 - </w:t>
            </w:r>
            <w:r w:rsidR="00D479A4" w:rsidRPr="00D479A4">
              <w:rPr>
                <w:sz w:val="20"/>
                <w:szCs w:val="20"/>
              </w:rPr>
              <w:t>Železničná infraštruktúra (TEN-T CORE) a obnova mobilných prostriedkov</w:t>
            </w:r>
          </w:p>
        </w:tc>
        <w:tc>
          <w:tcPr>
            <w:tcW w:w="2126" w:type="dxa"/>
            <w:vAlign w:val="center"/>
          </w:tcPr>
          <w:p w:rsidR="00D479A4" w:rsidRPr="00D479A4" w:rsidRDefault="00D479A4" w:rsidP="00D479A4">
            <w:pPr>
              <w:ind w:left="0"/>
              <w:jc w:val="center"/>
              <w:rPr>
                <w:sz w:val="20"/>
                <w:szCs w:val="20"/>
              </w:rPr>
            </w:pPr>
            <w:r>
              <w:rPr>
                <w:sz w:val="20"/>
                <w:szCs w:val="20"/>
              </w:rPr>
              <w:t>024</w:t>
            </w:r>
          </w:p>
        </w:tc>
        <w:tc>
          <w:tcPr>
            <w:tcW w:w="2044" w:type="dxa"/>
            <w:vAlign w:val="center"/>
          </w:tcPr>
          <w:p w:rsidR="00D479A4" w:rsidRPr="00D479A4" w:rsidRDefault="00D479A4" w:rsidP="00D479A4">
            <w:pPr>
              <w:ind w:left="0"/>
              <w:jc w:val="center"/>
              <w:rPr>
                <w:sz w:val="20"/>
                <w:szCs w:val="20"/>
              </w:rPr>
            </w:pPr>
            <w:r w:rsidRPr="00D479A4">
              <w:rPr>
                <w:sz w:val="20"/>
                <w:szCs w:val="20"/>
              </w:rPr>
              <w:t>545 839 166</w:t>
            </w:r>
          </w:p>
        </w:tc>
      </w:tr>
      <w:tr w:rsidR="00D479A4" w:rsidTr="0095191D">
        <w:trPr>
          <w:trHeight w:val="255"/>
        </w:trPr>
        <w:tc>
          <w:tcPr>
            <w:tcW w:w="4928" w:type="dxa"/>
            <w:vMerge/>
            <w:vAlign w:val="center"/>
          </w:tcPr>
          <w:p w:rsidR="00D479A4" w:rsidRPr="00D479A4" w:rsidRDefault="00D479A4" w:rsidP="006579CE">
            <w:pPr>
              <w:ind w:left="0"/>
              <w:rPr>
                <w:sz w:val="20"/>
                <w:szCs w:val="20"/>
              </w:rPr>
            </w:pPr>
          </w:p>
        </w:tc>
        <w:tc>
          <w:tcPr>
            <w:tcW w:w="2126" w:type="dxa"/>
            <w:vAlign w:val="center"/>
          </w:tcPr>
          <w:p w:rsidR="00D479A4" w:rsidRPr="00D479A4" w:rsidRDefault="00D479A4" w:rsidP="00D479A4">
            <w:pPr>
              <w:ind w:left="0"/>
              <w:jc w:val="center"/>
              <w:rPr>
                <w:sz w:val="20"/>
                <w:szCs w:val="20"/>
              </w:rPr>
            </w:pPr>
            <w:r>
              <w:rPr>
                <w:sz w:val="20"/>
                <w:szCs w:val="20"/>
              </w:rPr>
              <w:t>027</w:t>
            </w:r>
          </w:p>
        </w:tc>
        <w:tc>
          <w:tcPr>
            <w:tcW w:w="2044" w:type="dxa"/>
            <w:vAlign w:val="center"/>
          </w:tcPr>
          <w:p w:rsidR="00D479A4" w:rsidRPr="00D479A4" w:rsidRDefault="00D479A4" w:rsidP="00D479A4">
            <w:pPr>
              <w:ind w:left="0"/>
              <w:jc w:val="center"/>
              <w:rPr>
                <w:sz w:val="20"/>
                <w:szCs w:val="20"/>
                <w:lang w:val="en-US"/>
              </w:rPr>
            </w:pPr>
            <w:r>
              <w:rPr>
                <w:sz w:val="20"/>
                <w:szCs w:val="20"/>
              </w:rPr>
              <w:t>1</w:t>
            </w:r>
            <w:r>
              <w:rPr>
                <w:sz w:val="20"/>
                <w:szCs w:val="20"/>
                <w:lang w:val="en-US"/>
              </w:rPr>
              <w:t>80 000 000</w:t>
            </w:r>
          </w:p>
        </w:tc>
      </w:tr>
    </w:tbl>
    <w:p w:rsidR="00D479A4" w:rsidRPr="006579CE" w:rsidRDefault="00D479A4" w:rsidP="00D479A4">
      <w:pPr>
        <w:pStyle w:val="Tab"/>
      </w:pPr>
    </w:p>
    <w:tbl>
      <w:tblPr>
        <w:tblStyle w:val="Mriekatabuky"/>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28"/>
        <w:gridCol w:w="2126"/>
        <w:gridCol w:w="2044"/>
      </w:tblGrid>
      <w:tr w:rsidR="00D479A4" w:rsidTr="0095191D">
        <w:trPr>
          <w:trHeight w:val="255"/>
        </w:trPr>
        <w:tc>
          <w:tcPr>
            <w:tcW w:w="9098" w:type="dxa"/>
            <w:gridSpan w:val="3"/>
            <w:shd w:val="clear" w:color="auto" w:fill="DBE5F1" w:themeFill="accent1" w:themeFillTint="33"/>
            <w:vAlign w:val="center"/>
          </w:tcPr>
          <w:p w:rsidR="00D479A4" w:rsidRPr="006579CE" w:rsidRDefault="00D479A4" w:rsidP="00D479A4">
            <w:pPr>
              <w:pStyle w:val="Default"/>
              <w:autoSpaceDE/>
              <w:autoSpaceDN/>
              <w:adjustRightInd/>
              <w:ind w:left="0"/>
              <w:rPr>
                <w:sz w:val="20"/>
                <w:szCs w:val="20"/>
              </w:rPr>
            </w:pPr>
            <w:r>
              <w:rPr>
                <w:b/>
                <w:bCs/>
                <w:sz w:val="20"/>
                <w:szCs w:val="20"/>
              </w:rPr>
              <w:t xml:space="preserve">Rozmer 2 – Forma financovania </w:t>
            </w:r>
          </w:p>
        </w:tc>
      </w:tr>
      <w:tr w:rsidR="00D479A4" w:rsidTr="0095191D">
        <w:trPr>
          <w:trHeight w:val="255"/>
        </w:trPr>
        <w:tc>
          <w:tcPr>
            <w:tcW w:w="4928" w:type="dxa"/>
            <w:shd w:val="clear" w:color="auto" w:fill="DBE5F1" w:themeFill="accent1" w:themeFillTint="33"/>
            <w:vAlign w:val="center"/>
          </w:tcPr>
          <w:p w:rsidR="00D479A4" w:rsidRPr="006579CE" w:rsidRDefault="00D479A4" w:rsidP="005917D8">
            <w:pPr>
              <w:pStyle w:val="Default"/>
              <w:autoSpaceDE/>
              <w:autoSpaceDN/>
              <w:adjustRightInd/>
              <w:ind w:left="0"/>
              <w:rPr>
                <w:b/>
                <w:bCs/>
                <w:sz w:val="20"/>
                <w:szCs w:val="20"/>
              </w:rPr>
            </w:pPr>
            <w:r w:rsidRPr="006579CE">
              <w:rPr>
                <w:b/>
                <w:bCs/>
                <w:sz w:val="20"/>
                <w:szCs w:val="20"/>
              </w:rPr>
              <w:t>Fond</w:t>
            </w:r>
          </w:p>
        </w:tc>
        <w:tc>
          <w:tcPr>
            <w:tcW w:w="4170" w:type="dxa"/>
            <w:gridSpan w:val="2"/>
            <w:shd w:val="clear" w:color="auto" w:fill="DBE5F1" w:themeFill="accent1" w:themeFillTint="33"/>
            <w:vAlign w:val="center"/>
          </w:tcPr>
          <w:p w:rsidR="00D479A4" w:rsidRPr="006579CE" w:rsidRDefault="00D479A4" w:rsidP="005917D8">
            <w:pPr>
              <w:pStyle w:val="Default"/>
              <w:autoSpaceDE/>
              <w:autoSpaceDN/>
              <w:adjustRightInd/>
              <w:ind w:left="0"/>
              <w:rPr>
                <w:bCs/>
                <w:sz w:val="20"/>
                <w:szCs w:val="20"/>
              </w:rPr>
            </w:pPr>
            <w:r w:rsidRPr="006579CE">
              <w:rPr>
                <w:bCs/>
                <w:sz w:val="20"/>
                <w:szCs w:val="20"/>
              </w:rPr>
              <w:t>Kohézny fond</w:t>
            </w:r>
          </w:p>
        </w:tc>
      </w:tr>
      <w:tr w:rsidR="00D479A4" w:rsidTr="0095191D">
        <w:trPr>
          <w:trHeight w:val="255"/>
        </w:trPr>
        <w:tc>
          <w:tcPr>
            <w:tcW w:w="4928" w:type="dxa"/>
            <w:shd w:val="clear" w:color="auto" w:fill="DBE5F1" w:themeFill="accent1" w:themeFillTint="33"/>
            <w:vAlign w:val="center"/>
          </w:tcPr>
          <w:p w:rsidR="00D479A4" w:rsidRPr="006579CE" w:rsidRDefault="00D479A4" w:rsidP="005917D8">
            <w:pPr>
              <w:ind w:left="0"/>
              <w:rPr>
                <w:sz w:val="20"/>
                <w:szCs w:val="20"/>
              </w:rPr>
            </w:pPr>
            <w:r w:rsidRPr="006579CE">
              <w:rPr>
                <w:b/>
                <w:bCs/>
                <w:color w:val="000000"/>
                <w:sz w:val="20"/>
                <w:szCs w:val="20"/>
              </w:rPr>
              <w:t>Kategória regiónu</w:t>
            </w:r>
          </w:p>
        </w:tc>
        <w:tc>
          <w:tcPr>
            <w:tcW w:w="4170" w:type="dxa"/>
            <w:gridSpan w:val="2"/>
            <w:shd w:val="clear" w:color="auto" w:fill="DBE5F1" w:themeFill="accent1" w:themeFillTint="33"/>
            <w:vAlign w:val="center"/>
          </w:tcPr>
          <w:p w:rsidR="00D479A4" w:rsidRPr="006579CE" w:rsidRDefault="00D479A4" w:rsidP="005917D8">
            <w:pPr>
              <w:ind w:left="0"/>
              <w:rPr>
                <w:sz w:val="20"/>
                <w:szCs w:val="20"/>
              </w:rPr>
            </w:pPr>
            <w:r w:rsidRPr="006579CE">
              <w:rPr>
                <w:sz w:val="20"/>
                <w:szCs w:val="20"/>
              </w:rPr>
              <w:t>N/A</w:t>
            </w:r>
          </w:p>
        </w:tc>
      </w:tr>
      <w:tr w:rsidR="00D479A4" w:rsidTr="0095191D">
        <w:trPr>
          <w:trHeight w:val="255"/>
        </w:trPr>
        <w:tc>
          <w:tcPr>
            <w:tcW w:w="4928" w:type="dxa"/>
            <w:vAlign w:val="center"/>
          </w:tcPr>
          <w:p w:rsidR="00D479A4" w:rsidRPr="00D479A4" w:rsidRDefault="00D479A4" w:rsidP="005917D8">
            <w:pPr>
              <w:ind w:left="0"/>
              <w:jc w:val="center"/>
              <w:rPr>
                <w:b/>
                <w:sz w:val="20"/>
                <w:szCs w:val="20"/>
              </w:rPr>
            </w:pPr>
            <w:r w:rsidRPr="00D479A4">
              <w:rPr>
                <w:b/>
                <w:sz w:val="20"/>
                <w:szCs w:val="20"/>
              </w:rPr>
              <w:t>Prioritná os</w:t>
            </w:r>
          </w:p>
        </w:tc>
        <w:tc>
          <w:tcPr>
            <w:tcW w:w="2126" w:type="dxa"/>
            <w:vAlign w:val="center"/>
          </w:tcPr>
          <w:p w:rsidR="00D479A4" w:rsidRPr="00D479A4" w:rsidRDefault="00D479A4" w:rsidP="005917D8">
            <w:pPr>
              <w:ind w:left="0"/>
              <w:jc w:val="center"/>
              <w:rPr>
                <w:b/>
                <w:sz w:val="20"/>
                <w:szCs w:val="20"/>
              </w:rPr>
            </w:pPr>
            <w:r w:rsidRPr="00D479A4">
              <w:rPr>
                <w:b/>
                <w:sz w:val="20"/>
                <w:szCs w:val="20"/>
              </w:rPr>
              <w:t>Kód</w:t>
            </w:r>
          </w:p>
        </w:tc>
        <w:tc>
          <w:tcPr>
            <w:tcW w:w="2044" w:type="dxa"/>
            <w:vAlign w:val="center"/>
          </w:tcPr>
          <w:p w:rsidR="00D479A4" w:rsidRPr="00D479A4" w:rsidRDefault="00D479A4" w:rsidP="005917D8">
            <w:pPr>
              <w:ind w:left="0"/>
              <w:jc w:val="center"/>
              <w:rPr>
                <w:b/>
                <w:sz w:val="20"/>
                <w:szCs w:val="20"/>
              </w:rPr>
            </w:pPr>
            <w:r w:rsidRPr="00D479A4">
              <w:rPr>
                <w:b/>
                <w:sz w:val="20"/>
                <w:szCs w:val="20"/>
              </w:rPr>
              <w:t>Suma (v EUR)</w:t>
            </w:r>
          </w:p>
        </w:tc>
      </w:tr>
      <w:tr w:rsidR="00D479A4" w:rsidTr="0095191D">
        <w:trPr>
          <w:trHeight w:val="255"/>
        </w:trPr>
        <w:tc>
          <w:tcPr>
            <w:tcW w:w="4928" w:type="dxa"/>
            <w:vMerge w:val="restart"/>
            <w:vAlign w:val="center"/>
          </w:tcPr>
          <w:p w:rsidR="00D479A4" w:rsidRPr="00D479A4" w:rsidRDefault="00D615EB" w:rsidP="005917D8">
            <w:pPr>
              <w:ind w:left="0"/>
              <w:rPr>
                <w:sz w:val="20"/>
                <w:szCs w:val="20"/>
              </w:rPr>
            </w:pPr>
            <w:r>
              <w:rPr>
                <w:sz w:val="20"/>
                <w:szCs w:val="20"/>
              </w:rPr>
              <w:t xml:space="preserve">Prioritná os 1 - </w:t>
            </w:r>
            <w:r w:rsidRPr="00D479A4">
              <w:rPr>
                <w:sz w:val="20"/>
                <w:szCs w:val="20"/>
              </w:rPr>
              <w:t>Železničná infraštruktúra (TEN-T CORE) a obnova mobilných prostriedkov</w:t>
            </w:r>
          </w:p>
        </w:tc>
        <w:tc>
          <w:tcPr>
            <w:tcW w:w="2126" w:type="dxa"/>
            <w:vAlign w:val="center"/>
          </w:tcPr>
          <w:p w:rsidR="00D479A4" w:rsidRPr="002F56BA" w:rsidRDefault="00D479A4" w:rsidP="005917D8">
            <w:pPr>
              <w:ind w:left="0"/>
              <w:jc w:val="center"/>
              <w:rPr>
                <w:sz w:val="20"/>
                <w:szCs w:val="20"/>
              </w:rPr>
            </w:pPr>
            <w:r w:rsidRPr="002F56BA">
              <w:rPr>
                <w:sz w:val="20"/>
                <w:szCs w:val="20"/>
              </w:rPr>
              <w:t>01</w:t>
            </w:r>
          </w:p>
        </w:tc>
        <w:tc>
          <w:tcPr>
            <w:tcW w:w="2044" w:type="dxa"/>
            <w:vAlign w:val="center"/>
          </w:tcPr>
          <w:p w:rsidR="00D479A4" w:rsidRPr="002F56BA" w:rsidRDefault="00D479A4" w:rsidP="005917D8">
            <w:pPr>
              <w:ind w:left="0"/>
              <w:jc w:val="center"/>
              <w:rPr>
                <w:sz w:val="20"/>
                <w:szCs w:val="20"/>
              </w:rPr>
            </w:pPr>
            <w:r w:rsidRPr="002F56BA">
              <w:rPr>
                <w:sz w:val="20"/>
                <w:szCs w:val="20"/>
              </w:rPr>
              <w:t>704 063 991</w:t>
            </w:r>
          </w:p>
        </w:tc>
      </w:tr>
      <w:tr w:rsidR="00D479A4" w:rsidTr="0095191D">
        <w:trPr>
          <w:trHeight w:val="255"/>
        </w:trPr>
        <w:tc>
          <w:tcPr>
            <w:tcW w:w="4928" w:type="dxa"/>
            <w:vMerge/>
            <w:vAlign w:val="center"/>
          </w:tcPr>
          <w:p w:rsidR="00D479A4" w:rsidRPr="00D479A4" w:rsidRDefault="00D479A4" w:rsidP="005917D8">
            <w:pPr>
              <w:ind w:left="0"/>
              <w:rPr>
                <w:sz w:val="20"/>
                <w:szCs w:val="20"/>
              </w:rPr>
            </w:pPr>
          </w:p>
        </w:tc>
        <w:tc>
          <w:tcPr>
            <w:tcW w:w="2126" w:type="dxa"/>
            <w:vAlign w:val="center"/>
          </w:tcPr>
          <w:p w:rsidR="00D479A4" w:rsidRPr="002F56BA" w:rsidRDefault="0034625D" w:rsidP="005917D8">
            <w:pPr>
              <w:ind w:left="0"/>
              <w:jc w:val="center"/>
              <w:rPr>
                <w:sz w:val="20"/>
                <w:szCs w:val="20"/>
              </w:rPr>
            </w:pPr>
            <w:r w:rsidRPr="002F56BA">
              <w:rPr>
                <w:sz w:val="20"/>
                <w:szCs w:val="20"/>
              </w:rPr>
              <w:t>02</w:t>
            </w:r>
          </w:p>
        </w:tc>
        <w:tc>
          <w:tcPr>
            <w:tcW w:w="2044" w:type="dxa"/>
            <w:vAlign w:val="center"/>
          </w:tcPr>
          <w:p w:rsidR="00D479A4" w:rsidRPr="002F56BA" w:rsidRDefault="0034625D" w:rsidP="005917D8">
            <w:pPr>
              <w:ind w:left="0"/>
              <w:jc w:val="center"/>
              <w:rPr>
                <w:sz w:val="20"/>
                <w:szCs w:val="20"/>
                <w:lang w:val="en-US"/>
              </w:rPr>
            </w:pPr>
            <w:r w:rsidRPr="002F56BA">
              <w:rPr>
                <w:sz w:val="20"/>
                <w:szCs w:val="20"/>
              </w:rPr>
              <w:t>21 775 175</w:t>
            </w:r>
          </w:p>
        </w:tc>
      </w:tr>
    </w:tbl>
    <w:p w:rsidR="00350B96" w:rsidRPr="00350B96" w:rsidRDefault="00350B96" w:rsidP="00350B96">
      <w:pPr>
        <w:pStyle w:val="Tab"/>
      </w:pPr>
    </w:p>
    <w:tbl>
      <w:tblPr>
        <w:tblStyle w:val="Mriekatabuky"/>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28"/>
        <w:gridCol w:w="2126"/>
        <w:gridCol w:w="2044"/>
      </w:tblGrid>
      <w:tr w:rsidR="00391E8C" w:rsidTr="0095191D">
        <w:trPr>
          <w:trHeight w:val="255"/>
        </w:trPr>
        <w:tc>
          <w:tcPr>
            <w:tcW w:w="9098" w:type="dxa"/>
            <w:gridSpan w:val="3"/>
            <w:shd w:val="clear" w:color="auto" w:fill="DBE5F1" w:themeFill="accent1" w:themeFillTint="33"/>
            <w:vAlign w:val="center"/>
          </w:tcPr>
          <w:p w:rsidR="00391E8C" w:rsidRPr="006579CE" w:rsidRDefault="00391E8C" w:rsidP="00391E8C">
            <w:pPr>
              <w:pStyle w:val="Default"/>
              <w:autoSpaceDE/>
              <w:autoSpaceDN/>
              <w:adjustRightInd/>
              <w:ind w:left="0"/>
              <w:rPr>
                <w:sz w:val="20"/>
                <w:szCs w:val="20"/>
              </w:rPr>
            </w:pPr>
            <w:r>
              <w:rPr>
                <w:b/>
                <w:bCs/>
                <w:sz w:val="20"/>
                <w:szCs w:val="20"/>
              </w:rPr>
              <w:t xml:space="preserve">Rozmer 3 – Druh územia </w:t>
            </w:r>
          </w:p>
        </w:tc>
      </w:tr>
      <w:tr w:rsidR="00391E8C" w:rsidTr="0095191D">
        <w:trPr>
          <w:trHeight w:val="255"/>
        </w:trPr>
        <w:tc>
          <w:tcPr>
            <w:tcW w:w="4928" w:type="dxa"/>
            <w:shd w:val="clear" w:color="auto" w:fill="DBE5F1" w:themeFill="accent1" w:themeFillTint="33"/>
            <w:vAlign w:val="center"/>
          </w:tcPr>
          <w:p w:rsidR="00391E8C" w:rsidRPr="006579CE" w:rsidRDefault="00391E8C" w:rsidP="005917D8">
            <w:pPr>
              <w:pStyle w:val="Default"/>
              <w:autoSpaceDE/>
              <w:autoSpaceDN/>
              <w:adjustRightInd/>
              <w:ind w:left="0"/>
              <w:rPr>
                <w:b/>
                <w:bCs/>
                <w:sz w:val="20"/>
                <w:szCs w:val="20"/>
              </w:rPr>
            </w:pPr>
            <w:r w:rsidRPr="006579CE">
              <w:rPr>
                <w:b/>
                <w:bCs/>
                <w:sz w:val="20"/>
                <w:szCs w:val="20"/>
              </w:rPr>
              <w:t>Fond</w:t>
            </w:r>
          </w:p>
        </w:tc>
        <w:tc>
          <w:tcPr>
            <w:tcW w:w="4170" w:type="dxa"/>
            <w:gridSpan w:val="2"/>
            <w:shd w:val="clear" w:color="auto" w:fill="DBE5F1" w:themeFill="accent1" w:themeFillTint="33"/>
            <w:vAlign w:val="center"/>
          </w:tcPr>
          <w:p w:rsidR="00391E8C" w:rsidRPr="006579CE" w:rsidRDefault="00391E8C" w:rsidP="005917D8">
            <w:pPr>
              <w:pStyle w:val="Default"/>
              <w:autoSpaceDE/>
              <w:autoSpaceDN/>
              <w:adjustRightInd/>
              <w:ind w:left="0"/>
              <w:rPr>
                <w:bCs/>
                <w:sz w:val="20"/>
                <w:szCs w:val="20"/>
              </w:rPr>
            </w:pPr>
            <w:r w:rsidRPr="006579CE">
              <w:rPr>
                <w:bCs/>
                <w:sz w:val="20"/>
                <w:szCs w:val="20"/>
              </w:rPr>
              <w:t>Kohézny fond</w:t>
            </w:r>
          </w:p>
        </w:tc>
      </w:tr>
      <w:tr w:rsidR="00391E8C" w:rsidTr="0095191D">
        <w:trPr>
          <w:trHeight w:val="255"/>
        </w:trPr>
        <w:tc>
          <w:tcPr>
            <w:tcW w:w="4928" w:type="dxa"/>
            <w:shd w:val="clear" w:color="auto" w:fill="DBE5F1" w:themeFill="accent1" w:themeFillTint="33"/>
            <w:vAlign w:val="center"/>
          </w:tcPr>
          <w:p w:rsidR="00391E8C" w:rsidRPr="006579CE" w:rsidRDefault="00391E8C" w:rsidP="005917D8">
            <w:pPr>
              <w:ind w:left="0"/>
              <w:rPr>
                <w:sz w:val="20"/>
                <w:szCs w:val="20"/>
              </w:rPr>
            </w:pPr>
            <w:r w:rsidRPr="006579CE">
              <w:rPr>
                <w:b/>
                <w:bCs/>
                <w:color w:val="000000"/>
                <w:sz w:val="20"/>
                <w:szCs w:val="20"/>
              </w:rPr>
              <w:t>Kategória regiónu</w:t>
            </w:r>
          </w:p>
        </w:tc>
        <w:tc>
          <w:tcPr>
            <w:tcW w:w="4170" w:type="dxa"/>
            <w:gridSpan w:val="2"/>
            <w:shd w:val="clear" w:color="auto" w:fill="DBE5F1" w:themeFill="accent1" w:themeFillTint="33"/>
            <w:vAlign w:val="center"/>
          </w:tcPr>
          <w:p w:rsidR="00391E8C" w:rsidRPr="006579CE" w:rsidRDefault="00391E8C" w:rsidP="005917D8">
            <w:pPr>
              <w:ind w:left="0"/>
              <w:rPr>
                <w:sz w:val="20"/>
                <w:szCs w:val="20"/>
              </w:rPr>
            </w:pPr>
            <w:r w:rsidRPr="006579CE">
              <w:rPr>
                <w:sz w:val="20"/>
                <w:szCs w:val="20"/>
              </w:rPr>
              <w:t>N/A</w:t>
            </w:r>
          </w:p>
        </w:tc>
      </w:tr>
      <w:tr w:rsidR="00391E8C" w:rsidTr="0095191D">
        <w:trPr>
          <w:trHeight w:val="255"/>
        </w:trPr>
        <w:tc>
          <w:tcPr>
            <w:tcW w:w="4928" w:type="dxa"/>
            <w:vAlign w:val="center"/>
          </w:tcPr>
          <w:p w:rsidR="00391E8C" w:rsidRPr="00D479A4" w:rsidRDefault="00391E8C" w:rsidP="005917D8">
            <w:pPr>
              <w:ind w:left="0"/>
              <w:jc w:val="center"/>
              <w:rPr>
                <w:b/>
                <w:sz w:val="20"/>
                <w:szCs w:val="20"/>
              </w:rPr>
            </w:pPr>
            <w:r w:rsidRPr="00D479A4">
              <w:rPr>
                <w:b/>
                <w:sz w:val="20"/>
                <w:szCs w:val="20"/>
              </w:rPr>
              <w:t>Prioritná os</w:t>
            </w:r>
          </w:p>
        </w:tc>
        <w:tc>
          <w:tcPr>
            <w:tcW w:w="2126" w:type="dxa"/>
            <w:vAlign w:val="center"/>
          </w:tcPr>
          <w:p w:rsidR="00391E8C" w:rsidRPr="00D479A4" w:rsidRDefault="00391E8C" w:rsidP="005917D8">
            <w:pPr>
              <w:ind w:left="0"/>
              <w:jc w:val="center"/>
              <w:rPr>
                <w:b/>
                <w:sz w:val="20"/>
                <w:szCs w:val="20"/>
              </w:rPr>
            </w:pPr>
            <w:r w:rsidRPr="00D479A4">
              <w:rPr>
                <w:b/>
                <w:sz w:val="20"/>
                <w:szCs w:val="20"/>
              </w:rPr>
              <w:t>Kód</w:t>
            </w:r>
          </w:p>
        </w:tc>
        <w:tc>
          <w:tcPr>
            <w:tcW w:w="2044" w:type="dxa"/>
            <w:vAlign w:val="center"/>
          </w:tcPr>
          <w:p w:rsidR="00391E8C" w:rsidRPr="00D479A4" w:rsidRDefault="00391E8C" w:rsidP="005917D8">
            <w:pPr>
              <w:ind w:left="0"/>
              <w:jc w:val="center"/>
              <w:rPr>
                <w:b/>
                <w:sz w:val="20"/>
                <w:szCs w:val="20"/>
              </w:rPr>
            </w:pPr>
            <w:r w:rsidRPr="00D479A4">
              <w:rPr>
                <w:b/>
                <w:sz w:val="20"/>
                <w:szCs w:val="20"/>
              </w:rPr>
              <w:t>Suma (v EUR)</w:t>
            </w:r>
          </w:p>
        </w:tc>
      </w:tr>
      <w:tr w:rsidR="00391E8C" w:rsidTr="0095191D">
        <w:trPr>
          <w:trHeight w:val="520"/>
        </w:trPr>
        <w:tc>
          <w:tcPr>
            <w:tcW w:w="4928" w:type="dxa"/>
            <w:vAlign w:val="center"/>
          </w:tcPr>
          <w:p w:rsidR="00391E8C" w:rsidRPr="00D479A4" w:rsidRDefault="00D615EB" w:rsidP="005917D8">
            <w:pPr>
              <w:ind w:left="0"/>
              <w:rPr>
                <w:sz w:val="20"/>
                <w:szCs w:val="20"/>
              </w:rPr>
            </w:pPr>
            <w:r>
              <w:rPr>
                <w:sz w:val="20"/>
                <w:szCs w:val="20"/>
              </w:rPr>
              <w:t xml:space="preserve">Prioritná os 1 - </w:t>
            </w:r>
            <w:r w:rsidRPr="00D479A4">
              <w:rPr>
                <w:sz w:val="20"/>
                <w:szCs w:val="20"/>
              </w:rPr>
              <w:t>Železničná infraštruktúra (TEN-T CORE) a obnova mobilných prostriedkov</w:t>
            </w:r>
          </w:p>
        </w:tc>
        <w:tc>
          <w:tcPr>
            <w:tcW w:w="2126" w:type="dxa"/>
            <w:vAlign w:val="center"/>
          </w:tcPr>
          <w:p w:rsidR="00391E8C" w:rsidRPr="00D479A4" w:rsidRDefault="00391E8C" w:rsidP="002F56BA">
            <w:pPr>
              <w:ind w:left="0"/>
              <w:jc w:val="center"/>
              <w:rPr>
                <w:sz w:val="20"/>
                <w:szCs w:val="20"/>
              </w:rPr>
            </w:pPr>
            <w:r>
              <w:rPr>
                <w:sz w:val="20"/>
                <w:szCs w:val="20"/>
              </w:rPr>
              <w:t>0</w:t>
            </w:r>
            <w:r w:rsidR="002F56BA">
              <w:rPr>
                <w:sz w:val="20"/>
                <w:szCs w:val="20"/>
              </w:rPr>
              <w:t>7</w:t>
            </w:r>
          </w:p>
        </w:tc>
        <w:tc>
          <w:tcPr>
            <w:tcW w:w="2044" w:type="dxa"/>
            <w:vAlign w:val="center"/>
          </w:tcPr>
          <w:p w:rsidR="00391E8C" w:rsidRPr="00D479A4" w:rsidRDefault="008C1732" w:rsidP="002F56BA">
            <w:pPr>
              <w:ind w:left="0"/>
              <w:jc w:val="center"/>
              <w:rPr>
                <w:sz w:val="20"/>
                <w:szCs w:val="20"/>
              </w:rPr>
            </w:pPr>
            <w:r w:rsidRPr="008C1732">
              <w:rPr>
                <w:sz w:val="20"/>
                <w:szCs w:val="20"/>
              </w:rPr>
              <w:t>725 839 166</w:t>
            </w:r>
          </w:p>
        </w:tc>
      </w:tr>
    </w:tbl>
    <w:p w:rsidR="008C1732" w:rsidRDefault="008C1732" w:rsidP="00BE0B89">
      <w:pPr>
        <w:pStyle w:val="Tab"/>
        <w:numPr>
          <w:ilvl w:val="0"/>
          <w:numId w:val="0"/>
        </w:numPr>
        <w:ind w:left="360" w:hanging="360"/>
      </w:pPr>
    </w:p>
    <w:p w:rsidR="00244C49" w:rsidRDefault="00244C49" w:rsidP="00244C49">
      <w:pPr>
        <w:rPr>
          <w:lang w:eastAsia="cs-CZ"/>
        </w:rPr>
      </w:pPr>
    </w:p>
    <w:p w:rsidR="00244C49" w:rsidRDefault="00244C49" w:rsidP="00244C49">
      <w:pPr>
        <w:rPr>
          <w:lang w:eastAsia="cs-CZ"/>
        </w:rPr>
      </w:pPr>
    </w:p>
    <w:p w:rsidR="00244C49" w:rsidRDefault="00244C49" w:rsidP="00244C49">
      <w:pPr>
        <w:rPr>
          <w:lang w:eastAsia="cs-CZ"/>
        </w:rPr>
      </w:pPr>
    </w:p>
    <w:p w:rsidR="00244C49" w:rsidRPr="00244C49" w:rsidRDefault="00244C49" w:rsidP="00244C49">
      <w:pPr>
        <w:rPr>
          <w:lang w:eastAsia="cs-CZ"/>
        </w:rPr>
      </w:pPr>
    </w:p>
    <w:p w:rsidR="00BE0B89" w:rsidRPr="00BE0B89" w:rsidRDefault="00BE0B89" w:rsidP="00BE0B89">
      <w:pPr>
        <w:pStyle w:val="Tab"/>
      </w:pPr>
    </w:p>
    <w:tbl>
      <w:tblPr>
        <w:tblStyle w:val="Mriekatabuky"/>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28"/>
        <w:gridCol w:w="2126"/>
        <w:gridCol w:w="2044"/>
      </w:tblGrid>
      <w:tr w:rsidR="008C1732" w:rsidTr="0095191D">
        <w:trPr>
          <w:trHeight w:val="255"/>
        </w:trPr>
        <w:tc>
          <w:tcPr>
            <w:tcW w:w="9098" w:type="dxa"/>
            <w:gridSpan w:val="3"/>
            <w:shd w:val="clear" w:color="auto" w:fill="DBE5F1" w:themeFill="accent1" w:themeFillTint="33"/>
            <w:vAlign w:val="center"/>
          </w:tcPr>
          <w:p w:rsidR="008C1732" w:rsidRPr="008C1732" w:rsidRDefault="008C1732" w:rsidP="008C1732">
            <w:pPr>
              <w:pStyle w:val="Default"/>
              <w:autoSpaceDE/>
              <w:autoSpaceDN/>
              <w:adjustRightInd/>
              <w:ind w:left="0"/>
              <w:rPr>
                <w:b/>
                <w:bCs/>
                <w:sz w:val="20"/>
                <w:szCs w:val="20"/>
              </w:rPr>
            </w:pPr>
            <w:r>
              <w:rPr>
                <w:b/>
                <w:bCs/>
                <w:sz w:val="20"/>
                <w:szCs w:val="20"/>
              </w:rPr>
              <w:t>Rozmer 4 – Územné mechanizmy realizácie</w:t>
            </w:r>
          </w:p>
        </w:tc>
      </w:tr>
      <w:tr w:rsidR="008C1732" w:rsidTr="0095191D">
        <w:trPr>
          <w:trHeight w:val="255"/>
        </w:trPr>
        <w:tc>
          <w:tcPr>
            <w:tcW w:w="4928" w:type="dxa"/>
            <w:shd w:val="clear" w:color="auto" w:fill="DBE5F1" w:themeFill="accent1" w:themeFillTint="33"/>
            <w:vAlign w:val="center"/>
          </w:tcPr>
          <w:p w:rsidR="008C1732" w:rsidRPr="006579CE" w:rsidRDefault="008C1732" w:rsidP="005917D8">
            <w:pPr>
              <w:pStyle w:val="Default"/>
              <w:autoSpaceDE/>
              <w:autoSpaceDN/>
              <w:adjustRightInd/>
              <w:ind w:left="0"/>
              <w:rPr>
                <w:b/>
                <w:bCs/>
                <w:sz w:val="20"/>
                <w:szCs w:val="20"/>
              </w:rPr>
            </w:pPr>
            <w:r w:rsidRPr="006579CE">
              <w:rPr>
                <w:b/>
                <w:bCs/>
                <w:sz w:val="20"/>
                <w:szCs w:val="20"/>
              </w:rPr>
              <w:t>Fond</w:t>
            </w:r>
          </w:p>
        </w:tc>
        <w:tc>
          <w:tcPr>
            <w:tcW w:w="4170" w:type="dxa"/>
            <w:gridSpan w:val="2"/>
            <w:shd w:val="clear" w:color="auto" w:fill="DBE5F1" w:themeFill="accent1" w:themeFillTint="33"/>
            <w:vAlign w:val="center"/>
          </w:tcPr>
          <w:p w:rsidR="008C1732" w:rsidRPr="006579CE" w:rsidRDefault="008C1732" w:rsidP="005917D8">
            <w:pPr>
              <w:pStyle w:val="Default"/>
              <w:autoSpaceDE/>
              <w:autoSpaceDN/>
              <w:adjustRightInd/>
              <w:ind w:left="0"/>
              <w:rPr>
                <w:bCs/>
                <w:sz w:val="20"/>
                <w:szCs w:val="20"/>
              </w:rPr>
            </w:pPr>
            <w:r w:rsidRPr="006579CE">
              <w:rPr>
                <w:bCs/>
                <w:sz w:val="20"/>
                <w:szCs w:val="20"/>
              </w:rPr>
              <w:t>Kohézny fond</w:t>
            </w:r>
          </w:p>
        </w:tc>
      </w:tr>
      <w:tr w:rsidR="008C1732" w:rsidTr="0095191D">
        <w:trPr>
          <w:trHeight w:val="255"/>
        </w:trPr>
        <w:tc>
          <w:tcPr>
            <w:tcW w:w="4928" w:type="dxa"/>
            <w:shd w:val="clear" w:color="auto" w:fill="DBE5F1" w:themeFill="accent1" w:themeFillTint="33"/>
            <w:vAlign w:val="center"/>
          </w:tcPr>
          <w:p w:rsidR="008C1732" w:rsidRPr="006579CE" w:rsidRDefault="008C1732" w:rsidP="005917D8">
            <w:pPr>
              <w:ind w:left="0"/>
              <w:rPr>
                <w:sz w:val="20"/>
                <w:szCs w:val="20"/>
              </w:rPr>
            </w:pPr>
            <w:r w:rsidRPr="006579CE">
              <w:rPr>
                <w:b/>
                <w:bCs/>
                <w:color w:val="000000"/>
                <w:sz w:val="20"/>
                <w:szCs w:val="20"/>
              </w:rPr>
              <w:t>Kategória regiónu</w:t>
            </w:r>
          </w:p>
        </w:tc>
        <w:tc>
          <w:tcPr>
            <w:tcW w:w="4170" w:type="dxa"/>
            <w:gridSpan w:val="2"/>
            <w:shd w:val="clear" w:color="auto" w:fill="DBE5F1" w:themeFill="accent1" w:themeFillTint="33"/>
            <w:vAlign w:val="center"/>
          </w:tcPr>
          <w:p w:rsidR="008C1732" w:rsidRPr="006579CE" w:rsidRDefault="008C1732" w:rsidP="005917D8">
            <w:pPr>
              <w:ind w:left="0"/>
              <w:rPr>
                <w:sz w:val="20"/>
                <w:szCs w:val="20"/>
              </w:rPr>
            </w:pPr>
            <w:r w:rsidRPr="006579CE">
              <w:rPr>
                <w:sz w:val="20"/>
                <w:szCs w:val="20"/>
              </w:rPr>
              <w:t>N/A</w:t>
            </w:r>
          </w:p>
        </w:tc>
      </w:tr>
      <w:tr w:rsidR="008C1732" w:rsidTr="0095191D">
        <w:trPr>
          <w:trHeight w:val="255"/>
        </w:trPr>
        <w:tc>
          <w:tcPr>
            <w:tcW w:w="4928" w:type="dxa"/>
            <w:vAlign w:val="center"/>
          </w:tcPr>
          <w:p w:rsidR="008C1732" w:rsidRPr="00D479A4" w:rsidRDefault="008C1732" w:rsidP="005917D8">
            <w:pPr>
              <w:ind w:left="0"/>
              <w:jc w:val="center"/>
              <w:rPr>
                <w:b/>
                <w:sz w:val="20"/>
                <w:szCs w:val="20"/>
              </w:rPr>
            </w:pPr>
            <w:r w:rsidRPr="00D479A4">
              <w:rPr>
                <w:b/>
                <w:sz w:val="20"/>
                <w:szCs w:val="20"/>
              </w:rPr>
              <w:t>Prioritná os</w:t>
            </w:r>
          </w:p>
        </w:tc>
        <w:tc>
          <w:tcPr>
            <w:tcW w:w="2126" w:type="dxa"/>
            <w:vAlign w:val="center"/>
          </w:tcPr>
          <w:p w:rsidR="008C1732" w:rsidRPr="00D479A4" w:rsidRDefault="008C1732" w:rsidP="005917D8">
            <w:pPr>
              <w:ind w:left="0"/>
              <w:jc w:val="center"/>
              <w:rPr>
                <w:b/>
                <w:sz w:val="20"/>
                <w:szCs w:val="20"/>
              </w:rPr>
            </w:pPr>
            <w:r w:rsidRPr="00D479A4">
              <w:rPr>
                <w:b/>
                <w:sz w:val="20"/>
                <w:szCs w:val="20"/>
              </w:rPr>
              <w:t>Kód</w:t>
            </w:r>
          </w:p>
        </w:tc>
        <w:tc>
          <w:tcPr>
            <w:tcW w:w="2044" w:type="dxa"/>
            <w:vAlign w:val="center"/>
          </w:tcPr>
          <w:p w:rsidR="008C1732" w:rsidRPr="00D479A4" w:rsidRDefault="008C1732" w:rsidP="005917D8">
            <w:pPr>
              <w:ind w:left="0"/>
              <w:jc w:val="center"/>
              <w:rPr>
                <w:b/>
                <w:sz w:val="20"/>
                <w:szCs w:val="20"/>
              </w:rPr>
            </w:pPr>
            <w:r w:rsidRPr="00D479A4">
              <w:rPr>
                <w:b/>
                <w:sz w:val="20"/>
                <w:szCs w:val="20"/>
              </w:rPr>
              <w:t>Suma (v EUR)</w:t>
            </w:r>
          </w:p>
        </w:tc>
      </w:tr>
      <w:tr w:rsidR="008C1732" w:rsidTr="0095191D">
        <w:trPr>
          <w:trHeight w:val="520"/>
        </w:trPr>
        <w:tc>
          <w:tcPr>
            <w:tcW w:w="4928" w:type="dxa"/>
            <w:vAlign w:val="center"/>
          </w:tcPr>
          <w:p w:rsidR="008C1732" w:rsidRPr="00D479A4" w:rsidRDefault="00D615EB" w:rsidP="005917D8">
            <w:pPr>
              <w:ind w:left="0"/>
              <w:rPr>
                <w:sz w:val="20"/>
                <w:szCs w:val="20"/>
              </w:rPr>
            </w:pPr>
            <w:r>
              <w:rPr>
                <w:sz w:val="20"/>
                <w:szCs w:val="20"/>
              </w:rPr>
              <w:t xml:space="preserve">Prioritná os 1 - </w:t>
            </w:r>
            <w:r w:rsidRPr="00D479A4">
              <w:rPr>
                <w:sz w:val="20"/>
                <w:szCs w:val="20"/>
              </w:rPr>
              <w:t>Železničná infraštruktúra (TEN-T CORE) a obnova mobilných prostriedkov</w:t>
            </w:r>
          </w:p>
        </w:tc>
        <w:tc>
          <w:tcPr>
            <w:tcW w:w="2126" w:type="dxa"/>
            <w:vAlign w:val="center"/>
          </w:tcPr>
          <w:p w:rsidR="008C1732" w:rsidRPr="00D479A4" w:rsidRDefault="008C1732" w:rsidP="002F56BA">
            <w:pPr>
              <w:ind w:left="0"/>
              <w:jc w:val="center"/>
              <w:rPr>
                <w:sz w:val="20"/>
                <w:szCs w:val="20"/>
              </w:rPr>
            </w:pPr>
            <w:r>
              <w:rPr>
                <w:sz w:val="20"/>
                <w:szCs w:val="20"/>
              </w:rPr>
              <w:t>0</w:t>
            </w:r>
            <w:r w:rsidR="002F56BA">
              <w:rPr>
                <w:sz w:val="20"/>
                <w:szCs w:val="20"/>
              </w:rPr>
              <w:t>7</w:t>
            </w:r>
          </w:p>
        </w:tc>
        <w:tc>
          <w:tcPr>
            <w:tcW w:w="2044" w:type="dxa"/>
            <w:vAlign w:val="center"/>
          </w:tcPr>
          <w:p w:rsidR="008C1732" w:rsidRPr="00D479A4" w:rsidRDefault="008C1732" w:rsidP="002F56BA">
            <w:pPr>
              <w:ind w:left="0"/>
              <w:jc w:val="center"/>
              <w:rPr>
                <w:sz w:val="20"/>
                <w:szCs w:val="20"/>
              </w:rPr>
            </w:pPr>
            <w:r w:rsidRPr="008C1732">
              <w:rPr>
                <w:sz w:val="20"/>
                <w:szCs w:val="20"/>
              </w:rPr>
              <w:t>725 839 166</w:t>
            </w:r>
          </w:p>
        </w:tc>
      </w:tr>
    </w:tbl>
    <w:p w:rsidR="007B3B80" w:rsidRDefault="007B3B80" w:rsidP="007B3B80">
      <w:pPr>
        <w:pStyle w:val="Nadpis3"/>
        <w:jc w:val="both"/>
      </w:pPr>
      <w:bookmarkStart w:id="26" w:name="_Toc385310685"/>
      <w:r>
        <w:t>Súhrn plánovaného využitia technickej pomoci vrátane, ak je to vhodné, akcií na posilnenie administratívnej kapacity orgánov zapojených do riadenia a kontroly programu a prijímateľov (ak je to vhodné)</w:t>
      </w:r>
      <w:bookmarkEnd w:id="26"/>
    </w:p>
    <w:p w:rsidR="008C1732" w:rsidRPr="008C1732" w:rsidRDefault="008C1732" w:rsidP="008C1732">
      <w:pPr>
        <w:rPr>
          <w:sz w:val="22"/>
          <w:szCs w:val="22"/>
        </w:rPr>
      </w:pPr>
      <w:r w:rsidRPr="008C1732">
        <w:rPr>
          <w:sz w:val="22"/>
          <w:szCs w:val="22"/>
        </w:rPr>
        <w:t>N/A</w:t>
      </w:r>
    </w:p>
    <w:p w:rsidR="00090A6F" w:rsidRDefault="00090A6F" w:rsidP="00090A6F">
      <w:pPr>
        <w:pStyle w:val="Nadpis2"/>
        <w:sectPr w:rsidR="00090A6F" w:rsidSect="00D1658B">
          <w:headerReference w:type="default" r:id="rId17"/>
          <w:footerReference w:type="default" r:id="rId18"/>
          <w:pgSz w:w="11906" w:h="16838"/>
          <w:pgMar w:top="1418" w:right="1361" w:bottom="1304" w:left="1474" w:header="709" w:footer="709" w:gutter="0"/>
          <w:cols w:space="708"/>
          <w:docGrid w:linePitch="360"/>
        </w:sectPr>
      </w:pPr>
    </w:p>
    <w:p w:rsidR="001A218B" w:rsidRDefault="00090A6F" w:rsidP="0049252B">
      <w:pPr>
        <w:pStyle w:val="Nadpis2"/>
      </w:pPr>
      <w:bookmarkStart w:id="27" w:name="_Toc385310686"/>
      <w:r>
        <w:lastRenderedPageBreak/>
        <w:t>PRIORITNÁ OS 2: CESTNÁ INFRAŠTRUKTÚRA (TEN-T CORE)</w:t>
      </w:r>
      <w:bookmarkEnd w:id="27"/>
    </w:p>
    <w:tbl>
      <w:tblPr>
        <w:tblStyle w:val="Mriekatabuky"/>
        <w:tblW w:w="793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404"/>
        <w:gridCol w:w="3534"/>
      </w:tblGrid>
      <w:tr w:rsidR="0049252B" w:rsidTr="0095191D">
        <w:trPr>
          <w:trHeight w:hRule="exact" w:val="284"/>
          <w:jc w:val="center"/>
        </w:trPr>
        <w:tc>
          <w:tcPr>
            <w:tcW w:w="4404" w:type="dxa"/>
            <w:shd w:val="clear" w:color="auto" w:fill="DBE5F1" w:themeFill="accent1" w:themeFillTint="33"/>
            <w:vAlign w:val="center"/>
          </w:tcPr>
          <w:p w:rsidR="0049252B" w:rsidRDefault="0049252B" w:rsidP="0049252B">
            <w:pPr>
              <w:ind w:left="0"/>
            </w:pPr>
            <w:r w:rsidRPr="00863337">
              <w:rPr>
                <w:b/>
                <w:i/>
                <w:sz w:val="20"/>
                <w:szCs w:val="20"/>
              </w:rPr>
              <w:t>ID prioritnej osi</w:t>
            </w:r>
          </w:p>
        </w:tc>
        <w:tc>
          <w:tcPr>
            <w:tcW w:w="3534" w:type="dxa"/>
          </w:tcPr>
          <w:p w:rsidR="0049252B" w:rsidRDefault="0049252B" w:rsidP="005139F6">
            <w:pPr>
              <w:pStyle w:val="PRIORITNA"/>
              <w:numPr>
                <w:ilvl w:val="0"/>
                <w:numId w:val="0"/>
              </w:numPr>
            </w:pPr>
          </w:p>
        </w:tc>
      </w:tr>
      <w:tr w:rsidR="0049252B" w:rsidTr="0095191D">
        <w:trPr>
          <w:trHeight w:hRule="exact" w:val="284"/>
          <w:jc w:val="center"/>
        </w:trPr>
        <w:tc>
          <w:tcPr>
            <w:tcW w:w="4404" w:type="dxa"/>
            <w:shd w:val="clear" w:color="auto" w:fill="DBE5F1" w:themeFill="accent1" w:themeFillTint="33"/>
            <w:vAlign w:val="center"/>
          </w:tcPr>
          <w:p w:rsidR="0049252B" w:rsidRPr="003D6170" w:rsidRDefault="0049252B" w:rsidP="003D6170">
            <w:pPr>
              <w:ind w:left="0"/>
              <w:rPr>
                <w:b/>
                <w:i/>
                <w:sz w:val="20"/>
                <w:szCs w:val="20"/>
              </w:rPr>
            </w:pPr>
            <w:r w:rsidRPr="003D6170">
              <w:rPr>
                <w:b/>
                <w:i/>
                <w:sz w:val="20"/>
                <w:szCs w:val="20"/>
              </w:rPr>
              <w:t>Názov prioritnej osi</w:t>
            </w:r>
          </w:p>
        </w:tc>
        <w:tc>
          <w:tcPr>
            <w:tcW w:w="3534" w:type="dxa"/>
            <w:vAlign w:val="center"/>
          </w:tcPr>
          <w:p w:rsidR="0049252B" w:rsidRPr="00750A42" w:rsidRDefault="0049252B" w:rsidP="005139F6">
            <w:pPr>
              <w:ind w:left="0"/>
              <w:rPr>
                <w:sz w:val="20"/>
                <w:szCs w:val="20"/>
              </w:rPr>
            </w:pPr>
            <w:r>
              <w:rPr>
                <w:sz w:val="20"/>
                <w:szCs w:val="20"/>
              </w:rPr>
              <w:t>Cestná infraštruktúra (TEN-T CORE)</w:t>
            </w:r>
            <w:r>
              <w:t xml:space="preserve"> </w:t>
            </w:r>
          </w:p>
        </w:tc>
      </w:tr>
    </w:tbl>
    <w:p w:rsidR="0049252B" w:rsidRDefault="0049252B" w:rsidP="00D83282">
      <w:pPr>
        <w:pStyle w:val="PRIORITNA"/>
        <w:numPr>
          <w:ilvl w:val="0"/>
          <w:numId w:val="0"/>
        </w:numPr>
        <w:spacing w:after="0"/>
      </w:pPr>
    </w:p>
    <w:tbl>
      <w:tblPr>
        <w:tblStyle w:val="Mriekatabuky"/>
        <w:tblW w:w="793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396"/>
        <w:gridCol w:w="3542"/>
      </w:tblGrid>
      <w:tr w:rsidR="0049252B" w:rsidRPr="00765DFA" w:rsidTr="0095191D">
        <w:trPr>
          <w:trHeight w:val="255"/>
          <w:jc w:val="center"/>
        </w:trPr>
        <w:tc>
          <w:tcPr>
            <w:tcW w:w="4396" w:type="dxa"/>
            <w:shd w:val="clear" w:color="auto" w:fill="DBE5F1" w:themeFill="accent1" w:themeFillTint="33"/>
            <w:vAlign w:val="center"/>
          </w:tcPr>
          <w:p w:rsidR="0049252B" w:rsidRPr="00765DFA" w:rsidRDefault="0049252B" w:rsidP="005139F6">
            <w:pPr>
              <w:ind w:left="0"/>
              <w:rPr>
                <w:b/>
                <w:i/>
                <w:sz w:val="20"/>
                <w:szCs w:val="20"/>
              </w:rPr>
            </w:pPr>
            <w:r>
              <w:rPr>
                <w:b/>
                <w:i/>
                <w:sz w:val="20"/>
                <w:szCs w:val="20"/>
              </w:rPr>
              <w:t xml:space="preserve">Celá prioritná os bude realizovaná výhradne prostredníctvom finančných nástrojov </w:t>
            </w:r>
          </w:p>
        </w:tc>
        <w:tc>
          <w:tcPr>
            <w:tcW w:w="3542" w:type="dxa"/>
            <w:vAlign w:val="center"/>
          </w:tcPr>
          <w:p w:rsidR="0049252B" w:rsidRPr="00765DFA" w:rsidRDefault="0049252B" w:rsidP="005139F6">
            <w:pPr>
              <w:ind w:left="0"/>
              <w:rPr>
                <w:sz w:val="20"/>
                <w:szCs w:val="20"/>
              </w:rPr>
            </w:pPr>
            <w:r>
              <w:rPr>
                <w:sz w:val="20"/>
                <w:szCs w:val="20"/>
              </w:rPr>
              <w:t>Nie</w:t>
            </w:r>
          </w:p>
        </w:tc>
      </w:tr>
      <w:tr w:rsidR="0049252B" w:rsidRPr="00765DFA" w:rsidTr="0095191D">
        <w:trPr>
          <w:trHeight w:val="255"/>
          <w:jc w:val="center"/>
        </w:trPr>
        <w:tc>
          <w:tcPr>
            <w:tcW w:w="4396" w:type="dxa"/>
            <w:shd w:val="clear" w:color="auto" w:fill="DBE5F1" w:themeFill="accent1" w:themeFillTint="33"/>
            <w:vAlign w:val="center"/>
          </w:tcPr>
          <w:p w:rsidR="0049252B" w:rsidRPr="00765DFA" w:rsidRDefault="0049252B" w:rsidP="005139F6">
            <w:pPr>
              <w:ind w:left="0"/>
              <w:rPr>
                <w:b/>
                <w:i/>
                <w:sz w:val="20"/>
                <w:szCs w:val="20"/>
              </w:rPr>
            </w:pPr>
            <w:r>
              <w:rPr>
                <w:b/>
                <w:i/>
                <w:sz w:val="20"/>
                <w:szCs w:val="20"/>
              </w:rPr>
              <w:t>Celá prioritná os bude realizovaná výhradne prostredníctvom finančných nástrojov vytvorených na úrovni Únie</w:t>
            </w:r>
          </w:p>
        </w:tc>
        <w:tc>
          <w:tcPr>
            <w:tcW w:w="3542" w:type="dxa"/>
            <w:vAlign w:val="center"/>
          </w:tcPr>
          <w:p w:rsidR="0049252B" w:rsidRPr="00765DFA" w:rsidRDefault="0049252B" w:rsidP="005139F6">
            <w:pPr>
              <w:ind w:left="0"/>
              <w:rPr>
                <w:sz w:val="20"/>
                <w:szCs w:val="20"/>
              </w:rPr>
            </w:pPr>
            <w:r>
              <w:rPr>
                <w:sz w:val="20"/>
                <w:szCs w:val="20"/>
              </w:rPr>
              <w:t>Nie</w:t>
            </w:r>
          </w:p>
        </w:tc>
      </w:tr>
      <w:tr w:rsidR="0049252B" w:rsidRPr="00750A42" w:rsidTr="0095191D">
        <w:trPr>
          <w:trHeight w:val="70"/>
          <w:jc w:val="center"/>
        </w:trPr>
        <w:tc>
          <w:tcPr>
            <w:tcW w:w="4396" w:type="dxa"/>
            <w:shd w:val="clear" w:color="auto" w:fill="DBE5F1" w:themeFill="accent1" w:themeFillTint="33"/>
            <w:vAlign w:val="center"/>
          </w:tcPr>
          <w:p w:rsidR="0049252B" w:rsidRPr="00765DFA" w:rsidRDefault="0049252B" w:rsidP="005139F6">
            <w:pPr>
              <w:ind w:left="0"/>
              <w:rPr>
                <w:b/>
                <w:i/>
                <w:sz w:val="20"/>
                <w:szCs w:val="20"/>
              </w:rPr>
            </w:pPr>
            <w:r>
              <w:rPr>
                <w:b/>
                <w:i/>
                <w:sz w:val="20"/>
                <w:szCs w:val="20"/>
              </w:rPr>
              <w:t>Celá prioritná os bude realizovaná prostredníctvom komunitne vedeného miestneho rozvoja</w:t>
            </w:r>
          </w:p>
        </w:tc>
        <w:tc>
          <w:tcPr>
            <w:tcW w:w="3542" w:type="dxa"/>
            <w:vAlign w:val="center"/>
          </w:tcPr>
          <w:p w:rsidR="0049252B" w:rsidRPr="00750A42" w:rsidRDefault="0049252B" w:rsidP="005139F6">
            <w:pPr>
              <w:ind w:left="0"/>
              <w:rPr>
                <w:sz w:val="20"/>
                <w:szCs w:val="20"/>
              </w:rPr>
            </w:pPr>
            <w:r>
              <w:rPr>
                <w:sz w:val="20"/>
                <w:szCs w:val="20"/>
              </w:rPr>
              <w:t>Nie</w:t>
            </w:r>
          </w:p>
        </w:tc>
      </w:tr>
      <w:tr w:rsidR="0049252B" w:rsidRPr="00765DFA" w:rsidTr="0095191D">
        <w:trPr>
          <w:jc w:val="center"/>
        </w:trPr>
        <w:tc>
          <w:tcPr>
            <w:tcW w:w="4396" w:type="dxa"/>
            <w:shd w:val="clear" w:color="auto" w:fill="DBE5F1" w:themeFill="accent1" w:themeFillTint="33"/>
          </w:tcPr>
          <w:p w:rsidR="0049252B" w:rsidRPr="00765DFA" w:rsidRDefault="0049252B" w:rsidP="005139F6">
            <w:pPr>
              <w:ind w:left="0"/>
              <w:rPr>
                <w:b/>
                <w:i/>
                <w:sz w:val="20"/>
                <w:szCs w:val="20"/>
              </w:rPr>
            </w:pPr>
            <w:r>
              <w:rPr>
                <w:b/>
                <w:i/>
                <w:sz w:val="20"/>
                <w:szCs w:val="20"/>
              </w:rPr>
              <w:t>Pre ESF: Celá prioritná os je zameraná na sociálnu inováciu alebo nadnárodnú spoluprácu, alebo oboje</w:t>
            </w:r>
          </w:p>
        </w:tc>
        <w:tc>
          <w:tcPr>
            <w:tcW w:w="3542" w:type="dxa"/>
            <w:vAlign w:val="center"/>
          </w:tcPr>
          <w:p w:rsidR="0049252B" w:rsidRPr="00765DFA" w:rsidRDefault="0049252B" w:rsidP="005139F6">
            <w:pPr>
              <w:ind w:left="0"/>
              <w:rPr>
                <w:sz w:val="20"/>
                <w:szCs w:val="20"/>
              </w:rPr>
            </w:pPr>
            <w:r>
              <w:rPr>
                <w:sz w:val="20"/>
                <w:szCs w:val="20"/>
              </w:rPr>
              <w:t>N/A</w:t>
            </w:r>
          </w:p>
        </w:tc>
      </w:tr>
    </w:tbl>
    <w:p w:rsidR="00090A6F" w:rsidRDefault="00090A6F" w:rsidP="00090A6F">
      <w:pPr>
        <w:pStyle w:val="Nadpis3"/>
      </w:pPr>
      <w:bookmarkStart w:id="28" w:name="_Toc385310687"/>
      <w:r>
        <w:t>Fond, kategória regiónu a základ pre výpočet podpory Únie</w:t>
      </w:r>
      <w:bookmarkEnd w:id="28"/>
    </w:p>
    <w:tbl>
      <w:tblPr>
        <w:tblStyle w:val="Mriekatabuky"/>
        <w:tblW w:w="793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404"/>
        <w:gridCol w:w="3534"/>
      </w:tblGrid>
      <w:tr w:rsidR="00C87B04" w:rsidTr="0095191D">
        <w:trPr>
          <w:trHeight w:val="255"/>
          <w:jc w:val="center"/>
        </w:trPr>
        <w:tc>
          <w:tcPr>
            <w:tcW w:w="4404" w:type="dxa"/>
            <w:shd w:val="clear" w:color="auto" w:fill="DBE5F1" w:themeFill="accent1" w:themeFillTint="33"/>
            <w:vAlign w:val="center"/>
          </w:tcPr>
          <w:p w:rsidR="00C87B04" w:rsidRPr="00765DFA" w:rsidRDefault="00C87B04" w:rsidP="00765DFA">
            <w:pPr>
              <w:ind w:left="0"/>
              <w:rPr>
                <w:b/>
                <w:i/>
                <w:sz w:val="20"/>
                <w:szCs w:val="20"/>
              </w:rPr>
            </w:pPr>
            <w:r w:rsidRPr="00765DFA">
              <w:rPr>
                <w:b/>
                <w:i/>
                <w:sz w:val="20"/>
                <w:szCs w:val="20"/>
              </w:rPr>
              <w:t>Fond</w:t>
            </w:r>
          </w:p>
        </w:tc>
        <w:tc>
          <w:tcPr>
            <w:tcW w:w="3534" w:type="dxa"/>
            <w:vAlign w:val="center"/>
          </w:tcPr>
          <w:p w:rsidR="00C87B04" w:rsidRPr="00765DFA" w:rsidRDefault="00C87B04" w:rsidP="00765DFA">
            <w:pPr>
              <w:ind w:left="0"/>
              <w:rPr>
                <w:sz w:val="20"/>
                <w:szCs w:val="20"/>
              </w:rPr>
            </w:pPr>
            <w:r w:rsidRPr="00765DFA">
              <w:rPr>
                <w:sz w:val="20"/>
                <w:szCs w:val="20"/>
              </w:rPr>
              <w:t>Kohézny fond</w:t>
            </w:r>
          </w:p>
        </w:tc>
      </w:tr>
      <w:tr w:rsidR="00C87B04" w:rsidTr="0095191D">
        <w:trPr>
          <w:trHeight w:val="255"/>
          <w:jc w:val="center"/>
        </w:trPr>
        <w:tc>
          <w:tcPr>
            <w:tcW w:w="4404" w:type="dxa"/>
            <w:shd w:val="clear" w:color="auto" w:fill="DBE5F1" w:themeFill="accent1" w:themeFillTint="33"/>
            <w:vAlign w:val="center"/>
          </w:tcPr>
          <w:p w:rsidR="00C87B04" w:rsidRPr="00765DFA" w:rsidRDefault="00C87B04" w:rsidP="00765DFA">
            <w:pPr>
              <w:ind w:left="0"/>
              <w:rPr>
                <w:b/>
                <w:i/>
                <w:sz w:val="20"/>
                <w:szCs w:val="20"/>
              </w:rPr>
            </w:pPr>
            <w:r w:rsidRPr="00765DFA">
              <w:rPr>
                <w:b/>
                <w:i/>
                <w:sz w:val="20"/>
                <w:szCs w:val="20"/>
              </w:rPr>
              <w:t>Kategória regiónu</w:t>
            </w:r>
          </w:p>
        </w:tc>
        <w:tc>
          <w:tcPr>
            <w:tcW w:w="3534" w:type="dxa"/>
            <w:vAlign w:val="center"/>
          </w:tcPr>
          <w:p w:rsidR="00C87B04" w:rsidRPr="00765DFA" w:rsidRDefault="00C87B04" w:rsidP="00765DFA">
            <w:pPr>
              <w:ind w:left="0"/>
              <w:rPr>
                <w:sz w:val="20"/>
                <w:szCs w:val="20"/>
              </w:rPr>
            </w:pPr>
            <w:r w:rsidRPr="00765DFA">
              <w:rPr>
                <w:sz w:val="20"/>
                <w:szCs w:val="20"/>
              </w:rPr>
              <w:t>N/A</w:t>
            </w:r>
          </w:p>
        </w:tc>
      </w:tr>
      <w:tr w:rsidR="00C87B04" w:rsidTr="0095191D">
        <w:trPr>
          <w:trHeight w:val="255"/>
          <w:jc w:val="center"/>
        </w:trPr>
        <w:tc>
          <w:tcPr>
            <w:tcW w:w="4404" w:type="dxa"/>
            <w:shd w:val="clear" w:color="auto" w:fill="DBE5F1" w:themeFill="accent1" w:themeFillTint="33"/>
            <w:vAlign w:val="center"/>
          </w:tcPr>
          <w:p w:rsidR="00C87B04" w:rsidRPr="00765DFA" w:rsidRDefault="00C87B04" w:rsidP="00765DFA">
            <w:pPr>
              <w:ind w:left="0"/>
              <w:rPr>
                <w:b/>
                <w:i/>
                <w:sz w:val="20"/>
                <w:szCs w:val="20"/>
              </w:rPr>
            </w:pPr>
            <w:r w:rsidRPr="00765DFA">
              <w:rPr>
                <w:b/>
                <w:i/>
                <w:sz w:val="20"/>
                <w:szCs w:val="20"/>
              </w:rPr>
              <w:t>Základ pre výpočet (celkový príspevok)</w:t>
            </w:r>
          </w:p>
        </w:tc>
        <w:tc>
          <w:tcPr>
            <w:tcW w:w="3534" w:type="dxa"/>
            <w:vAlign w:val="center"/>
          </w:tcPr>
          <w:p w:rsidR="00C87B04" w:rsidRPr="00765DFA" w:rsidRDefault="00473F11" w:rsidP="00765DFA">
            <w:pPr>
              <w:ind w:left="0"/>
              <w:rPr>
                <w:sz w:val="20"/>
                <w:szCs w:val="20"/>
                <w:lang w:val="en-US"/>
              </w:rPr>
            </w:pPr>
            <w:r w:rsidRPr="00765DFA">
              <w:rPr>
                <w:sz w:val="20"/>
                <w:szCs w:val="20"/>
                <w:lang w:val="en-US"/>
              </w:rPr>
              <w:t>1 344 117</w:t>
            </w:r>
            <w:r w:rsidR="00AE12DF">
              <w:rPr>
                <w:sz w:val="20"/>
                <w:szCs w:val="20"/>
                <w:lang w:val="en-US"/>
              </w:rPr>
              <w:t> </w:t>
            </w:r>
            <w:r w:rsidRPr="00765DFA">
              <w:rPr>
                <w:sz w:val="20"/>
                <w:szCs w:val="20"/>
                <w:lang w:val="en-US"/>
              </w:rPr>
              <w:t>648</w:t>
            </w:r>
            <w:r w:rsidR="00AE12DF">
              <w:rPr>
                <w:sz w:val="20"/>
                <w:szCs w:val="20"/>
                <w:lang w:val="en-US"/>
              </w:rPr>
              <w:t xml:space="preserve"> EUR</w:t>
            </w:r>
          </w:p>
        </w:tc>
      </w:tr>
      <w:tr w:rsidR="00C87B04" w:rsidTr="0095191D">
        <w:trPr>
          <w:jc w:val="center"/>
        </w:trPr>
        <w:tc>
          <w:tcPr>
            <w:tcW w:w="4404" w:type="dxa"/>
            <w:shd w:val="clear" w:color="auto" w:fill="DBE5F1" w:themeFill="accent1" w:themeFillTint="33"/>
          </w:tcPr>
          <w:p w:rsidR="00C87B04" w:rsidRPr="00765DFA" w:rsidRDefault="00C87B04" w:rsidP="009553A0">
            <w:pPr>
              <w:ind w:left="0"/>
              <w:rPr>
                <w:b/>
                <w:i/>
                <w:sz w:val="20"/>
                <w:szCs w:val="20"/>
              </w:rPr>
            </w:pPr>
            <w:r w:rsidRPr="00765DFA">
              <w:rPr>
                <w:b/>
                <w:i/>
                <w:sz w:val="20"/>
                <w:szCs w:val="20"/>
              </w:rPr>
              <w:t>Kategória regiónu pre najvzdialenejšie a severné riedko osídlené regióny (ak je to vhodné)</w:t>
            </w:r>
          </w:p>
        </w:tc>
        <w:tc>
          <w:tcPr>
            <w:tcW w:w="3534" w:type="dxa"/>
          </w:tcPr>
          <w:p w:rsidR="00C87B04" w:rsidRPr="00765DFA" w:rsidRDefault="00C87B04" w:rsidP="009553A0">
            <w:pPr>
              <w:ind w:left="0"/>
              <w:rPr>
                <w:sz w:val="20"/>
                <w:szCs w:val="20"/>
              </w:rPr>
            </w:pPr>
            <w:r w:rsidRPr="00765DFA">
              <w:rPr>
                <w:sz w:val="20"/>
                <w:szCs w:val="20"/>
              </w:rPr>
              <w:t>N/A</w:t>
            </w:r>
          </w:p>
        </w:tc>
      </w:tr>
    </w:tbl>
    <w:p w:rsidR="009A627A" w:rsidRDefault="0049252B" w:rsidP="009A627A">
      <w:pPr>
        <w:pStyle w:val="Nadpis3"/>
        <w:jc w:val="both"/>
      </w:pPr>
      <w:bookmarkStart w:id="29" w:name="_Toc385310688"/>
      <w:r>
        <w:t>INVESTIČNÁ PRIORITA 7a)</w:t>
      </w:r>
      <w:r w:rsidR="009A627A">
        <w:t xml:space="preserve">: </w:t>
      </w:r>
      <w:r w:rsidR="009A627A" w:rsidRPr="00D25728">
        <w:t>Podpora multimodálneho jednotného európskeho dopravného priestoru pomocou investícií do TEN-T</w:t>
      </w:r>
      <w:bookmarkEnd w:id="29"/>
    </w:p>
    <w:p w:rsidR="00890CCE" w:rsidRDefault="00890CCE" w:rsidP="00740654">
      <w:pPr>
        <w:pStyle w:val="tl3"/>
      </w:pPr>
      <w:r>
        <w:t>Špecifické ciele investičnej priority a očakávané výsledky</w:t>
      </w:r>
    </w:p>
    <w:p w:rsidR="00090A6F" w:rsidRPr="006B762B" w:rsidRDefault="00890CCE" w:rsidP="002E1021">
      <w:pPr>
        <w:shd w:val="clear" w:color="auto" w:fill="FFFFCC"/>
        <w:jc w:val="both"/>
        <w:rPr>
          <w:b/>
          <w:i/>
        </w:rPr>
      </w:pPr>
      <w:r w:rsidRPr="004F0234">
        <w:rPr>
          <w:i/>
        </w:rPr>
        <w:t xml:space="preserve">ŠPECIFICKÝ CIEĽ </w:t>
      </w:r>
      <w:r w:rsidR="00E87153">
        <w:rPr>
          <w:i/>
        </w:rPr>
        <w:t>2.</w:t>
      </w:r>
      <w:r>
        <w:rPr>
          <w:i/>
        </w:rPr>
        <w:t>1</w:t>
      </w:r>
      <w:r w:rsidRPr="004F0234">
        <w:rPr>
          <w:i/>
        </w:rPr>
        <w:t>:</w:t>
      </w:r>
      <w:r w:rsidR="009D2BD5">
        <w:rPr>
          <w:i/>
        </w:rPr>
        <w:t xml:space="preserve"> </w:t>
      </w:r>
      <w:r w:rsidR="00724E8C">
        <w:rPr>
          <w:b/>
          <w:i/>
        </w:rPr>
        <w:t>Odstránenie kľúčových úzkych miest na cestnej infraštruktúre TEN-T prostredníctvom výstavby nových úsekov diaľnic a rýchlostných ciest</w:t>
      </w:r>
    </w:p>
    <w:p w:rsidR="0055664C" w:rsidRPr="009B0762" w:rsidRDefault="0055664C" w:rsidP="0055664C">
      <w:pPr>
        <w:spacing w:before="180"/>
        <w:jc w:val="both"/>
        <w:rPr>
          <w:sz w:val="22"/>
          <w:szCs w:val="22"/>
        </w:rPr>
      </w:pPr>
      <w:r w:rsidRPr="009B0762">
        <w:rPr>
          <w:sz w:val="22"/>
          <w:szCs w:val="22"/>
        </w:rPr>
        <w:t>Cestná doprava zabezpečuje najvyšší podiel realizácie prepravných výkonov nákladnej a</w:t>
      </w:r>
      <w:r>
        <w:rPr>
          <w:sz w:val="22"/>
          <w:szCs w:val="22"/>
        </w:rPr>
        <w:t> </w:t>
      </w:r>
      <w:r w:rsidRPr="009B0762">
        <w:rPr>
          <w:sz w:val="22"/>
          <w:szCs w:val="22"/>
        </w:rPr>
        <w:t xml:space="preserve">osobnej prepravy na Slovensku. </w:t>
      </w:r>
      <w:r>
        <w:rPr>
          <w:sz w:val="22"/>
          <w:szCs w:val="22"/>
        </w:rPr>
        <w:t xml:space="preserve">K 01.01.2013 predstavoval </w:t>
      </w:r>
      <w:r w:rsidRPr="00515ED4">
        <w:rPr>
          <w:sz w:val="22"/>
          <w:szCs w:val="22"/>
        </w:rPr>
        <w:t>tento podiel v</w:t>
      </w:r>
      <w:r>
        <w:rPr>
          <w:sz w:val="22"/>
          <w:szCs w:val="22"/>
        </w:rPr>
        <w:t> </w:t>
      </w:r>
      <w:r w:rsidRPr="00515ED4">
        <w:rPr>
          <w:sz w:val="22"/>
          <w:szCs w:val="22"/>
        </w:rPr>
        <w:t xml:space="preserve">rámci nákladnej dopravy až </w:t>
      </w:r>
      <w:r w:rsidR="007B4B46" w:rsidRPr="00515ED4">
        <w:rPr>
          <w:sz w:val="22"/>
          <w:szCs w:val="22"/>
        </w:rPr>
        <w:t>7</w:t>
      </w:r>
      <w:r w:rsidR="007B4B46">
        <w:rPr>
          <w:sz w:val="22"/>
          <w:szCs w:val="22"/>
        </w:rPr>
        <w:t>7</w:t>
      </w:r>
      <w:r w:rsidR="007B4B46" w:rsidRPr="00515ED4">
        <w:rPr>
          <w:sz w:val="22"/>
          <w:szCs w:val="22"/>
        </w:rPr>
        <w:t xml:space="preserve"> </w:t>
      </w:r>
      <w:r w:rsidRPr="00515ED4">
        <w:rPr>
          <w:sz w:val="22"/>
          <w:szCs w:val="22"/>
        </w:rPr>
        <w:t>% celkových prepravných výkonov</w:t>
      </w:r>
      <w:r w:rsidR="007B4B46">
        <w:rPr>
          <w:rStyle w:val="Odkaznapoznmkupodiarou"/>
          <w:sz w:val="22"/>
          <w:szCs w:val="22"/>
        </w:rPr>
        <w:footnoteReference w:id="12"/>
      </w:r>
      <w:r w:rsidRPr="00515ED4">
        <w:rPr>
          <w:sz w:val="22"/>
          <w:szCs w:val="22"/>
        </w:rPr>
        <w:t>.</w:t>
      </w:r>
      <w:r>
        <w:rPr>
          <w:sz w:val="22"/>
          <w:szCs w:val="22"/>
        </w:rPr>
        <w:t xml:space="preserve"> </w:t>
      </w:r>
      <w:r w:rsidRPr="009B0762">
        <w:rPr>
          <w:sz w:val="22"/>
          <w:szCs w:val="22"/>
        </w:rPr>
        <w:t>Je to najvýznamnejší prepravný mód z</w:t>
      </w:r>
      <w:r>
        <w:rPr>
          <w:sz w:val="22"/>
          <w:szCs w:val="22"/>
        </w:rPr>
        <w:t> </w:t>
      </w:r>
      <w:r w:rsidRPr="009B0762">
        <w:rPr>
          <w:sz w:val="22"/>
          <w:szCs w:val="22"/>
        </w:rPr>
        <w:t>pohľadu zabezpečovania mobility obyvateľstva,</w:t>
      </w:r>
      <w:r>
        <w:rPr>
          <w:sz w:val="22"/>
          <w:szCs w:val="22"/>
        </w:rPr>
        <w:t xml:space="preserve"> prepravy tovaru,</w:t>
      </w:r>
      <w:r w:rsidRPr="009B0762">
        <w:rPr>
          <w:sz w:val="22"/>
          <w:szCs w:val="22"/>
        </w:rPr>
        <w:t xml:space="preserve"> zabezpečenia medzinárodného obchodu SR s</w:t>
      </w:r>
      <w:r>
        <w:rPr>
          <w:sz w:val="22"/>
          <w:szCs w:val="22"/>
        </w:rPr>
        <w:t> </w:t>
      </w:r>
      <w:r w:rsidRPr="009B0762">
        <w:rPr>
          <w:sz w:val="22"/>
          <w:szCs w:val="22"/>
        </w:rPr>
        <w:t xml:space="preserve">okolitými štátmi </w:t>
      </w:r>
      <w:r>
        <w:rPr>
          <w:sz w:val="22"/>
          <w:szCs w:val="22"/>
        </w:rPr>
        <w:t>EÚ a potenciál</w:t>
      </w:r>
      <w:r w:rsidR="00814C84">
        <w:rPr>
          <w:sz w:val="22"/>
          <w:szCs w:val="22"/>
        </w:rPr>
        <w:t>u zlepšenia</w:t>
      </w:r>
      <w:r>
        <w:rPr>
          <w:sz w:val="22"/>
          <w:szCs w:val="22"/>
        </w:rPr>
        <w:t xml:space="preserve"> e</w:t>
      </w:r>
      <w:r w:rsidRPr="009B0762">
        <w:rPr>
          <w:sz w:val="22"/>
          <w:szCs w:val="22"/>
        </w:rPr>
        <w:t xml:space="preserve">konomickej </w:t>
      </w:r>
      <w:r>
        <w:rPr>
          <w:sz w:val="22"/>
          <w:szCs w:val="22"/>
        </w:rPr>
        <w:t>kondície Slovenska</w:t>
      </w:r>
      <w:r w:rsidRPr="009B0762">
        <w:rPr>
          <w:sz w:val="22"/>
          <w:szCs w:val="22"/>
        </w:rPr>
        <w:t>.</w:t>
      </w:r>
      <w:r>
        <w:rPr>
          <w:sz w:val="22"/>
          <w:szCs w:val="22"/>
        </w:rPr>
        <w:t xml:space="preserve"> Zo strednodobého hľadiska je c</w:t>
      </w:r>
      <w:r w:rsidRPr="009B0762">
        <w:rPr>
          <w:sz w:val="22"/>
          <w:szCs w:val="22"/>
        </w:rPr>
        <w:t xml:space="preserve">ieľom </w:t>
      </w:r>
      <w:r>
        <w:rPr>
          <w:sz w:val="22"/>
          <w:szCs w:val="22"/>
        </w:rPr>
        <w:t xml:space="preserve">SR </w:t>
      </w:r>
      <w:r w:rsidRPr="009B0762">
        <w:rPr>
          <w:sz w:val="22"/>
          <w:szCs w:val="22"/>
        </w:rPr>
        <w:t>stabilizácia výkonov tohto módu prepravy a</w:t>
      </w:r>
      <w:r>
        <w:rPr>
          <w:sz w:val="22"/>
          <w:szCs w:val="22"/>
        </w:rPr>
        <w:t> </w:t>
      </w:r>
      <w:r w:rsidRPr="009B0762">
        <w:rPr>
          <w:sz w:val="22"/>
          <w:szCs w:val="22"/>
        </w:rPr>
        <w:t xml:space="preserve">zamedzenie jeho nárastu </w:t>
      </w:r>
      <w:r>
        <w:rPr>
          <w:sz w:val="22"/>
          <w:szCs w:val="22"/>
        </w:rPr>
        <w:t xml:space="preserve">predovšetkým </w:t>
      </w:r>
      <w:r w:rsidRPr="009B0762">
        <w:rPr>
          <w:sz w:val="22"/>
          <w:szCs w:val="22"/>
        </w:rPr>
        <w:t>na úkor ostatných environmentálne prijateľnejších prepravných módov.</w:t>
      </w:r>
    </w:p>
    <w:p w:rsidR="0055664C" w:rsidRDefault="0055664C" w:rsidP="0055664C">
      <w:pPr>
        <w:spacing w:before="180"/>
        <w:jc w:val="both"/>
        <w:rPr>
          <w:sz w:val="22"/>
          <w:szCs w:val="22"/>
        </w:rPr>
      </w:pPr>
      <w:r>
        <w:rPr>
          <w:sz w:val="22"/>
          <w:szCs w:val="22"/>
        </w:rPr>
        <w:t xml:space="preserve">V Strategickom pláne rozvoja </w:t>
      </w:r>
      <w:r w:rsidRPr="009B0762">
        <w:rPr>
          <w:sz w:val="22"/>
          <w:szCs w:val="22"/>
        </w:rPr>
        <w:t xml:space="preserve">dopravnej infraštruktúry SR do roku 2020 </w:t>
      </w:r>
      <w:r>
        <w:rPr>
          <w:sz w:val="22"/>
          <w:szCs w:val="22"/>
        </w:rPr>
        <w:t>bola pre oblasť rozvoja cestnej infraštruktúry určená vízia „</w:t>
      </w:r>
      <w:r w:rsidRPr="003B202F">
        <w:rPr>
          <w:i/>
          <w:sz w:val="22"/>
          <w:szCs w:val="22"/>
        </w:rPr>
        <w:t>modernej, kvalitnej, bezpečnej a efektívne fungujúcej dopravnej infraštruktúry</w:t>
      </w:r>
      <w:r>
        <w:rPr>
          <w:sz w:val="22"/>
          <w:szCs w:val="22"/>
        </w:rPr>
        <w:t>“</w:t>
      </w:r>
      <w:r w:rsidRPr="009B0762">
        <w:rPr>
          <w:sz w:val="22"/>
          <w:szCs w:val="22"/>
        </w:rPr>
        <w:t>, a</w:t>
      </w:r>
      <w:r>
        <w:rPr>
          <w:sz w:val="22"/>
          <w:szCs w:val="22"/>
        </w:rPr>
        <w:t> </w:t>
      </w:r>
      <w:r w:rsidRPr="009B0762">
        <w:rPr>
          <w:sz w:val="22"/>
          <w:szCs w:val="22"/>
        </w:rPr>
        <w:t>to najmä v</w:t>
      </w:r>
      <w:r>
        <w:rPr>
          <w:sz w:val="22"/>
          <w:szCs w:val="22"/>
        </w:rPr>
        <w:t> </w:t>
      </w:r>
      <w:r w:rsidRPr="009B0762">
        <w:rPr>
          <w:sz w:val="22"/>
          <w:szCs w:val="22"/>
        </w:rPr>
        <w:t>koridoroch transeurópskej dopravnej siete (TEN-T).</w:t>
      </w:r>
      <w:r w:rsidRPr="006229E8">
        <w:rPr>
          <w:sz w:val="22"/>
          <w:szCs w:val="22"/>
        </w:rPr>
        <w:t xml:space="preserve"> </w:t>
      </w:r>
      <w:r w:rsidR="007008C5">
        <w:rPr>
          <w:sz w:val="22"/>
          <w:szCs w:val="22"/>
        </w:rPr>
        <w:t xml:space="preserve">Aktivity plánované v prioritnej osi </w:t>
      </w:r>
      <w:r>
        <w:rPr>
          <w:sz w:val="22"/>
          <w:szCs w:val="22"/>
        </w:rPr>
        <w:t>významným spôsobom prispieva</w:t>
      </w:r>
      <w:r w:rsidR="007008C5">
        <w:rPr>
          <w:sz w:val="22"/>
          <w:szCs w:val="22"/>
        </w:rPr>
        <w:t>jú</w:t>
      </w:r>
      <w:r>
        <w:rPr>
          <w:sz w:val="22"/>
          <w:szCs w:val="22"/>
        </w:rPr>
        <w:t xml:space="preserve"> k naplneniu tejto vízie.</w:t>
      </w:r>
    </w:p>
    <w:p w:rsidR="003676B4" w:rsidRDefault="003676B4" w:rsidP="003676B4">
      <w:pPr>
        <w:spacing w:before="180"/>
        <w:jc w:val="both"/>
        <w:rPr>
          <w:sz w:val="22"/>
          <w:szCs w:val="22"/>
        </w:rPr>
      </w:pPr>
      <w:r>
        <w:rPr>
          <w:sz w:val="22"/>
          <w:szCs w:val="22"/>
        </w:rPr>
        <w:t>Obsahové zameranie projektov prioritnej osi bude smerovať k naplneniu špecifického cieľa, ktorým je </w:t>
      </w:r>
      <w:r w:rsidRPr="002F7377">
        <w:rPr>
          <w:b/>
          <w:sz w:val="22"/>
          <w:szCs w:val="22"/>
        </w:rPr>
        <w:t>odstránenie</w:t>
      </w:r>
      <w:r>
        <w:rPr>
          <w:sz w:val="22"/>
          <w:szCs w:val="22"/>
        </w:rPr>
        <w:t xml:space="preserve"> </w:t>
      </w:r>
      <w:r w:rsidRPr="00DF113F">
        <w:rPr>
          <w:b/>
          <w:sz w:val="22"/>
          <w:szCs w:val="22"/>
        </w:rPr>
        <w:t>kľúčových úzkych miest na cestnej infraštruktúre TEN-T</w:t>
      </w:r>
      <w:r>
        <w:rPr>
          <w:b/>
          <w:sz w:val="22"/>
          <w:szCs w:val="22"/>
        </w:rPr>
        <w:t xml:space="preserve">, </w:t>
      </w:r>
      <w:r>
        <w:rPr>
          <w:sz w:val="22"/>
          <w:szCs w:val="22"/>
        </w:rPr>
        <w:t>s dôrazom na </w:t>
      </w:r>
      <w:r w:rsidRPr="00F5277C">
        <w:rPr>
          <w:sz w:val="22"/>
          <w:szCs w:val="22"/>
        </w:rPr>
        <w:t>udržateľn</w:t>
      </w:r>
      <w:r>
        <w:rPr>
          <w:sz w:val="22"/>
          <w:szCs w:val="22"/>
        </w:rPr>
        <w:t xml:space="preserve">osť, nákladovú efektívnosť, zvyšovanie bezpečnosti cestnej premávky a znižovanie socioekonomických a environmentálnych vplyvov cestnej dopravy. </w:t>
      </w:r>
      <w:r w:rsidRPr="009B0762">
        <w:rPr>
          <w:sz w:val="22"/>
          <w:szCs w:val="22"/>
        </w:rPr>
        <w:t>Budovanie kvalitnej cestnej infraštruktúry v</w:t>
      </w:r>
      <w:r>
        <w:rPr>
          <w:sz w:val="22"/>
          <w:szCs w:val="22"/>
        </w:rPr>
        <w:t xml:space="preserve"> </w:t>
      </w:r>
      <w:r w:rsidRPr="009B0762">
        <w:rPr>
          <w:sz w:val="22"/>
          <w:szCs w:val="22"/>
        </w:rPr>
        <w:t>trasách TEN-T má pre národné hospodárstvo</w:t>
      </w:r>
      <w:r>
        <w:rPr>
          <w:sz w:val="22"/>
          <w:szCs w:val="22"/>
        </w:rPr>
        <w:t xml:space="preserve"> a </w:t>
      </w:r>
      <w:r w:rsidRPr="00425455">
        <w:rPr>
          <w:sz w:val="22"/>
          <w:szCs w:val="22"/>
        </w:rPr>
        <w:t>rozvoj konkurencieschopnosti krajiny a</w:t>
      </w:r>
      <w:r>
        <w:rPr>
          <w:sz w:val="22"/>
          <w:szCs w:val="22"/>
        </w:rPr>
        <w:t> </w:t>
      </w:r>
      <w:r w:rsidRPr="00425455">
        <w:rPr>
          <w:sz w:val="22"/>
          <w:szCs w:val="22"/>
        </w:rPr>
        <w:t>regiónov</w:t>
      </w:r>
      <w:r w:rsidRPr="009B0762">
        <w:rPr>
          <w:sz w:val="22"/>
          <w:szCs w:val="22"/>
        </w:rPr>
        <w:t xml:space="preserve"> strategický význam nielen z</w:t>
      </w:r>
      <w:r>
        <w:rPr>
          <w:sz w:val="22"/>
          <w:szCs w:val="22"/>
        </w:rPr>
        <w:t> </w:t>
      </w:r>
      <w:r w:rsidRPr="009B0762">
        <w:rPr>
          <w:sz w:val="22"/>
          <w:szCs w:val="22"/>
        </w:rPr>
        <w:t>hľadiska udržania previazanosti a</w:t>
      </w:r>
      <w:r>
        <w:rPr>
          <w:sz w:val="22"/>
          <w:szCs w:val="22"/>
        </w:rPr>
        <w:t> </w:t>
      </w:r>
      <w:r w:rsidRPr="009B0762">
        <w:rPr>
          <w:sz w:val="22"/>
          <w:szCs w:val="22"/>
        </w:rPr>
        <w:t>dostupnosti Slovenska s</w:t>
      </w:r>
      <w:r>
        <w:rPr>
          <w:sz w:val="22"/>
          <w:szCs w:val="22"/>
        </w:rPr>
        <w:t> </w:t>
      </w:r>
      <w:r w:rsidRPr="009B0762">
        <w:rPr>
          <w:sz w:val="22"/>
          <w:szCs w:val="22"/>
        </w:rPr>
        <w:t>krajinami členských štátov EÚ, ale aj z</w:t>
      </w:r>
      <w:r>
        <w:rPr>
          <w:sz w:val="22"/>
          <w:szCs w:val="22"/>
        </w:rPr>
        <w:t> </w:t>
      </w:r>
      <w:r w:rsidRPr="009B0762">
        <w:rPr>
          <w:sz w:val="22"/>
          <w:szCs w:val="22"/>
        </w:rPr>
        <w:t xml:space="preserve">hľadiska </w:t>
      </w:r>
      <w:r>
        <w:rPr>
          <w:sz w:val="22"/>
          <w:szCs w:val="22"/>
        </w:rPr>
        <w:t xml:space="preserve">jeho </w:t>
      </w:r>
      <w:r w:rsidRPr="009B0762">
        <w:rPr>
          <w:sz w:val="22"/>
          <w:szCs w:val="22"/>
        </w:rPr>
        <w:t>ďalšieho rozvoja.</w:t>
      </w:r>
      <w:r>
        <w:rPr>
          <w:sz w:val="22"/>
          <w:szCs w:val="22"/>
        </w:rPr>
        <w:t xml:space="preserve"> M</w:t>
      </w:r>
      <w:r w:rsidRPr="008A49C4">
        <w:rPr>
          <w:sz w:val="22"/>
          <w:szCs w:val="22"/>
        </w:rPr>
        <w:t xml:space="preserve">oderná </w:t>
      </w:r>
      <w:r>
        <w:rPr>
          <w:sz w:val="22"/>
          <w:szCs w:val="22"/>
        </w:rPr>
        <w:t xml:space="preserve">cestná </w:t>
      </w:r>
      <w:r w:rsidRPr="008A49C4">
        <w:rPr>
          <w:sz w:val="22"/>
          <w:szCs w:val="22"/>
        </w:rPr>
        <w:t xml:space="preserve">infraštruktúra </w:t>
      </w:r>
      <w:r>
        <w:rPr>
          <w:sz w:val="22"/>
          <w:szCs w:val="22"/>
        </w:rPr>
        <w:t>v trasách TEN-T má pre národné hospodárstvo strategický význam. Z</w:t>
      </w:r>
      <w:r w:rsidRPr="008A49C4">
        <w:rPr>
          <w:sz w:val="22"/>
          <w:szCs w:val="22"/>
        </w:rPr>
        <w:t xml:space="preserve">lepšuje </w:t>
      </w:r>
      <w:r>
        <w:rPr>
          <w:sz w:val="22"/>
          <w:szCs w:val="22"/>
        </w:rPr>
        <w:t xml:space="preserve">medzinárodnú </w:t>
      </w:r>
      <w:r w:rsidRPr="008A49C4">
        <w:rPr>
          <w:sz w:val="22"/>
          <w:szCs w:val="22"/>
        </w:rPr>
        <w:t>dostupnosť</w:t>
      </w:r>
      <w:r>
        <w:rPr>
          <w:sz w:val="22"/>
          <w:szCs w:val="22"/>
        </w:rPr>
        <w:t>, dostupnosť a</w:t>
      </w:r>
      <w:r w:rsidRPr="008A49C4">
        <w:rPr>
          <w:sz w:val="22"/>
          <w:szCs w:val="22"/>
        </w:rPr>
        <w:t xml:space="preserve"> </w:t>
      </w:r>
      <w:r>
        <w:rPr>
          <w:sz w:val="22"/>
          <w:szCs w:val="22"/>
        </w:rPr>
        <w:t>prepojenosť regiónov,</w:t>
      </w:r>
      <w:r w:rsidRPr="008A49C4">
        <w:rPr>
          <w:sz w:val="22"/>
          <w:szCs w:val="22"/>
        </w:rPr>
        <w:t xml:space="preserve"> zvyšuje ich atraktívnosť pre investorov a tým </w:t>
      </w:r>
      <w:r w:rsidR="00814C84">
        <w:rPr>
          <w:sz w:val="22"/>
          <w:szCs w:val="22"/>
        </w:rPr>
        <w:t>vytvára predpoklady</w:t>
      </w:r>
      <w:r w:rsidRPr="008A49C4">
        <w:rPr>
          <w:sz w:val="22"/>
          <w:szCs w:val="22"/>
        </w:rPr>
        <w:t xml:space="preserve"> pre vyššiu konkurencieschopnosť, podnikateľský rozvoj</w:t>
      </w:r>
      <w:r>
        <w:rPr>
          <w:sz w:val="22"/>
          <w:szCs w:val="22"/>
        </w:rPr>
        <w:t xml:space="preserve">, </w:t>
      </w:r>
      <w:r w:rsidRPr="008A49C4">
        <w:rPr>
          <w:sz w:val="22"/>
          <w:szCs w:val="22"/>
        </w:rPr>
        <w:t>hospodársky ras</w:t>
      </w:r>
      <w:r>
        <w:rPr>
          <w:sz w:val="22"/>
          <w:szCs w:val="22"/>
        </w:rPr>
        <w:t>t a </w:t>
      </w:r>
      <w:r w:rsidR="00814C84">
        <w:rPr>
          <w:sz w:val="22"/>
          <w:szCs w:val="22"/>
        </w:rPr>
        <w:t>tvorbu</w:t>
      </w:r>
      <w:r w:rsidRPr="008A49C4">
        <w:rPr>
          <w:sz w:val="22"/>
          <w:szCs w:val="22"/>
        </w:rPr>
        <w:t xml:space="preserve"> nových pracovných miest</w:t>
      </w:r>
      <w:r w:rsidR="00C3107B">
        <w:rPr>
          <w:sz w:val="22"/>
          <w:szCs w:val="22"/>
        </w:rPr>
        <w:t>.</w:t>
      </w:r>
    </w:p>
    <w:p w:rsidR="0055664C" w:rsidRDefault="0055664C" w:rsidP="0055664C">
      <w:pPr>
        <w:spacing w:before="180"/>
        <w:jc w:val="both"/>
        <w:rPr>
          <w:sz w:val="22"/>
          <w:szCs w:val="22"/>
        </w:rPr>
      </w:pPr>
      <w:r w:rsidRPr="002F7377">
        <w:rPr>
          <w:sz w:val="22"/>
          <w:szCs w:val="22"/>
        </w:rPr>
        <w:lastRenderedPageBreak/>
        <w:t xml:space="preserve">Zdroje prioritnej osi budú preto smerovať na </w:t>
      </w:r>
      <w:r w:rsidRPr="008C6480">
        <w:rPr>
          <w:b/>
          <w:sz w:val="22"/>
          <w:szCs w:val="22"/>
        </w:rPr>
        <w:t>výstavbu nových úsekov diaľnic a rýchlostných ciest</w:t>
      </w:r>
      <w:r w:rsidRPr="002F7377">
        <w:rPr>
          <w:sz w:val="22"/>
          <w:szCs w:val="22"/>
        </w:rPr>
        <w:t xml:space="preserve"> v trasách, kde existujúca </w:t>
      </w:r>
      <w:r>
        <w:rPr>
          <w:sz w:val="22"/>
          <w:szCs w:val="22"/>
        </w:rPr>
        <w:t xml:space="preserve">cesta I. triedy svojimi parametrami už nespĺňa požiadavky v oblasti kapacity </w:t>
      </w:r>
      <w:r w:rsidR="00034834">
        <w:rPr>
          <w:sz w:val="22"/>
          <w:szCs w:val="22"/>
        </w:rPr>
        <w:t>(prostredníctvom ciest I. triedy realizovaných takmer 44 % dopravných výkonov) a</w:t>
      </w:r>
      <w:r w:rsidR="00034834" w:rsidRPr="002E16EB">
        <w:rPr>
          <w:sz w:val="22"/>
          <w:szCs w:val="22"/>
        </w:rPr>
        <w:t xml:space="preserve"> v dôsledku dlhodobého preťaženia už ani</w:t>
      </w:r>
      <w:r w:rsidR="00034834">
        <w:rPr>
          <w:sz w:val="22"/>
          <w:szCs w:val="22"/>
        </w:rPr>
        <w:t xml:space="preserve"> v oblasti</w:t>
      </w:r>
      <w:r w:rsidR="00034834" w:rsidRPr="002E16EB">
        <w:rPr>
          <w:sz w:val="22"/>
          <w:szCs w:val="22"/>
        </w:rPr>
        <w:t xml:space="preserve"> kvalit</w:t>
      </w:r>
      <w:r w:rsidR="00034834">
        <w:rPr>
          <w:sz w:val="22"/>
          <w:szCs w:val="22"/>
        </w:rPr>
        <w:t xml:space="preserve">y infraštruktúry. </w:t>
      </w:r>
      <w:r w:rsidR="00034834" w:rsidRPr="002E16EB">
        <w:rPr>
          <w:sz w:val="22"/>
          <w:szCs w:val="22"/>
        </w:rPr>
        <w:t>Mnohé z ciest I. triedy sú pritom tras</w:t>
      </w:r>
      <w:r w:rsidR="00034834">
        <w:rPr>
          <w:sz w:val="22"/>
          <w:szCs w:val="22"/>
        </w:rPr>
        <w:t>ované intravilánom miest a obcí, pričom intenzita dopravy na týchto úsekoch negatívne ovplyvňuje kvalitu života miestneho obyvateľstva. Vybudovaním nových úsekov diaľnic a rýchlostných dôjde k odkloneniu významnej časti výkonov tranzitnej cestnej dopravy z intravilánov miest a obcí. To prispeje k výraznému zlepšeniu životných podmienok v dotknutých oblastiach, predovšetkým zníženiu hlukového zaťaženia obyvateľstva, emisií, vibrácií a prašnosti spôsobených súčasnou intenzitou cestnej dopravy.</w:t>
      </w:r>
    </w:p>
    <w:p w:rsidR="009D2BD5" w:rsidRDefault="009D2BD5" w:rsidP="009D2BD5">
      <w:pPr>
        <w:autoSpaceDE w:val="0"/>
        <w:autoSpaceDN w:val="0"/>
        <w:adjustRightInd w:val="0"/>
        <w:spacing w:before="180"/>
        <w:jc w:val="both"/>
        <w:rPr>
          <w:sz w:val="22"/>
          <w:szCs w:val="22"/>
        </w:rPr>
      </w:pPr>
      <w:r w:rsidRPr="00085B3F">
        <w:rPr>
          <w:sz w:val="22"/>
          <w:szCs w:val="22"/>
        </w:rPr>
        <w:t xml:space="preserve">Cieľom diaľnic a rýchlostných ciest je zabezpečiť dopravné spojenia medzi dôležitými centrami medzinárodného, štátneho alebo regionálneho významu. Svojimi kvalitatívnymi parametrami dokážu rýchlo, plynulo a bezpečne previesť veľké dopravné prúdy, preto by malo byť v záujme SR rozvíjať tieto kategórie cestnej siete. </w:t>
      </w:r>
      <w:r w:rsidRPr="00DF113F">
        <w:rPr>
          <w:b/>
          <w:sz w:val="22"/>
          <w:szCs w:val="22"/>
        </w:rPr>
        <w:t xml:space="preserve">Prioritným záujmom SR je predovšetkým výstavba tých úsekov diaľnic a rýchlostných ciest, absencia ktorých sa negatívne premieta v oblastiach hospodárstva, životného prostredia a ktoré tvoria prekážku v mobilite obyvateľstva, znižujú atraktivitu územia z pohľadu turizmu a prílevu investícií alebo </w:t>
      </w:r>
      <w:r w:rsidR="0053144C">
        <w:rPr>
          <w:b/>
          <w:sz w:val="22"/>
          <w:szCs w:val="22"/>
        </w:rPr>
        <w:t xml:space="preserve">významným spôsobom </w:t>
      </w:r>
      <w:r w:rsidRPr="00DF113F">
        <w:rPr>
          <w:b/>
          <w:sz w:val="22"/>
          <w:szCs w:val="22"/>
        </w:rPr>
        <w:t>napomôžu zvýšiť bezpečnosť premávky</w:t>
      </w:r>
      <w:r w:rsidRPr="00085B3F">
        <w:rPr>
          <w:sz w:val="22"/>
          <w:szCs w:val="22"/>
        </w:rPr>
        <w:t>.</w:t>
      </w:r>
    </w:p>
    <w:p w:rsidR="003676B4" w:rsidRDefault="003676B4" w:rsidP="003676B4">
      <w:pPr>
        <w:autoSpaceDE w:val="0"/>
        <w:autoSpaceDN w:val="0"/>
        <w:adjustRightInd w:val="0"/>
        <w:spacing w:before="180"/>
        <w:jc w:val="both"/>
        <w:rPr>
          <w:sz w:val="22"/>
          <w:szCs w:val="22"/>
        </w:rPr>
      </w:pPr>
      <w:r w:rsidRPr="00EB04F9">
        <w:rPr>
          <w:sz w:val="22"/>
          <w:szCs w:val="22"/>
        </w:rPr>
        <w:t xml:space="preserve">S ohľadom na </w:t>
      </w:r>
      <w:r>
        <w:rPr>
          <w:sz w:val="22"/>
          <w:szCs w:val="22"/>
        </w:rPr>
        <w:t>význam cestnej dopravy na Slovensku, aktuálne nedostatočný</w:t>
      </w:r>
      <w:r w:rsidRPr="00EB04F9">
        <w:rPr>
          <w:sz w:val="22"/>
          <w:szCs w:val="22"/>
        </w:rPr>
        <w:t xml:space="preserve"> stav nadradenej cestnej siete (</w:t>
      </w:r>
      <w:r>
        <w:rPr>
          <w:sz w:val="22"/>
          <w:szCs w:val="22"/>
        </w:rPr>
        <w:t xml:space="preserve">hustota diaľničnej siete výrazne pod priemerom EÚ 28; </w:t>
      </w:r>
      <w:r w:rsidRPr="00EB04F9">
        <w:rPr>
          <w:sz w:val="22"/>
          <w:szCs w:val="22"/>
        </w:rPr>
        <w:t>k 01.</w:t>
      </w:r>
      <w:r>
        <w:rPr>
          <w:sz w:val="22"/>
          <w:szCs w:val="22"/>
        </w:rPr>
        <w:t>01.2013 z plánovaného rozsahu v </w:t>
      </w:r>
      <w:r w:rsidRPr="00EB04F9">
        <w:rPr>
          <w:sz w:val="22"/>
          <w:szCs w:val="22"/>
        </w:rPr>
        <w:t>prevádzke necelých 62 % diaľnic, v prípade</w:t>
      </w:r>
      <w:r>
        <w:rPr>
          <w:sz w:val="22"/>
          <w:szCs w:val="22"/>
        </w:rPr>
        <w:t xml:space="preserve"> rýchlostných ciest len 19,6 %) a pozitívne vplyvy vyvolané investíciami v tejto oblasti (zvyšovanie dostupnosti regiónov, prílev investícií, </w:t>
      </w:r>
      <w:r w:rsidRPr="00EB04F9">
        <w:rPr>
          <w:sz w:val="22"/>
          <w:szCs w:val="22"/>
        </w:rPr>
        <w:t>úsporu času</w:t>
      </w:r>
      <w:r>
        <w:rPr>
          <w:sz w:val="22"/>
          <w:szCs w:val="22"/>
        </w:rPr>
        <w:t xml:space="preserve"> a paliva, znižovanie</w:t>
      </w:r>
      <w:r w:rsidRPr="00EB04F9">
        <w:rPr>
          <w:sz w:val="22"/>
          <w:szCs w:val="22"/>
        </w:rPr>
        <w:t xml:space="preserve"> nepriaznivých vplyvov cestnej dopravy na živ</w:t>
      </w:r>
      <w:r>
        <w:rPr>
          <w:sz w:val="22"/>
          <w:szCs w:val="22"/>
        </w:rPr>
        <w:t xml:space="preserve">otné prostredie a obyvateľstvo, znižovanie nehodovosti) </w:t>
      </w:r>
      <w:r w:rsidRPr="00EB04F9">
        <w:rPr>
          <w:sz w:val="22"/>
          <w:szCs w:val="22"/>
        </w:rPr>
        <w:t xml:space="preserve">si </w:t>
      </w:r>
      <w:r>
        <w:rPr>
          <w:sz w:val="22"/>
          <w:szCs w:val="22"/>
        </w:rPr>
        <w:t xml:space="preserve">uvedená oblasť aj </w:t>
      </w:r>
      <w:r w:rsidRPr="00EB04F9">
        <w:rPr>
          <w:sz w:val="22"/>
          <w:szCs w:val="22"/>
        </w:rPr>
        <w:t>v programovom období 2014</w:t>
      </w:r>
      <w:r w:rsidR="00C3107B">
        <w:rPr>
          <w:sz w:val="22"/>
          <w:szCs w:val="22"/>
        </w:rPr>
        <w:t xml:space="preserve"> </w:t>
      </w:r>
      <w:r w:rsidRPr="00EB04F9">
        <w:rPr>
          <w:sz w:val="22"/>
          <w:szCs w:val="22"/>
        </w:rPr>
        <w:t>-</w:t>
      </w:r>
      <w:r w:rsidR="00C3107B">
        <w:rPr>
          <w:sz w:val="22"/>
          <w:szCs w:val="22"/>
        </w:rPr>
        <w:t xml:space="preserve"> </w:t>
      </w:r>
      <w:r w:rsidRPr="00EB04F9">
        <w:rPr>
          <w:sz w:val="22"/>
          <w:szCs w:val="22"/>
        </w:rPr>
        <w:t xml:space="preserve">2020 </w:t>
      </w:r>
      <w:r>
        <w:rPr>
          <w:sz w:val="22"/>
          <w:szCs w:val="22"/>
        </w:rPr>
        <w:t>vyžiada významnú</w:t>
      </w:r>
      <w:r w:rsidRPr="00EB04F9">
        <w:rPr>
          <w:sz w:val="22"/>
          <w:szCs w:val="22"/>
        </w:rPr>
        <w:t xml:space="preserve"> podporu zo strany EÚ. </w:t>
      </w:r>
      <w:r>
        <w:rPr>
          <w:sz w:val="22"/>
          <w:szCs w:val="22"/>
        </w:rPr>
        <w:t xml:space="preserve">Okrem vyššie spomenutých faktorov je výška </w:t>
      </w:r>
      <w:r w:rsidRPr="00EB04F9">
        <w:rPr>
          <w:sz w:val="22"/>
          <w:szCs w:val="22"/>
        </w:rPr>
        <w:t xml:space="preserve">alokácie determinovaná </w:t>
      </w:r>
      <w:r>
        <w:rPr>
          <w:sz w:val="22"/>
          <w:szCs w:val="22"/>
        </w:rPr>
        <w:t>taktiež c</w:t>
      </w:r>
      <w:r w:rsidRPr="00EB04F9">
        <w:rPr>
          <w:sz w:val="22"/>
          <w:szCs w:val="22"/>
        </w:rPr>
        <w:t>harakterom činností - investičn</w:t>
      </w:r>
      <w:r>
        <w:rPr>
          <w:sz w:val="22"/>
          <w:szCs w:val="22"/>
        </w:rPr>
        <w:t>e náročným procesom výstavby no</w:t>
      </w:r>
      <w:r w:rsidRPr="00EB04F9">
        <w:rPr>
          <w:sz w:val="22"/>
          <w:szCs w:val="22"/>
        </w:rPr>
        <w:t xml:space="preserve">vých úsekov </w:t>
      </w:r>
      <w:r>
        <w:rPr>
          <w:sz w:val="22"/>
          <w:szCs w:val="22"/>
        </w:rPr>
        <w:t xml:space="preserve">diaľnic a rýchlostných ciest </w:t>
      </w:r>
      <w:r w:rsidRPr="00EB04F9">
        <w:rPr>
          <w:sz w:val="22"/>
          <w:szCs w:val="22"/>
        </w:rPr>
        <w:t>v topograficky členitých oblastiach.</w:t>
      </w:r>
    </w:p>
    <w:p w:rsidR="003676B4" w:rsidRPr="004E4DC3" w:rsidRDefault="003676B4" w:rsidP="003676B4">
      <w:pPr>
        <w:autoSpaceDE w:val="0"/>
        <w:autoSpaceDN w:val="0"/>
        <w:adjustRightInd w:val="0"/>
        <w:spacing w:before="180"/>
        <w:jc w:val="both"/>
        <w:rPr>
          <w:sz w:val="22"/>
          <w:szCs w:val="22"/>
        </w:rPr>
      </w:pPr>
      <w:r w:rsidRPr="004E4DC3">
        <w:rPr>
          <w:sz w:val="22"/>
          <w:szCs w:val="22"/>
        </w:rPr>
        <w:t>Aj napriek strategickému významu investícií do budovania diaľnic a rýchlostných ciest, neopomína Slovenská republika ani rozvoj tzv. environmentálne prijateľnejších módov dopravy</w:t>
      </w:r>
      <w:r w:rsidR="00814C84" w:rsidRPr="004E4DC3">
        <w:rPr>
          <w:sz w:val="22"/>
          <w:szCs w:val="22"/>
        </w:rPr>
        <w:t>, ak</w:t>
      </w:r>
      <w:r w:rsidRPr="004E4DC3">
        <w:rPr>
          <w:sz w:val="22"/>
          <w:szCs w:val="22"/>
        </w:rPr>
        <w:t xml:space="preserve">ými sú železničná, vodná a verejná osobná doprava. Na tieto oblasti bude v programovom období 2014 </w:t>
      </w:r>
      <w:r w:rsidR="004E4DC3" w:rsidRPr="004E4DC3">
        <w:rPr>
          <w:sz w:val="22"/>
          <w:szCs w:val="22"/>
        </w:rPr>
        <w:t>–</w:t>
      </w:r>
      <w:r w:rsidRPr="004E4DC3">
        <w:rPr>
          <w:sz w:val="22"/>
          <w:szCs w:val="22"/>
        </w:rPr>
        <w:t xml:space="preserve"> 2020</w:t>
      </w:r>
      <w:r w:rsidR="004E4DC3" w:rsidRPr="004E4DC3">
        <w:rPr>
          <w:sz w:val="22"/>
          <w:szCs w:val="22"/>
        </w:rPr>
        <w:t xml:space="preserve"> alokovaných až 53,45 % zdrojov OPII-D a NPE.</w:t>
      </w:r>
    </w:p>
    <w:p w:rsidR="009D2BD5" w:rsidRPr="001B2070" w:rsidRDefault="009D2BD5" w:rsidP="001B2070">
      <w:pPr>
        <w:spacing w:before="180" w:after="120"/>
        <w:rPr>
          <w:rFonts w:ascii="Arial Narrow" w:hAnsi="Arial Narrow"/>
          <w:b/>
          <w:i/>
          <w:color w:val="548DD4" w:themeColor="text2" w:themeTint="99"/>
          <w:sz w:val="22"/>
          <w:szCs w:val="22"/>
        </w:rPr>
      </w:pPr>
      <w:r w:rsidRPr="001B2070">
        <w:rPr>
          <w:rFonts w:ascii="Arial Narrow" w:hAnsi="Arial Narrow"/>
          <w:b/>
          <w:i/>
          <w:color w:val="548DD4" w:themeColor="text2" w:themeTint="99"/>
          <w:sz w:val="22"/>
          <w:szCs w:val="22"/>
        </w:rPr>
        <w:t>VÝSLEDKY</w:t>
      </w:r>
    </w:p>
    <w:p w:rsidR="00186DB7" w:rsidRDefault="009D2BD5" w:rsidP="00FE6025">
      <w:pPr>
        <w:pStyle w:val="Odsekzoznamu"/>
        <w:numPr>
          <w:ilvl w:val="0"/>
          <w:numId w:val="52"/>
        </w:numPr>
        <w:autoSpaceDE w:val="0"/>
        <w:autoSpaceDN w:val="0"/>
        <w:adjustRightInd w:val="0"/>
        <w:ind w:hanging="436"/>
        <w:jc w:val="both"/>
        <w:rPr>
          <w:sz w:val="22"/>
          <w:szCs w:val="22"/>
        </w:rPr>
      </w:pPr>
      <w:r w:rsidRPr="00186DB7">
        <w:rPr>
          <w:sz w:val="22"/>
          <w:szCs w:val="22"/>
        </w:rPr>
        <w:t>odst</w:t>
      </w:r>
      <w:r w:rsidR="00186DB7" w:rsidRPr="00186DB7">
        <w:rPr>
          <w:sz w:val="22"/>
          <w:szCs w:val="22"/>
        </w:rPr>
        <w:t>ránenie</w:t>
      </w:r>
      <w:r w:rsidRPr="00186DB7">
        <w:rPr>
          <w:sz w:val="22"/>
          <w:szCs w:val="22"/>
        </w:rPr>
        <w:t xml:space="preserve"> kľúčových úzkych miest na základnej siet</w:t>
      </w:r>
      <w:r w:rsidR="00186DB7" w:rsidRPr="00186DB7">
        <w:rPr>
          <w:sz w:val="22"/>
          <w:szCs w:val="22"/>
        </w:rPr>
        <w:t>i</w:t>
      </w:r>
      <w:r w:rsidRPr="00186DB7">
        <w:rPr>
          <w:sz w:val="22"/>
          <w:szCs w:val="22"/>
        </w:rPr>
        <w:t xml:space="preserve"> TEN-T</w:t>
      </w:r>
      <w:r w:rsidR="00186DB7" w:rsidRPr="00186DB7">
        <w:rPr>
          <w:sz w:val="22"/>
          <w:szCs w:val="22"/>
        </w:rPr>
        <w:t>, predovšetkým v úseku Žilina – Liptovský Mikuláš a Žilina – št. hr SR/ČR</w:t>
      </w:r>
      <w:r w:rsidR="0042731D">
        <w:rPr>
          <w:sz w:val="22"/>
          <w:szCs w:val="22"/>
        </w:rPr>
        <w:t>/PR</w:t>
      </w:r>
      <w:r w:rsidR="00186DB7" w:rsidRPr="00186DB7">
        <w:rPr>
          <w:sz w:val="22"/>
          <w:szCs w:val="22"/>
        </w:rPr>
        <w:t>,</w:t>
      </w:r>
    </w:p>
    <w:p w:rsidR="003676B4" w:rsidRDefault="00B715C0" w:rsidP="00FE6025">
      <w:pPr>
        <w:pStyle w:val="Odsekzoznamu"/>
        <w:numPr>
          <w:ilvl w:val="0"/>
          <w:numId w:val="52"/>
        </w:numPr>
        <w:autoSpaceDE w:val="0"/>
        <w:autoSpaceDN w:val="0"/>
        <w:adjustRightInd w:val="0"/>
        <w:ind w:left="709" w:hanging="425"/>
        <w:jc w:val="both"/>
        <w:rPr>
          <w:sz w:val="22"/>
          <w:szCs w:val="22"/>
        </w:rPr>
      </w:pPr>
      <w:r>
        <w:rPr>
          <w:sz w:val="22"/>
          <w:szCs w:val="22"/>
        </w:rPr>
        <w:t xml:space="preserve">zvýšenie bezpečnosti cestnej premávky, </w:t>
      </w:r>
      <w:r w:rsidR="003676B4">
        <w:rPr>
          <w:sz w:val="22"/>
          <w:szCs w:val="22"/>
        </w:rPr>
        <w:t>zníženie nehodovosti,</w:t>
      </w:r>
    </w:p>
    <w:p w:rsidR="00B715C0" w:rsidRDefault="003676B4" w:rsidP="00FE6025">
      <w:pPr>
        <w:pStyle w:val="Odsekzoznamu"/>
        <w:numPr>
          <w:ilvl w:val="0"/>
          <w:numId w:val="52"/>
        </w:numPr>
        <w:autoSpaceDE w:val="0"/>
        <w:autoSpaceDN w:val="0"/>
        <w:adjustRightInd w:val="0"/>
        <w:ind w:left="709" w:hanging="425"/>
        <w:jc w:val="both"/>
        <w:rPr>
          <w:sz w:val="22"/>
          <w:szCs w:val="22"/>
        </w:rPr>
      </w:pPr>
      <w:r>
        <w:rPr>
          <w:sz w:val="22"/>
          <w:szCs w:val="22"/>
        </w:rPr>
        <w:t>zníženie</w:t>
      </w:r>
      <w:r w:rsidR="00B715C0">
        <w:rPr>
          <w:sz w:val="22"/>
          <w:szCs w:val="22"/>
        </w:rPr>
        <w:t xml:space="preserve"> hlukovej a emisnej záťaže v intraviláne miest a obcí,</w:t>
      </w:r>
    </w:p>
    <w:p w:rsidR="00186DB7" w:rsidRDefault="00B715C0" w:rsidP="00FE6025">
      <w:pPr>
        <w:pStyle w:val="Odsekzoznamu"/>
        <w:numPr>
          <w:ilvl w:val="0"/>
          <w:numId w:val="52"/>
        </w:numPr>
        <w:autoSpaceDE w:val="0"/>
        <w:autoSpaceDN w:val="0"/>
        <w:adjustRightInd w:val="0"/>
        <w:ind w:left="709" w:hanging="425"/>
        <w:jc w:val="both"/>
        <w:rPr>
          <w:sz w:val="22"/>
          <w:szCs w:val="22"/>
        </w:rPr>
      </w:pPr>
      <w:r>
        <w:rPr>
          <w:sz w:val="22"/>
          <w:szCs w:val="22"/>
        </w:rPr>
        <w:t xml:space="preserve">zníženie časových strát a </w:t>
      </w:r>
      <w:r w:rsidR="003676B4">
        <w:rPr>
          <w:sz w:val="22"/>
          <w:szCs w:val="22"/>
        </w:rPr>
        <w:t>úspora</w:t>
      </w:r>
      <w:r>
        <w:rPr>
          <w:sz w:val="22"/>
          <w:szCs w:val="22"/>
        </w:rPr>
        <w:t xml:space="preserve"> nákladov,</w:t>
      </w:r>
    </w:p>
    <w:p w:rsidR="00567B24" w:rsidRDefault="00765DFA" w:rsidP="00FE6025">
      <w:pPr>
        <w:pStyle w:val="Odsekzoznamu"/>
        <w:numPr>
          <w:ilvl w:val="0"/>
          <w:numId w:val="52"/>
        </w:numPr>
        <w:autoSpaceDE w:val="0"/>
        <w:autoSpaceDN w:val="0"/>
        <w:adjustRightInd w:val="0"/>
        <w:ind w:left="709" w:hanging="425"/>
        <w:jc w:val="both"/>
        <w:rPr>
          <w:sz w:val="22"/>
          <w:szCs w:val="22"/>
        </w:rPr>
      </w:pPr>
      <w:r>
        <w:rPr>
          <w:sz w:val="22"/>
          <w:szCs w:val="22"/>
        </w:rPr>
        <w:t>poskytovanie</w:t>
      </w:r>
      <w:r w:rsidR="00567B24">
        <w:rPr>
          <w:sz w:val="22"/>
          <w:szCs w:val="22"/>
        </w:rPr>
        <w:t xml:space="preserve"> </w:t>
      </w:r>
      <w:r>
        <w:rPr>
          <w:sz w:val="22"/>
          <w:szCs w:val="22"/>
        </w:rPr>
        <w:t>dopravných informácií účastníkom cestnej premávky,</w:t>
      </w:r>
    </w:p>
    <w:p w:rsidR="00186DB7" w:rsidRDefault="00186DB7" w:rsidP="00FE6025">
      <w:pPr>
        <w:pStyle w:val="Odsekzoznamu"/>
        <w:numPr>
          <w:ilvl w:val="0"/>
          <w:numId w:val="52"/>
        </w:numPr>
        <w:autoSpaceDE w:val="0"/>
        <w:autoSpaceDN w:val="0"/>
        <w:adjustRightInd w:val="0"/>
        <w:ind w:left="709" w:hanging="425"/>
        <w:jc w:val="both"/>
        <w:rPr>
          <w:sz w:val="22"/>
          <w:szCs w:val="22"/>
        </w:rPr>
      </w:pPr>
      <w:r w:rsidRPr="00186DB7">
        <w:rPr>
          <w:sz w:val="22"/>
          <w:szCs w:val="22"/>
        </w:rPr>
        <w:t>zabezpečenie bezpečnej migrácie zveri,</w:t>
      </w:r>
    </w:p>
    <w:p w:rsidR="009D2BD5" w:rsidRPr="00B715C0" w:rsidRDefault="00B715C0" w:rsidP="00FE6025">
      <w:pPr>
        <w:pStyle w:val="Odsekzoznamu"/>
        <w:numPr>
          <w:ilvl w:val="0"/>
          <w:numId w:val="52"/>
        </w:numPr>
        <w:autoSpaceDE w:val="0"/>
        <w:autoSpaceDN w:val="0"/>
        <w:adjustRightInd w:val="0"/>
        <w:ind w:left="709" w:hanging="425"/>
        <w:jc w:val="both"/>
        <w:rPr>
          <w:snapToGrid w:val="0"/>
          <w:sz w:val="22"/>
          <w:szCs w:val="23"/>
          <w:lang w:eastAsia="cs-CZ"/>
        </w:rPr>
      </w:pPr>
      <w:r w:rsidRPr="00B715C0">
        <w:rPr>
          <w:sz w:val="22"/>
          <w:szCs w:val="22"/>
        </w:rPr>
        <w:t>vytváranie predpokladov pre zvýšenie konkurencieschopnosti regiónov</w:t>
      </w:r>
      <w:r w:rsidR="00814C84">
        <w:rPr>
          <w:sz w:val="22"/>
          <w:szCs w:val="22"/>
        </w:rPr>
        <w:t>, zlepšenie</w:t>
      </w:r>
      <w:r w:rsidR="00567B24">
        <w:rPr>
          <w:sz w:val="22"/>
          <w:szCs w:val="22"/>
        </w:rPr>
        <w:t xml:space="preserve"> mobility obyvateľov</w:t>
      </w:r>
      <w:r w:rsidRPr="00B715C0">
        <w:rPr>
          <w:sz w:val="22"/>
          <w:szCs w:val="22"/>
        </w:rPr>
        <w:t xml:space="preserve"> a</w:t>
      </w:r>
      <w:r w:rsidR="00814C84">
        <w:rPr>
          <w:sz w:val="22"/>
          <w:szCs w:val="22"/>
        </w:rPr>
        <w:t xml:space="preserve"> zvýšenie</w:t>
      </w:r>
      <w:r w:rsidRPr="00B715C0">
        <w:rPr>
          <w:sz w:val="22"/>
          <w:szCs w:val="22"/>
        </w:rPr>
        <w:t xml:space="preserve"> potenciálu </w:t>
      </w:r>
      <w:r w:rsidR="00854EA5">
        <w:rPr>
          <w:sz w:val="22"/>
          <w:szCs w:val="22"/>
        </w:rPr>
        <w:t>rastu zamestnanosti</w:t>
      </w:r>
      <w:r w:rsidR="00580632">
        <w:rPr>
          <w:sz w:val="22"/>
          <w:szCs w:val="22"/>
        </w:rPr>
        <w:t>.</w:t>
      </w:r>
    </w:p>
    <w:p w:rsidR="006B762B" w:rsidRDefault="006B762B" w:rsidP="006B762B">
      <w:pPr>
        <w:pStyle w:val="Tab"/>
      </w:pPr>
      <w:r w:rsidRPr="004F0234">
        <w:t>Výsledkové ukazovatele zodpovedajúce špecifickému cieľu</w:t>
      </w:r>
      <w:r w:rsidR="00350B96">
        <w:t xml:space="preserve"> 2.1</w:t>
      </w:r>
    </w:p>
    <w:tbl>
      <w:tblPr>
        <w:tblStyle w:val="Mriekatabuky"/>
        <w:tblW w:w="928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tblPr>
      <w:tblGrid>
        <w:gridCol w:w="598"/>
        <w:gridCol w:w="1391"/>
        <w:gridCol w:w="897"/>
        <w:gridCol w:w="997"/>
        <w:gridCol w:w="1297"/>
        <w:gridCol w:w="1297"/>
        <w:gridCol w:w="865"/>
        <w:gridCol w:w="759"/>
        <w:gridCol w:w="1186"/>
      </w:tblGrid>
      <w:tr w:rsidR="00724E8C" w:rsidRPr="008C1732" w:rsidTr="0095191D">
        <w:trPr>
          <w:trHeight w:val="487"/>
          <w:jc w:val="center"/>
        </w:trPr>
        <w:tc>
          <w:tcPr>
            <w:tcW w:w="598" w:type="dxa"/>
            <w:shd w:val="clear" w:color="auto" w:fill="C6D9F1" w:themeFill="text2" w:themeFillTint="33"/>
            <w:vAlign w:val="center"/>
          </w:tcPr>
          <w:p w:rsidR="00724E8C" w:rsidRPr="008C1732" w:rsidRDefault="00724E8C" w:rsidP="00816B1A">
            <w:pPr>
              <w:ind w:left="0"/>
              <w:jc w:val="center"/>
              <w:rPr>
                <w:b/>
                <w:sz w:val="18"/>
                <w:szCs w:val="18"/>
              </w:rPr>
            </w:pPr>
            <w:r>
              <w:rPr>
                <w:b/>
                <w:sz w:val="18"/>
                <w:szCs w:val="18"/>
              </w:rPr>
              <w:t>P. č.</w:t>
            </w:r>
          </w:p>
        </w:tc>
        <w:tc>
          <w:tcPr>
            <w:tcW w:w="1391" w:type="dxa"/>
            <w:shd w:val="clear" w:color="auto" w:fill="C6D9F1" w:themeFill="text2" w:themeFillTint="33"/>
            <w:vAlign w:val="center"/>
          </w:tcPr>
          <w:p w:rsidR="00724E8C" w:rsidRPr="008C1732" w:rsidRDefault="00724E8C" w:rsidP="00816B1A">
            <w:pPr>
              <w:ind w:left="0"/>
              <w:jc w:val="center"/>
              <w:rPr>
                <w:b/>
                <w:sz w:val="18"/>
                <w:szCs w:val="18"/>
              </w:rPr>
            </w:pPr>
            <w:r w:rsidRPr="008C1732">
              <w:rPr>
                <w:b/>
                <w:sz w:val="18"/>
                <w:szCs w:val="18"/>
              </w:rPr>
              <w:t>Ukazovateľ</w:t>
            </w:r>
          </w:p>
        </w:tc>
        <w:tc>
          <w:tcPr>
            <w:tcW w:w="897" w:type="dxa"/>
            <w:shd w:val="clear" w:color="auto" w:fill="C6D9F1" w:themeFill="text2" w:themeFillTint="33"/>
            <w:vAlign w:val="center"/>
          </w:tcPr>
          <w:p w:rsidR="00724E8C" w:rsidRPr="008C1732" w:rsidRDefault="00724E8C" w:rsidP="00816B1A">
            <w:pPr>
              <w:ind w:left="0"/>
              <w:jc w:val="center"/>
              <w:rPr>
                <w:b/>
                <w:sz w:val="18"/>
                <w:szCs w:val="18"/>
              </w:rPr>
            </w:pPr>
            <w:r w:rsidRPr="008C1732">
              <w:rPr>
                <w:b/>
                <w:sz w:val="18"/>
                <w:szCs w:val="18"/>
              </w:rPr>
              <w:t>Merná jednotka</w:t>
            </w:r>
          </w:p>
        </w:tc>
        <w:tc>
          <w:tcPr>
            <w:tcW w:w="997" w:type="dxa"/>
            <w:shd w:val="clear" w:color="auto" w:fill="C6D9F1" w:themeFill="text2" w:themeFillTint="33"/>
            <w:vAlign w:val="center"/>
          </w:tcPr>
          <w:p w:rsidR="00724E8C" w:rsidRPr="008C1732" w:rsidRDefault="00724E8C" w:rsidP="00816B1A">
            <w:pPr>
              <w:ind w:left="0"/>
              <w:jc w:val="center"/>
              <w:rPr>
                <w:b/>
                <w:sz w:val="18"/>
                <w:szCs w:val="18"/>
              </w:rPr>
            </w:pPr>
            <w:r w:rsidRPr="008C1732">
              <w:rPr>
                <w:b/>
                <w:sz w:val="18"/>
                <w:szCs w:val="18"/>
              </w:rPr>
              <w:t>Kategória regiónu</w:t>
            </w:r>
          </w:p>
        </w:tc>
        <w:tc>
          <w:tcPr>
            <w:tcW w:w="1297" w:type="dxa"/>
            <w:shd w:val="clear" w:color="auto" w:fill="C6D9F1" w:themeFill="text2" w:themeFillTint="33"/>
            <w:vAlign w:val="center"/>
          </w:tcPr>
          <w:p w:rsidR="00724E8C" w:rsidRPr="008C1732" w:rsidRDefault="00724E8C" w:rsidP="00816B1A">
            <w:pPr>
              <w:ind w:left="0"/>
              <w:jc w:val="center"/>
              <w:rPr>
                <w:b/>
                <w:sz w:val="18"/>
                <w:szCs w:val="18"/>
              </w:rPr>
            </w:pPr>
            <w:r>
              <w:rPr>
                <w:b/>
                <w:sz w:val="18"/>
                <w:szCs w:val="18"/>
              </w:rPr>
              <w:t>Východisková hodnota</w:t>
            </w:r>
          </w:p>
        </w:tc>
        <w:tc>
          <w:tcPr>
            <w:tcW w:w="1297" w:type="dxa"/>
            <w:shd w:val="clear" w:color="auto" w:fill="C6D9F1" w:themeFill="text2" w:themeFillTint="33"/>
            <w:vAlign w:val="center"/>
          </w:tcPr>
          <w:p w:rsidR="00724E8C" w:rsidRPr="008C1732" w:rsidRDefault="00724E8C" w:rsidP="00816B1A">
            <w:pPr>
              <w:ind w:left="0"/>
              <w:jc w:val="center"/>
              <w:rPr>
                <w:b/>
                <w:sz w:val="18"/>
                <w:szCs w:val="18"/>
              </w:rPr>
            </w:pPr>
            <w:r>
              <w:rPr>
                <w:b/>
                <w:sz w:val="18"/>
                <w:szCs w:val="18"/>
              </w:rPr>
              <w:t>Východiskový rok</w:t>
            </w:r>
          </w:p>
        </w:tc>
        <w:tc>
          <w:tcPr>
            <w:tcW w:w="865" w:type="dxa"/>
            <w:shd w:val="clear" w:color="auto" w:fill="C6D9F1" w:themeFill="text2" w:themeFillTint="33"/>
            <w:vAlign w:val="center"/>
          </w:tcPr>
          <w:p w:rsidR="00724E8C" w:rsidRPr="008C1732" w:rsidRDefault="00724E8C" w:rsidP="00816B1A">
            <w:pPr>
              <w:ind w:left="0"/>
              <w:jc w:val="center"/>
              <w:rPr>
                <w:b/>
                <w:sz w:val="18"/>
                <w:szCs w:val="18"/>
              </w:rPr>
            </w:pPr>
            <w:r w:rsidRPr="008C1732">
              <w:rPr>
                <w:b/>
                <w:sz w:val="18"/>
                <w:szCs w:val="18"/>
              </w:rPr>
              <w:t>Cieľová hodnota (2023)</w:t>
            </w:r>
          </w:p>
        </w:tc>
        <w:tc>
          <w:tcPr>
            <w:tcW w:w="759" w:type="dxa"/>
            <w:shd w:val="clear" w:color="auto" w:fill="C6D9F1" w:themeFill="text2" w:themeFillTint="33"/>
            <w:vAlign w:val="center"/>
          </w:tcPr>
          <w:p w:rsidR="00724E8C" w:rsidRPr="008C1732" w:rsidRDefault="00724E8C" w:rsidP="00816B1A">
            <w:pPr>
              <w:ind w:left="0"/>
              <w:jc w:val="center"/>
              <w:rPr>
                <w:b/>
                <w:sz w:val="18"/>
                <w:szCs w:val="18"/>
              </w:rPr>
            </w:pPr>
            <w:r w:rsidRPr="008C1732">
              <w:rPr>
                <w:b/>
                <w:sz w:val="18"/>
                <w:szCs w:val="18"/>
              </w:rPr>
              <w:t>Zdroj údajov</w:t>
            </w:r>
          </w:p>
        </w:tc>
        <w:tc>
          <w:tcPr>
            <w:tcW w:w="1186" w:type="dxa"/>
            <w:shd w:val="clear" w:color="auto" w:fill="C6D9F1" w:themeFill="text2" w:themeFillTint="33"/>
            <w:vAlign w:val="center"/>
          </w:tcPr>
          <w:p w:rsidR="00724E8C" w:rsidRPr="008C1732" w:rsidRDefault="00724E8C" w:rsidP="00816B1A">
            <w:pPr>
              <w:ind w:left="0"/>
              <w:jc w:val="center"/>
              <w:rPr>
                <w:b/>
                <w:sz w:val="18"/>
                <w:szCs w:val="18"/>
              </w:rPr>
            </w:pPr>
            <w:r w:rsidRPr="008C1732">
              <w:rPr>
                <w:b/>
                <w:sz w:val="18"/>
                <w:szCs w:val="18"/>
              </w:rPr>
              <w:t>Frekvencia vykazovania</w:t>
            </w:r>
          </w:p>
        </w:tc>
      </w:tr>
      <w:tr w:rsidR="00724E8C" w:rsidRPr="00DA54A1" w:rsidTr="0095191D">
        <w:trPr>
          <w:trHeight w:val="680"/>
          <w:jc w:val="center"/>
        </w:trPr>
        <w:tc>
          <w:tcPr>
            <w:tcW w:w="598" w:type="dxa"/>
            <w:shd w:val="clear" w:color="auto" w:fill="auto"/>
            <w:vAlign w:val="center"/>
          </w:tcPr>
          <w:p w:rsidR="00724E8C" w:rsidRPr="00336C1F" w:rsidRDefault="00724E8C" w:rsidP="00816B1A">
            <w:pPr>
              <w:ind w:left="0"/>
              <w:jc w:val="center"/>
              <w:rPr>
                <w:sz w:val="20"/>
                <w:szCs w:val="20"/>
              </w:rPr>
            </w:pPr>
            <w:r>
              <w:rPr>
                <w:sz w:val="20"/>
                <w:szCs w:val="20"/>
              </w:rPr>
              <w:t>1.</w:t>
            </w:r>
          </w:p>
        </w:tc>
        <w:tc>
          <w:tcPr>
            <w:tcW w:w="1391" w:type="dxa"/>
            <w:shd w:val="clear" w:color="auto" w:fill="auto"/>
            <w:vAlign w:val="center"/>
          </w:tcPr>
          <w:p w:rsidR="00724E8C" w:rsidRPr="00AB18C1" w:rsidRDefault="00724E8C" w:rsidP="00816B1A">
            <w:pPr>
              <w:ind w:left="0"/>
              <w:rPr>
                <w:sz w:val="20"/>
                <w:szCs w:val="20"/>
              </w:rPr>
            </w:pPr>
            <w:r w:rsidRPr="00336C1F">
              <w:rPr>
                <w:sz w:val="20"/>
                <w:szCs w:val="20"/>
              </w:rPr>
              <w:t>Úspora času v </w:t>
            </w:r>
            <w:r>
              <w:rPr>
                <w:sz w:val="20"/>
                <w:szCs w:val="20"/>
              </w:rPr>
              <w:t>cestnej</w:t>
            </w:r>
            <w:r w:rsidRPr="00336C1F">
              <w:rPr>
                <w:sz w:val="20"/>
                <w:szCs w:val="20"/>
              </w:rPr>
              <w:t xml:space="preserve"> doprave</w:t>
            </w:r>
          </w:p>
        </w:tc>
        <w:tc>
          <w:tcPr>
            <w:tcW w:w="897" w:type="dxa"/>
            <w:shd w:val="clear" w:color="auto" w:fill="auto"/>
            <w:vAlign w:val="center"/>
          </w:tcPr>
          <w:p w:rsidR="00724E8C" w:rsidRPr="00DA54A1" w:rsidRDefault="00724E8C" w:rsidP="00816B1A">
            <w:pPr>
              <w:ind w:left="0"/>
              <w:jc w:val="center"/>
              <w:rPr>
                <w:i/>
                <w:sz w:val="20"/>
                <w:szCs w:val="20"/>
              </w:rPr>
            </w:pPr>
            <w:r>
              <w:rPr>
                <w:i/>
                <w:sz w:val="20"/>
                <w:szCs w:val="20"/>
              </w:rPr>
              <w:t>EUR</w:t>
            </w:r>
          </w:p>
        </w:tc>
        <w:tc>
          <w:tcPr>
            <w:tcW w:w="997" w:type="dxa"/>
            <w:shd w:val="clear" w:color="auto" w:fill="auto"/>
            <w:vAlign w:val="center"/>
          </w:tcPr>
          <w:p w:rsidR="00724E8C" w:rsidRPr="00DA54A1" w:rsidRDefault="00724E8C" w:rsidP="00816B1A">
            <w:pPr>
              <w:ind w:left="0"/>
              <w:jc w:val="center"/>
              <w:rPr>
                <w:i/>
                <w:sz w:val="20"/>
                <w:szCs w:val="20"/>
              </w:rPr>
            </w:pPr>
            <w:r w:rsidRPr="00DA54A1">
              <w:rPr>
                <w:i/>
                <w:sz w:val="20"/>
                <w:szCs w:val="20"/>
              </w:rPr>
              <w:t>N/A</w:t>
            </w:r>
          </w:p>
        </w:tc>
        <w:tc>
          <w:tcPr>
            <w:tcW w:w="1297" w:type="dxa"/>
            <w:vAlign w:val="center"/>
          </w:tcPr>
          <w:p w:rsidR="00724E8C" w:rsidRPr="00DA54A1" w:rsidRDefault="00724E8C" w:rsidP="00816B1A">
            <w:pPr>
              <w:ind w:left="0"/>
              <w:jc w:val="center"/>
              <w:rPr>
                <w:i/>
                <w:sz w:val="20"/>
                <w:szCs w:val="20"/>
              </w:rPr>
            </w:pPr>
          </w:p>
        </w:tc>
        <w:tc>
          <w:tcPr>
            <w:tcW w:w="1297" w:type="dxa"/>
            <w:vAlign w:val="center"/>
          </w:tcPr>
          <w:p w:rsidR="00724E8C" w:rsidRPr="00DA54A1" w:rsidRDefault="00724E8C" w:rsidP="00816B1A">
            <w:pPr>
              <w:ind w:left="0"/>
              <w:jc w:val="center"/>
              <w:rPr>
                <w:i/>
                <w:sz w:val="20"/>
                <w:szCs w:val="20"/>
              </w:rPr>
            </w:pPr>
            <w:r w:rsidRPr="00DA54A1">
              <w:rPr>
                <w:i/>
                <w:sz w:val="20"/>
                <w:szCs w:val="20"/>
              </w:rPr>
              <w:t>2013</w:t>
            </w:r>
          </w:p>
        </w:tc>
        <w:tc>
          <w:tcPr>
            <w:tcW w:w="865" w:type="dxa"/>
            <w:shd w:val="clear" w:color="auto" w:fill="auto"/>
            <w:vAlign w:val="center"/>
          </w:tcPr>
          <w:p w:rsidR="00724E8C" w:rsidRPr="00DA54A1" w:rsidRDefault="00724E8C" w:rsidP="00816B1A">
            <w:pPr>
              <w:ind w:left="0"/>
              <w:jc w:val="center"/>
              <w:rPr>
                <w:i/>
                <w:sz w:val="20"/>
                <w:szCs w:val="20"/>
              </w:rPr>
            </w:pPr>
          </w:p>
        </w:tc>
        <w:tc>
          <w:tcPr>
            <w:tcW w:w="759" w:type="dxa"/>
            <w:vAlign w:val="center"/>
          </w:tcPr>
          <w:p w:rsidR="00724E8C" w:rsidRPr="00DA54A1" w:rsidRDefault="00724E8C" w:rsidP="00816B1A">
            <w:pPr>
              <w:ind w:left="0"/>
              <w:jc w:val="center"/>
              <w:rPr>
                <w:i/>
                <w:sz w:val="20"/>
                <w:szCs w:val="20"/>
              </w:rPr>
            </w:pPr>
            <w:r w:rsidRPr="00DA54A1">
              <w:rPr>
                <w:i/>
                <w:sz w:val="20"/>
                <w:szCs w:val="20"/>
              </w:rPr>
              <w:t>RO OPII</w:t>
            </w:r>
          </w:p>
        </w:tc>
        <w:tc>
          <w:tcPr>
            <w:tcW w:w="1186" w:type="dxa"/>
            <w:vAlign w:val="center"/>
          </w:tcPr>
          <w:p w:rsidR="00724E8C" w:rsidRPr="00DA54A1" w:rsidRDefault="00724E8C" w:rsidP="00816B1A">
            <w:pPr>
              <w:ind w:left="0"/>
              <w:jc w:val="center"/>
              <w:rPr>
                <w:i/>
                <w:sz w:val="20"/>
                <w:szCs w:val="20"/>
              </w:rPr>
            </w:pPr>
            <w:r w:rsidRPr="00DA54A1">
              <w:rPr>
                <w:i/>
                <w:sz w:val="20"/>
                <w:szCs w:val="20"/>
              </w:rPr>
              <w:t>Ročne</w:t>
            </w:r>
          </w:p>
        </w:tc>
      </w:tr>
    </w:tbl>
    <w:p w:rsidR="00816B1A" w:rsidRPr="000C1600" w:rsidRDefault="00816B1A" w:rsidP="000C1600">
      <w:pPr>
        <w:rPr>
          <w:sz w:val="20"/>
          <w:szCs w:val="20"/>
        </w:rPr>
      </w:pPr>
      <w:r w:rsidRPr="000C1600">
        <w:rPr>
          <w:sz w:val="20"/>
          <w:szCs w:val="20"/>
          <w:u w:val="single"/>
        </w:rPr>
        <w:t>Pozn</w:t>
      </w:r>
      <w:r w:rsidRPr="000C1600">
        <w:rPr>
          <w:sz w:val="20"/>
          <w:szCs w:val="20"/>
        </w:rPr>
        <w:t xml:space="preserve">.: Hodnoty ukazovateľov budú doplnené v ďalšom štádiu prípravy dokumentu. </w:t>
      </w:r>
    </w:p>
    <w:p w:rsidR="00D94757" w:rsidRDefault="007877CC" w:rsidP="004773A0">
      <w:pPr>
        <w:pStyle w:val="Nadpis3"/>
      </w:pPr>
      <w:bookmarkStart w:id="30" w:name="_Toc385310689"/>
      <w:r>
        <w:lastRenderedPageBreak/>
        <w:t>A</w:t>
      </w:r>
      <w:r w:rsidR="00D94757">
        <w:t>ktivity</w:t>
      </w:r>
      <w:r>
        <w:t>, ktoré budú podporené v rámci investičnej priority</w:t>
      </w:r>
      <w:bookmarkEnd w:id="30"/>
    </w:p>
    <w:p w:rsidR="004773A0" w:rsidRPr="004773A0" w:rsidRDefault="004773A0" w:rsidP="004773A0">
      <w:pPr>
        <w:pStyle w:val="Nadpis4"/>
      </w:pPr>
      <w:r>
        <w:t>Opis typu a príklady aktivít</w:t>
      </w:r>
    </w:p>
    <w:p w:rsidR="00D94757" w:rsidRPr="00336C1F" w:rsidRDefault="004773A0" w:rsidP="00D94757">
      <w:pPr>
        <w:spacing w:before="180" w:after="120"/>
        <w:rPr>
          <w:sz w:val="22"/>
          <w:szCs w:val="22"/>
        </w:rPr>
      </w:pPr>
      <w:r>
        <w:rPr>
          <w:sz w:val="22"/>
          <w:szCs w:val="22"/>
          <w:u w:val="single"/>
        </w:rPr>
        <w:t>Investičná priorita 7a) bude napĺňaná</w:t>
      </w:r>
      <w:r w:rsidR="00D94757" w:rsidRPr="00404A68">
        <w:rPr>
          <w:sz w:val="22"/>
          <w:szCs w:val="22"/>
          <w:u w:val="single"/>
        </w:rPr>
        <w:t xml:space="preserve"> prostredníctvom nasledujúcich aktivít</w:t>
      </w:r>
      <w:r w:rsidR="00D94757" w:rsidRPr="00336C1F">
        <w:rPr>
          <w:sz w:val="22"/>
          <w:szCs w:val="22"/>
        </w:rPr>
        <w:t>:</w:t>
      </w:r>
    </w:p>
    <w:p w:rsidR="00001DBB" w:rsidRDefault="00D94757" w:rsidP="00FE6025">
      <w:pPr>
        <w:numPr>
          <w:ilvl w:val="2"/>
          <w:numId w:val="26"/>
        </w:numPr>
        <w:tabs>
          <w:tab w:val="clear" w:pos="360"/>
        </w:tabs>
        <w:ind w:left="426" w:hanging="426"/>
        <w:jc w:val="both"/>
        <w:rPr>
          <w:sz w:val="22"/>
          <w:szCs w:val="22"/>
        </w:rPr>
      </w:pPr>
      <w:r>
        <w:rPr>
          <w:sz w:val="22"/>
          <w:szCs w:val="22"/>
        </w:rPr>
        <w:t>Výstavba diaľnic a rýchlostných ciest</w:t>
      </w:r>
      <w:r w:rsidR="00B468F6">
        <w:rPr>
          <w:sz w:val="22"/>
          <w:szCs w:val="22"/>
        </w:rPr>
        <w:t xml:space="preserve"> vrátane privádzačov</w:t>
      </w:r>
      <w:r>
        <w:rPr>
          <w:sz w:val="22"/>
          <w:szCs w:val="22"/>
        </w:rPr>
        <w:t xml:space="preserve"> (TEN-T CORE),</w:t>
      </w:r>
    </w:p>
    <w:p w:rsidR="00001DBB" w:rsidRDefault="00D94757" w:rsidP="00FE6025">
      <w:pPr>
        <w:numPr>
          <w:ilvl w:val="2"/>
          <w:numId w:val="26"/>
        </w:numPr>
        <w:tabs>
          <w:tab w:val="clear" w:pos="360"/>
        </w:tabs>
        <w:ind w:left="426" w:hanging="426"/>
        <w:jc w:val="both"/>
        <w:rPr>
          <w:sz w:val="22"/>
          <w:szCs w:val="22"/>
        </w:rPr>
      </w:pPr>
      <w:r w:rsidRPr="00001DBB">
        <w:rPr>
          <w:sz w:val="22"/>
          <w:szCs w:val="22"/>
        </w:rPr>
        <w:t>Budovanie inteligentných dopravných systémov,</w:t>
      </w:r>
    </w:p>
    <w:p w:rsidR="00001DBB" w:rsidRDefault="00D94757" w:rsidP="00FE6025">
      <w:pPr>
        <w:numPr>
          <w:ilvl w:val="2"/>
          <w:numId w:val="26"/>
        </w:numPr>
        <w:tabs>
          <w:tab w:val="clear" w:pos="360"/>
        </w:tabs>
        <w:ind w:left="426" w:hanging="426"/>
        <w:jc w:val="both"/>
        <w:rPr>
          <w:sz w:val="22"/>
          <w:szCs w:val="22"/>
        </w:rPr>
      </w:pPr>
      <w:r w:rsidRPr="00001DBB">
        <w:rPr>
          <w:sz w:val="22"/>
          <w:szCs w:val="22"/>
        </w:rPr>
        <w:t>Zvyšovanie bezpečnosti cestnej dopravy,</w:t>
      </w:r>
    </w:p>
    <w:p w:rsidR="00134C4D" w:rsidRDefault="00134C4D" w:rsidP="00FE6025">
      <w:pPr>
        <w:numPr>
          <w:ilvl w:val="2"/>
          <w:numId w:val="26"/>
        </w:numPr>
        <w:tabs>
          <w:tab w:val="clear" w:pos="360"/>
        </w:tabs>
        <w:ind w:left="426" w:hanging="426"/>
        <w:jc w:val="both"/>
        <w:rPr>
          <w:sz w:val="22"/>
          <w:szCs w:val="22"/>
        </w:rPr>
      </w:pPr>
      <w:r>
        <w:rPr>
          <w:sz w:val="22"/>
          <w:szCs w:val="22"/>
        </w:rPr>
        <w:t>Modernizácia ciest I. triedy v trasách TEN-T CORE,</w:t>
      </w:r>
    </w:p>
    <w:p w:rsidR="00D94757" w:rsidRPr="00001DBB" w:rsidRDefault="00D94757" w:rsidP="00FE6025">
      <w:pPr>
        <w:numPr>
          <w:ilvl w:val="2"/>
          <w:numId w:val="26"/>
        </w:numPr>
        <w:tabs>
          <w:tab w:val="clear" w:pos="360"/>
        </w:tabs>
        <w:ind w:left="426" w:hanging="426"/>
        <w:jc w:val="both"/>
        <w:rPr>
          <w:sz w:val="22"/>
          <w:szCs w:val="22"/>
        </w:rPr>
      </w:pPr>
      <w:r w:rsidRPr="00001DBB">
        <w:rPr>
          <w:sz w:val="22"/>
          <w:szCs w:val="22"/>
        </w:rPr>
        <w:t>Projektová príprava.</w:t>
      </w:r>
    </w:p>
    <w:p w:rsidR="00D94757" w:rsidRPr="00A34DD1" w:rsidRDefault="004167C1" w:rsidP="00FE6025">
      <w:pPr>
        <w:numPr>
          <w:ilvl w:val="2"/>
          <w:numId w:val="27"/>
        </w:numPr>
        <w:tabs>
          <w:tab w:val="clear" w:pos="360"/>
        </w:tabs>
        <w:spacing w:before="180" w:after="120"/>
        <w:ind w:left="851" w:hanging="425"/>
        <w:jc w:val="both"/>
        <w:rPr>
          <w:b/>
          <w:i/>
          <w:color w:val="548DD4" w:themeColor="text2" w:themeTint="99"/>
          <w:sz w:val="22"/>
          <w:szCs w:val="22"/>
        </w:rPr>
      </w:pPr>
      <w:r w:rsidRPr="00A34DD1">
        <w:rPr>
          <w:b/>
          <w:i/>
          <w:color w:val="548DD4" w:themeColor="text2" w:themeTint="99"/>
          <w:sz w:val="22"/>
          <w:szCs w:val="22"/>
        </w:rPr>
        <w:t>Výstavba diaľnic a rýchlostných ciest (TEN-T CORE)</w:t>
      </w:r>
    </w:p>
    <w:p w:rsidR="009553A0" w:rsidRDefault="004167C1" w:rsidP="004167C1">
      <w:pPr>
        <w:autoSpaceDE w:val="0"/>
        <w:autoSpaceDN w:val="0"/>
        <w:adjustRightInd w:val="0"/>
        <w:jc w:val="both"/>
        <w:rPr>
          <w:sz w:val="22"/>
          <w:szCs w:val="22"/>
        </w:rPr>
      </w:pPr>
      <w:r w:rsidRPr="004167C1">
        <w:rPr>
          <w:bCs/>
          <w:sz w:val="22"/>
          <w:szCs w:val="22"/>
        </w:rPr>
        <w:t>Pokrok dosiahnutý pri budovaní dopravnej infraštruktúry zaostáva z</w:t>
      </w:r>
      <w:r w:rsidR="001A701A">
        <w:rPr>
          <w:bCs/>
          <w:sz w:val="22"/>
          <w:szCs w:val="22"/>
        </w:rPr>
        <w:t xml:space="preserve">a dynamikou rozvoja ekonomiky, </w:t>
      </w:r>
      <w:r w:rsidRPr="004167C1">
        <w:rPr>
          <w:bCs/>
          <w:sz w:val="22"/>
          <w:szCs w:val="22"/>
        </w:rPr>
        <w:t>rastom prepravných nárokov</w:t>
      </w:r>
      <w:r w:rsidR="001A701A">
        <w:rPr>
          <w:bCs/>
          <w:sz w:val="22"/>
          <w:szCs w:val="22"/>
        </w:rPr>
        <w:t xml:space="preserve"> a spoločenskou objednávkou</w:t>
      </w:r>
      <w:r w:rsidRPr="004167C1">
        <w:rPr>
          <w:bCs/>
          <w:sz w:val="22"/>
          <w:szCs w:val="22"/>
        </w:rPr>
        <w:t xml:space="preserve"> a predstavuje významnú bariéru rastu a rozvoja zamestnanosti. Dopravná infraštruktúra tak nenapĺňa funkciu nástroja na zvýšenie atraktivity územia, jeho ekonomického potenciálu a kvality života obyvateľov</w:t>
      </w:r>
      <w:r w:rsidRPr="004167C1">
        <w:rPr>
          <w:sz w:val="22"/>
          <w:szCs w:val="22"/>
        </w:rPr>
        <w:t xml:space="preserve">. </w:t>
      </w:r>
      <w:r w:rsidRPr="00AD2EF1">
        <w:rPr>
          <w:sz w:val="22"/>
          <w:szCs w:val="22"/>
        </w:rPr>
        <w:t>Naopak, skôr brzdí integráciu slabších regiónov do širších územných a</w:t>
      </w:r>
      <w:r>
        <w:rPr>
          <w:sz w:val="22"/>
          <w:szCs w:val="22"/>
        </w:rPr>
        <w:t> </w:t>
      </w:r>
      <w:r w:rsidRPr="00AD2EF1">
        <w:rPr>
          <w:sz w:val="22"/>
          <w:szCs w:val="22"/>
        </w:rPr>
        <w:t xml:space="preserve">hospodárskych vzťahov. </w:t>
      </w:r>
    </w:p>
    <w:p w:rsidR="008D1467" w:rsidRDefault="004167C1" w:rsidP="009553A0">
      <w:pPr>
        <w:autoSpaceDE w:val="0"/>
        <w:autoSpaceDN w:val="0"/>
        <w:adjustRightInd w:val="0"/>
        <w:spacing w:before="180"/>
        <w:jc w:val="both"/>
        <w:rPr>
          <w:sz w:val="22"/>
          <w:szCs w:val="22"/>
        </w:rPr>
      </w:pPr>
      <w:r w:rsidRPr="00AD2EF1">
        <w:rPr>
          <w:sz w:val="22"/>
          <w:szCs w:val="22"/>
        </w:rPr>
        <w:t>Ra</w:t>
      </w:r>
      <w:r>
        <w:rPr>
          <w:sz w:val="22"/>
          <w:szCs w:val="22"/>
        </w:rPr>
        <w:t>stúce požiadavky na mobilitu sú </w:t>
      </w:r>
      <w:r w:rsidRPr="00AD2EF1">
        <w:rPr>
          <w:sz w:val="22"/>
          <w:szCs w:val="22"/>
        </w:rPr>
        <w:t>totiž na väčšine ťahov</w:t>
      </w:r>
      <w:r>
        <w:rPr>
          <w:sz w:val="22"/>
          <w:szCs w:val="22"/>
        </w:rPr>
        <w:t>,</w:t>
      </w:r>
      <w:r w:rsidRPr="00AD2EF1">
        <w:rPr>
          <w:sz w:val="22"/>
          <w:szCs w:val="22"/>
        </w:rPr>
        <w:t xml:space="preserve"> aj tých, ktoré sú súčasťou transeurópskej </w:t>
      </w:r>
      <w:r>
        <w:rPr>
          <w:sz w:val="22"/>
          <w:szCs w:val="22"/>
        </w:rPr>
        <w:t>cestnej</w:t>
      </w:r>
      <w:r w:rsidRPr="00AD2EF1">
        <w:rPr>
          <w:sz w:val="22"/>
          <w:szCs w:val="22"/>
        </w:rPr>
        <w:t xml:space="preserve"> siete (TEN-T)</w:t>
      </w:r>
      <w:r>
        <w:rPr>
          <w:sz w:val="22"/>
          <w:szCs w:val="22"/>
        </w:rPr>
        <w:t>,</w:t>
      </w:r>
      <w:r w:rsidRPr="00AD2EF1">
        <w:rPr>
          <w:sz w:val="22"/>
          <w:szCs w:val="22"/>
        </w:rPr>
        <w:t xml:space="preserve"> naďalej zabezpečované dominantne prostredníctvom ciest I. triedy</w:t>
      </w:r>
      <w:r w:rsidR="009553A0">
        <w:rPr>
          <w:sz w:val="22"/>
          <w:szCs w:val="22"/>
        </w:rPr>
        <w:t xml:space="preserve">. </w:t>
      </w:r>
      <w:r w:rsidR="003676B4">
        <w:rPr>
          <w:sz w:val="22"/>
          <w:szCs w:val="22"/>
        </w:rPr>
        <w:t>Problémom je preťaženie ciest I. triedy, prostredníctvom ktorých</w:t>
      </w:r>
      <w:r w:rsidR="003676B4" w:rsidRPr="005B798A">
        <w:rPr>
          <w:sz w:val="22"/>
          <w:szCs w:val="22"/>
        </w:rPr>
        <w:t xml:space="preserve"> sa </w:t>
      </w:r>
      <w:r w:rsidR="003676B4">
        <w:rPr>
          <w:sz w:val="22"/>
          <w:szCs w:val="22"/>
        </w:rPr>
        <w:t>realizuje</w:t>
      </w:r>
      <w:r w:rsidR="003676B4" w:rsidRPr="005B798A">
        <w:rPr>
          <w:sz w:val="22"/>
          <w:szCs w:val="22"/>
        </w:rPr>
        <w:t xml:space="preserve"> takmer 44 % dopravných výkonov</w:t>
      </w:r>
      <w:r w:rsidR="003676B4">
        <w:rPr>
          <w:sz w:val="22"/>
          <w:szCs w:val="22"/>
        </w:rPr>
        <w:t xml:space="preserve">. </w:t>
      </w:r>
      <w:r w:rsidR="003676B4" w:rsidRPr="005B798A">
        <w:rPr>
          <w:sz w:val="22"/>
          <w:szCs w:val="22"/>
        </w:rPr>
        <w:t>V</w:t>
      </w:r>
      <w:r w:rsidR="003676B4">
        <w:rPr>
          <w:sz w:val="22"/>
          <w:szCs w:val="22"/>
        </w:rPr>
        <w:t> </w:t>
      </w:r>
      <w:r w:rsidR="003676B4" w:rsidRPr="005B798A">
        <w:rPr>
          <w:sz w:val="22"/>
          <w:szCs w:val="22"/>
        </w:rPr>
        <w:t>porovnaní s</w:t>
      </w:r>
      <w:r w:rsidR="003676B4">
        <w:rPr>
          <w:sz w:val="22"/>
          <w:szCs w:val="22"/>
        </w:rPr>
        <w:t> </w:t>
      </w:r>
      <w:r w:rsidR="003676B4" w:rsidRPr="005B798A">
        <w:rPr>
          <w:sz w:val="22"/>
          <w:szCs w:val="22"/>
        </w:rPr>
        <w:t>diaľnicami a</w:t>
      </w:r>
      <w:r w:rsidR="003676B4">
        <w:rPr>
          <w:sz w:val="22"/>
          <w:szCs w:val="22"/>
        </w:rPr>
        <w:t> </w:t>
      </w:r>
      <w:r w:rsidR="003676B4" w:rsidRPr="005B798A">
        <w:rPr>
          <w:sz w:val="22"/>
          <w:szCs w:val="22"/>
        </w:rPr>
        <w:t>rýchlostnými cestami je to približne o</w:t>
      </w:r>
      <w:r w:rsidR="003676B4">
        <w:rPr>
          <w:sz w:val="22"/>
          <w:szCs w:val="22"/>
        </w:rPr>
        <w:t> 21 % viac.</w:t>
      </w:r>
    </w:p>
    <w:p w:rsidR="004167C1" w:rsidRDefault="004167C1" w:rsidP="009553A0">
      <w:pPr>
        <w:autoSpaceDE w:val="0"/>
        <w:autoSpaceDN w:val="0"/>
        <w:adjustRightInd w:val="0"/>
        <w:spacing w:before="180"/>
        <w:jc w:val="both"/>
        <w:rPr>
          <w:sz w:val="22"/>
          <w:szCs w:val="22"/>
        </w:rPr>
      </w:pPr>
      <w:r>
        <w:rPr>
          <w:sz w:val="22"/>
          <w:szCs w:val="22"/>
        </w:rPr>
        <w:t>Pre porovnanie, n</w:t>
      </w:r>
      <w:r w:rsidRPr="005B798A">
        <w:rPr>
          <w:sz w:val="22"/>
          <w:szCs w:val="22"/>
        </w:rPr>
        <w:t>a cestách II. a</w:t>
      </w:r>
      <w:r>
        <w:rPr>
          <w:sz w:val="22"/>
          <w:szCs w:val="22"/>
        </w:rPr>
        <w:t> </w:t>
      </w:r>
      <w:r w:rsidR="00AE12DF">
        <w:rPr>
          <w:sz w:val="22"/>
          <w:szCs w:val="22"/>
        </w:rPr>
        <w:t>III. triedy sa realizuje takmer 21</w:t>
      </w:r>
      <w:r w:rsidRPr="005B798A">
        <w:rPr>
          <w:sz w:val="22"/>
          <w:szCs w:val="22"/>
        </w:rPr>
        <w:t xml:space="preserve"> %, resp. 13 % dopravných výkonov</w:t>
      </w:r>
      <w:r w:rsidR="00AE12DF">
        <w:rPr>
          <w:rStyle w:val="Odkaznapoznmkupodiarou"/>
          <w:sz w:val="22"/>
          <w:szCs w:val="22"/>
        </w:rPr>
        <w:footnoteReference w:id="13"/>
      </w:r>
      <w:r w:rsidRPr="005B798A">
        <w:rPr>
          <w:sz w:val="22"/>
          <w:szCs w:val="22"/>
        </w:rPr>
        <w:t>.</w:t>
      </w:r>
      <w:r>
        <w:rPr>
          <w:sz w:val="22"/>
          <w:szCs w:val="22"/>
        </w:rPr>
        <w:t xml:space="preserve"> Mnohé</w:t>
      </w:r>
      <w:r w:rsidRPr="00AD2EF1">
        <w:rPr>
          <w:sz w:val="22"/>
          <w:szCs w:val="22"/>
        </w:rPr>
        <w:t xml:space="preserve"> </w:t>
      </w:r>
      <w:r>
        <w:rPr>
          <w:sz w:val="22"/>
          <w:szCs w:val="22"/>
        </w:rPr>
        <w:t xml:space="preserve">z ciest I. triedy sú pritom </w:t>
      </w:r>
      <w:r w:rsidRPr="00AD2EF1">
        <w:rPr>
          <w:sz w:val="22"/>
          <w:szCs w:val="22"/>
        </w:rPr>
        <w:t>trasované intravilánom miest a</w:t>
      </w:r>
      <w:r>
        <w:rPr>
          <w:sz w:val="22"/>
          <w:szCs w:val="22"/>
        </w:rPr>
        <w:t> </w:t>
      </w:r>
      <w:r w:rsidRPr="00AD2EF1">
        <w:rPr>
          <w:sz w:val="22"/>
          <w:szCs w:val="22"/>
        </w:rPr>
        <w:t xml:space="preserve">obcí, nespĺňajú </w:t>
      </w:r>
      <w:r w:rsidR="00814C84">
        <w:rPr>
          <w:sz w:val="22"/>
          <w:szCs w:val="22"/>
        </w:rPr>
        <w:t>základné</w:t>
      </w:r>
      <w:r>
        <w:rPr>
          <w:sz w:val="22"/>
          <w:szCs w:val="22"/>
        </w:rPr>
        <w:t xml:space="preserve"> štandardy v oblasti kapacity, bezpečnosti </w:t>
      </w:r>
      <w:r w:rsidRPr="00AD2EF1">
        <w:rPr>
          <w:sz w:val="22"/>
          <w:szCs w:val="22"/>
        </w:rPr>
        <w:t>a</w:t>
      </w:r>
      <w:r>
        <w:rPr>
          <w:sz w:val="22"/>
          <w:szCs w:val="22"/>
        </w:rPr>
        <w:t> </w:t>
      </w:r>
      <w:r w:rsidRPr="00AD2EF1">
        <w:rPr>
          <w:sz w:val="22"/>
          <w:szCs w:val="22"/>
        </w:rPr>
        <w:t>v</w:t>
      </w:r>
      <w:r>
        <w:rPr>
          <w:sz w:val="22"/>
          <w:szCs w:val="22"/>
        </w:rPr>
        <w:t> </w:t>
      </w:r>
      <w:r w:rsidRPr="00AD2EF1">
        <w:rPr>
          <w:sz w:val="22"/>
          <w:szCs w:val="22"/>
        </w:rPr>
        <w:t xml:space="preserve">dôsledku dlhodobého preťaženia </w:t>
      </w:r>
      <w:r>
        <w:rPr>
          <w:sz w:val="22"/>
          <w:szCs w:val="22"/>
        </w:rPr>
        <w:t xml:space="preserve">už </w:t>
      </w:r>
      <w:r w:rsidRPr="00AD2EF1">
        <w:rPr>
          <w:sz w:val="22"/>
          <w:szCs w:val="22"/>
        </w:rPr>
        <w:t>ani kvalitatívne parametre.</w:t>
      </w:r>
    </w:p>
    <w:p w:rsidR="009D2BD5" w:rsidRDefault="009D2BD5" w:rsidP="009D2BD5">
      <w:pPr>
        <w:spacing w:before="180"/>
        <w:jc w:val="both"/>
        <w:rPr>
          <w:sz w:val="22"/>
          <w:szCs w:val="22"/>
        </w:rPr>
      </w:pPr>
      <w:r w:rsidRPr="00956CF4">
        <w:rPr>
          <w:b/>
          <w:sz w:val="22"/>
          <w:szCs w:val="22"/>
        </w:rPr>
        <w:t>Celková plánovaná dĺžka diaľničnej siete SR predstavuje 705 km a je definovaná ťahmi D1, D2, D3 a D4. K 01.01.2013 bolo z plánovaného rozsahu diaľnic v prevádzke necelých 62 %.</w:t>
      </w:r>
      <w:r w:rsidRPr="004901C9">
        <w:rPr>
          <w:sz w:val="22"/>
          <w:szCs w:val="22"/>
        </w:rPr>
        <w:t xml:space="preserve"> V</w:t>
      </w:r>
      <w:r>
        <w:rPr>
          <w:sz w:val="22"/>
          <w:szCs w:val="22"/>
        </w:rPr>
        <w:t> celej dĺžke je v prevádzke</w:t>
      </w:r>
      <w:r w:rsidRPr="004901C9">
        <w:rPr>
          <w:sz w:val="22"/>
          <w:szCs w:val="22"/>
        </w:rPr>
        <w:t xml:space="preserve"> len diaľnica D2 </w:t>
      </w:r>
      <w:r>
        <w:rPr>
          <w:sz w:val="22"/>
          <w:szCs w:val="22"/>
        </w:rPr>
        <w:t xml:space="preserve">o dĺžke </w:t>
      </w:r>
      <w:r w:rsidRPr="004901C9">
        <w:rPr>
          <w:sz w:val="22"/>
          <w:szCs w:val="22"/>
        </w:rPr>
        <w:t>cca 80 km</w:t>
      </w:r>
      <w:r>
        <w:rPr>
          <w:sz w:val="22"/>
          <w:szCs w:val="22"/>
        </w:rPr>
        <w:t>.</w:t>
      </w:r>
      <w:r w:rsidRPr="004901C9">
        <w:rPr>
          <w:sz w:val="22"/>
          <w:szCs w:val="22"/>
        </w:rPr>
        <w:t xml:space="preserve"> </w:t>
      </w:r>
      <w:r>
        <w:rPr>
          <w:sz w:val="22"/>
          <w:szCs w:val="22"/>
        </w:rPr>
        <w:t>Projektové a realizačné práce na ostatných diaľničných ťahoch sú v rôznom štádiu rozpracovanosti.</w:t>
      </w:r>
    </w:p>
    <w:p w:rsidR="008D1467" w:rsidRPr="005B798A" w:rsidRDefault="008D1467" w:rsidP="008D1467">
      <w:pPr>
        <w:spacing w:before="180"/>
        <w:jc w:val="both"/>
        <w:rPr>
          <w:sz w:val="22"/>
          <w:szCs w:val="22"/>
        </w:rPr>
      </w:pPr>
      <w:r>
        <w:rPr>
          <w:sz w:val="22"/>
          <w:szCs w:val="22"/>
        </w:rPr>
        <w:t>P</w:t>
      </w:r>
      <w:r w:rsidRPr="005B798A">
        <w:rPr>
          <w:sz w:val="22"/>
          <w:szCs w:val="22"/>
        </w:rPr>
        <w:t>riemerný ročný prírastok diaľnic a</w:t>
      </w:r>
      <w:r>
        <w:rPr>
          <w:sz w:val="22"/>
          <w:szCs w:val="22"/>
        </w:rPr>
        <w:t> </w:t>
      </w:r>
      <w:r w:rsidRPr="005B798A">
        <w:rPr>
          <w:sz w:val="22"/>
          <w:szCs w:val="22"/>
        </w:rPr>
        <w:t xml:space="preserve">diaľničných privádzačov </w:t>
      </w:r>
      <w:r>
        <w:rPr>
          <w:sz w:val="22"/>
          <w:szCs w:val="22"/>
        </w:rPr>
        <w:t xml:space="preserve">na Slovensku </w:t>
      </w:r>
      <w:r w:rsidR="00A50DEB" w:rsidRPr="005B798A">
        <w:rPr>
          <w:sz w:val="22"/>
          <w:szCs w:val="22"/>
        </w:rPr>
        <w:t xml:space="preserve">od roku 2006 </w:t>
      </w:r>
      <w:r>
        <w:rPr>
          <w:sz w:val="22"/>
          <w:szCs w:val="22"/>
        </w:rPr>
        <w:t xml:space="preserve">predstavuje </w:t>
      </w:r>
      <w:r w:rsidRPr="005B798A">
        <w:rPr>
          <w:sz w:val="22"/>
          <w:szCs w:val="22"/>
        </w:rPr>
        <w:t>len 12,3 km</w:t>
      </w:r>
      <w:r w:rsidR="007B4B46">
        <w:rPr>
          <w:rStyle w:val="Odkaznapoznmkupodiarou"/>
          <w:sz w:val="22"/>
          <w:szCs w:val="22"/>
        </w:rPr>
        <w:footnoteReference w:id="14"/>
      </w:r>
      <w:r w:rsidRPr="005B798A">
        <w:rPr>
          <w:sz w:val="22"/>
          <w:szCs w:val="22"/>
        </w:rPr>
        <w:t>. Po ukončení úsekov, ktoré sú vo výstavbe od roku 2011</w:t>
      </w:r>
      <w:r>
        <w:rPr>
          <w:sz w:val="22"/>
          <w:szCs w:val="22"/>
        </w:rPr>
        <w:t xml:space="preserve"> (spolufinancované zo zdrojov Operačného programu Doprava)</w:t>
      </w:r>
      <w:r w:rsidRPr="005B798A">
        <w:rPr>
          <w:sz w:val="22"/>
          <w:szCs w:val="22"/>
        </w:rPr>
        <w:t xml:space="preserve"> sa tempo výstavby zvýši na 18 km/rok.</w:t>
      </w:r>
    </w:p>
    <w:p w:rsidR="008D1467" w:rsidRDefault="008D1467" w:rsidP="008D1467">
      <w:pPr>
        <w:spacing w:before="180"/>
        <w:jc w:val="both"/>
        <w:rPr>
          <w:sz w:val="22"/>
          <w:szCs w:val="22"/>
        </w:rPr>
      </w:pPr>
      <w:r w:rsidRPr="00515ED4">
        <w:rPr>
          <w:sz w:val="22"/>
          <w:szCs w:val="22"/>
        </w:rPr>
        <w:t>Z</w:t>
      </w:r>
      <w:r>
        <w:rPr>
          <w:sz w:val="22"/>
          <w:szCs w:val="22"/>
        </w:rPr>
        <w:t> </w:t>
      </w:r>
      <w:r w:rsidRPr="00515ED4">
        <w:rPr>
          <w:sz w:val="22"/>
          <w:szCs w:val="22"/>
        </w:rPr>
        <w:t>pohľadu hustoty diaľnic patrí Slovenská republika stále ku krajinám s</w:t>
      </w:r>
      <w:r>
        <w:rPr>
          <w:sz w:val="22"/>
          <w:szCs w:val="22"/>
        </w:rPr>
        <w:t> </w:t>
      </w:r>
      <w:r w:rsidRPr="00515ED4">
        <w:rPr>
          <w:sz w:val="22"/>
          <w:szCs w:val="22"/>
        </w:rPr>
        <w:t>najnižšou hustotou tohto</w:t>
      </w:r>
      <w:r>
        <w:rPr>
          <w:sz w:val="22"/>
          <w:szCs w:val="22"/>
        </w:rPr>
        <w:t xml:space="preserve"> typu dopravnej infraštruktúry a </w:t>
      </w:r>
      <w:r w:rsidRPr="00515ED4">
        <w:rPr>
          <w:sz w:val="22"/>
          <w:szCs w:val="22"/>
        </w:rPr>
        <w:t xml:space="preserve">svojou hustotou diaľničnej siete značne zaostáva za priemerom </w:t>
      </w:r>
      <w:r>
        <w:rPr>
          <w:sz w:val="22"/>
          <w:szCs w:val="22"/>
        </w:rPr>
        <w:t xml:space="preserve">krajín </w:t>
      </w:r>
      <w:r w:rsidRPr="00515ED4">
        <w:rPr>
          <w:sz w:val="22"/>
          <w:szCs w:val="22"/>
        </w:rPr>
        <w:t>EÚ 28. Priemerná hustota v</w:t>
      </w:r>
      <w:r>
        <w:rPr>
          <w:sz w:val="22"/>
          <w:szCs w:val="22"/>
        </w:rPr>
        <w:t> </w:t>
      </w:r>
      <w:r w:rsidRPr="00515ED4">
        <w:rPr>
          <w:sz w:val="22"/>
          <w:szCs w:val="22"/>
        </w:rPr>
        <w:t>týchto krajinách (bez Malty a</w:t>
      </w:r>
      <w:r>
        <w:rPr>
          <w:sz w:val="22"/>
          <w:szCs w:val="22"/>
        </w:rPr>
        <w:t> </w:t>
      </w:r>
      <w:r w:rsidRPr="00515ED4">
        <w:rPr>
          <w:sz w:val="22"/>
          <w:szCs w:val="22"/>
        </w:rPr>
        <w:t>Lotyšska) je na úrovni 16,4 km/</w:t>
      </w:r>
      <w:r>
        <w:rPr>
          <w:sz w:val="22"/>
          <w:szCs w:val="22"/>
        </w:rPr>
        <w:t xml:space="preserve">tis. </w:t>
      </w:r>
      <w:r w:rsidRPr="00515ED4">
        <w:rPr>
          <w:sz w:val="22"/>
          <w:szCs w:val="22"/>
        </w:rPr>
        <w:t>km</w:t>
      </w:r>
      <w:r w:rsidRPr="00515ED4">
        <w:rPr>
          <w:sz w:val="22"/>
          <w:szCs w:val="22"/>
          <w:vertAlign w:val="superscript"/>
        </w:rPr>
        <w:t>2</w:t>
      </w:r>
      <w:r w:rsidRPr="00515ED4">
        <w:rPr>
          <w:sz w:val="22"/>
          <w:szCs w:val="22"/>
        </w:rPr>
        <w:t xml:space="preserve"> (zdroj: Eurostat).</w:t>
      </w:r>
      <w:r w:rsidRPr="008D1467">
        <w:rPr>
          <w:sz w:val="22"/>
          <w:szCs w:val="22"/>
        </w:rPr>
        <w:t xml:space="preserve"> </w:t>
      </w:r>
      <w:r>
        <w:rPr>
          <w:sz w:val="22"/>
          <w:szCs w:val="22"/>
        </w:rPr>
        <w:t>K 01.01.2012 bola</w:t>
      </w:r>
      <w:r w:rsidRPr="00515ED4">
        <w:rPr>
          <w:sz w:val="22"/>
          <w:szCs w:val="22"/>
        </w:rPr>
        <w:t xml:space="preserve"> hustota diaľnic trasovaných v</w:t>
      </w:r>
      <w:r>
        <w:rPr>
          <w:sz w:val="22"/>
          <w:szCs w:val="22"/>
        </w:rPr>
        <w:t> </w:t>
      </w:r>
      <w:r w:rsidRPr="00515ED4">
        <w:rPr>
          <w:sz w:val="22"/>
          <w:szCs w:val="22"/>
        </w:rPr>
        <w:t xml:space="preserve">koridoroch TEN-T </w:t>
      </w:r>
      <w:r>
        <w:rPr>
          <w:sz w:val="22"/>
          <w:szCs w:val="22"/>
        </w:rPr>
        <w:t>na Slovensku na úrovni cca 8,55 </w:t>
      </w:r>
      <w:r w:rsidRPr="00515ED4">
        <w:rPr>
          <w:sz w:val="22"/>
          <w:szCs w:val="22"/>
        </w:rPr>
        <w:t>km/tis. km</w:t>
      </w:r>
      <w:r w:rsidRPr="00515ED4">
        <w:rPr>
          <w:sz w:val="22"/>
          <w:szCs w:val="22"/>
          <w:vertAlign w:val="superscript"/>
        </w:rPr>
        <w:t>2</w:t>
      </w:r>
      <w:r>
        <w:rPr>
          <w:sz w:val="22"/>
          <w:szCs w:val="22"/>
        </w:rPr>
        <w:t xml:space="preserve"> (Graf 1).</w:t>
      </w:r>
    </w:p>
    <w:p w:rsidR="009D2BD5" w:rsidRDefault="009D2BD5" w:rsidP="009D2BD5">
      <w:pPr>
        <w:pStyle w:val="Graf"/>
      </w:pPr>
      <w:r>
        <w:t>Hustota diaľničnej siete k 1.1.2012 (km/tis. km</w:t>
      </w:r>
      <w:r w:rsidRPr="00015053">
        <w:rPr>
          <w:vertAlign w:val="superscript"/>
        </w:rPr>
        <w:t>2</w:t>
      </w:r>
      <w:r>
        <w:t>) – medzinárodné porovnanie</w:t>
      </w:r>
    </w:p>
    <w:p w:rsidR="009D2BD5" w:rsidRPr="008D1467" w:rsidRDefault="009D2BD5" w:rsidP="008D1467">
      <w:pPr>
        <w:pStyle w:val="Graf"/>
        <w:numPr>
          <w:ilvl w:val="0"/>
          <w:numId w:val="0"/>
        </w:numPr>
        <w:spacing w:before="120"/>
        <w:jc w:val="center"/>
      </w:pPr>
      <w:r>
        <w:rPr>
          <w:noProof/>
          <w:snapToGrid/>
          <w:lang w:eastAsia="sk-SK"/>
        </w:rPr>
        <w:drawing>
          <wp:inline distT="0" distB="0" distL="0" distR="0">
            <wp:extent cx="5486400" cy="1440000"/>
            <wp:effectExtent l="0" t="0" r="0" b="0"/>
            <wp:docPr id="52"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9D2BD5" w:rsidRDefault="009D2BD5" w:rsidP="009D2BD5">
      <w:pPr>
        <w:spacing w:before="180"/>
        <w:jc w:val="both"/>
        <w:rPr>
          <w:sz w:val="22"/>
          <w:szCs w:val="22"/>
        </w:rPr>
      </w:pPr>
      <w:r w:rsidRPr="004901C9">
        <w:rPr>
          <w:sz w:val="22"/>
          <w:szCs w:val="22"/>
        </w:rPr>
        <w:lastRenderedPageBreak/>
        <w:t>Čo sa týka siete rýchlostných ciest, tá je definovaná ťahmi R1, R2, R3, R4, R5, R6, R7 a</w:t>
      </w:r>
      <w:r>
        <w:rPr>
          <w:sz w:val="22"/>
          <w:szCs w:val="22"/>
        </w:rPr>
        <w:t> </w:t>
      </w:r>
      <w:r w:rsidRPr="004901C9">
        <w:rPr>
          <w:sz w:val="22"/>
          <w:szCs w:val="22"/>
        </w:rPr>
        <w:t>R8, pričom jej celková dĺžka aj s</w:t>
      </w:r>
      <w:r>
        <w:rPr>
          <w:sz w:val="22"/>
          <w:szCs w:val="22"/>
        </w:rPr>
        <w:t> </w:t>
      </w:r>
      <w:r w:rsidRPr="004901C9">
        <w:rPr>
          <w:sz w:val="22"/>
          <w:szCs w:val="22"/>
        </w:rPr>
        <w:t>peážami (spoločnými úsekmi) predstavuje 1 263 km. Dobudovanosť siete rýchlostných ciest bola k</w:t>
      </w:r>
      <w:r>
        <w:rPr>
          <w:sz w:val="22"/>
          <w:szCs w:val="22"/>
        </w:rPr>
        <w:t> 01.01.2013</w:t>
      </w:r>
      <w:r w:rsidRPr="004901C9">
        <w:rPr>
          <w:sz w:val="22"/>
          <w:szCs w:val="22"/>
        </w:rPr>
        <w:t xml:space="preserve"> na úrovni 19,6 %. Najväčší stupeň dobudovanosti je </w:t>
      </w:r>
      <w:r>
        <w:rPr>
          <w:sz w:val="22"/>
          <w:szCs w:val="22"/>
        </w:rPr>
        <w:t xml:space="preserve">dosiahnutý </w:t>
      </w:r>
      <w:r w:rsidRPr="004901C9">
        <w:rPr>
          <w:sz w:val="22"/>
          <w:szCs w:val="22"/>
        </w:rPr>
        <w:t>na ťahu R1, na ktorom je v</w:t>
      </w:r>
      <w:r>
        <w:rPr>
          <w:sz w:val="22"/>
          <w:szCs w:val="22"/>
        </w:rPr>
        <w:t> </w:t>
      </w:r>
      <w:r w:rsidRPr="004901C9">
        <w:rPr>
          <w:sz w:val="22"/>
          <w:szCs w:val="22"/>
        </w:rPr>
        <w:t>prevádzke ucelený úsek Trnava – Banská Bystrica. Naproti tomu</w:t>
      </w:r>
      <w:r>
        <w:rPr>
          <w:sz w:val="22"/>
          <w:szCs w:val="22"/>
        </w:rPr>
        <w:t>, na </w:t>
      </w:r>
      <w:r w:rsidRPr="004901C9">
        <w:rPr>
          <w:sz w:val="22"/>
          <w:szCs w:val="22"/>
        </w:rPr>
        <w:t>rýchlostných cestách R5, R7 a</w:t>
      </w:r>
      <w:r>
        <w:rPr>
          <w:sz w:val="22"/>
          <w:szCs w:val="22"/>
        </w:rPr>
        <w:t> </w:t>
      </w:r>
      <w:r w:rsidRPr="004901C9">
        <w:rPr>
          <w:sz w:val="22"/>
          <w:szCs w:val="22"/>
        </w:rPr>
        <w:t>R8 nebola doposiaľ vôbec začatá</w:t>
      </w:r>
      <w:r>
        <w:rPr>
          <w:sz w:val="22"/>
          <w:szCs w:val="22"/>
        </w:rPr>
        <w:t xml:space="preserve"> výstavba a jednotlivé úseky sú </w:t>
      </w:r>
      <w:r w:rsidRPr="004901C9">
        <w:rPr>
          <w:sz w:val="22"/>
          <w:szCs w:val="22"/>
        </w:rPr>
        <w:t>zatiaľ len vo fáze prípravy.</w:t>
      </w:r>
    </w:p>
    <w:p w:rsidR="009D2BD5" w:rsidRDefault="009D2BD5" w:rsidP="009D2BD5">
      <w:pPr>
        <w:autoSpaceDE w:val="0"/>
        <w:autoSpaceDN w:val="0"/>
        <w:adjustRightInd w:val="0"/>
        <w:spacing w:before="180"/>
        <w:jc w:val="both"/>
        <w:rPr>
          <w:sz w:val="22"/>
          <w:szCs w:val="22"/>
        </w:rPr>
      </w:pPr>
      <w:r w:rsidRPr="005B798A">
        <w:rPr>
          <w:sz w:val="22"/>
          <w:szCs w:val="22"/>
        </w:rPr>
        <w:t>Vedľa nesporných pozitívnych vplyvov cestnej dopravy je rozvoj motorizmu sprevádzaný celou škálou negatívnych javov. Medzi najzávažnejšie z</w:t>
      </w:r>
      <w:r>
        <w:rPr>
          <w:sz w:val="22"/>
          <w:szCs w:val="22"/>
        </w:rPr>
        <w:t> </w:t>
      </w:r>
      <w:r w:rsidRPr="005B798A">
        <w:rPr>
          <w:sz w:val="22"/>
          <w:szCs w:val="22"/>
        </w:rPr>
        <w:t>nich je možné zaradiť dopravné nehody a</w:t>
      </w:r>
      <w:r>
        <w:rPr>
          <w:sz w:val="22"/>
          <w:szCs w:val="22"/>
        </w:rPr>
        <w:t> </w:t>
      </w:r>
      <w:r w:rsidRPr="005B798A">
        <w:rPr>
          <w:sz w:val="22"/>
          <w:szCs w:val="22"/>
        </w:rPr>
        <w:t xml:space="preserve">ich následky. </w:t>
      </w:r>
      <w:r>
        <w:rPr>
          <w:color w:val="000000" w:themeColor="text1"/>
          <w:sz w:val="22"/>
          <w:szCs w:val="22"/>
        </w:rPr>
        <w:t>Tie</w:t>
      </w:r>
      <w:r>
        <w:rPr>
          <w:sz w:val="22"/>
          <w:szCs w:val="22"/>
        </w:rPr>
        <w:t xml:space="preserve"> sú závažným </w:t>
      </w:r>
      <w:r w:rsidRPr="005B798A">
        <w:rPr>
          <w:sz w:val="22"/>
          <w:szCs w:val="22"/>
        </w:rPr>
        <w:t xml:space="preserve">celospoločenským problémom premietajúcim sa vo všetkých sférach ľudskej činnosti. </w:t>
      </w:r>
      <w:r>
        <w:rPr>
          <w:sz w:val="22"/>
          <w:szCs w:val="22"/>
        </w:rPr>
        <w:t>Hlavným c</w:t>
      </w:r>
      <w:r w:rsidRPr="005B798A">
        <w:rPr>
          <w:sz w:val="22"/>
          <w:szCs w:val="22"/>
        </w:rPr>
        <w:t xml:space="preserve">ieľom každej spoločnosti by </w:t>
      </w:r>
      <w:r>
        <w:rPr>
          <w:sz w:val="22"/>
          <w:szCs w:val="22"/>
        </w:rPr>
        <w:t>preto</w:t>
      </w:r>
      <w:r w:rsidRPr="005B798A">
        <w:rPr>
          <w:sz w:val="22"/>
          <w:szCs w:val="22"/>
        </w:rPr>
        <w:t xml:space="preserve"> malo byť znižovanie počt</w:t>
      </w:r>
      <w:r>
        <w:rPr>
          <w:sz w:val="22"/>
          <w:szCs w:val="22"/>
        </w:rPr>
        <w:t>u a zmierňovanie následkov dopravných nehôd.</w:t>
      </w:r>
    </w:p>
    <w:p w:rsidR="004167C1" w:rsidRDefault="004167C1" w:rsidP="004167C1">
      <w:pPr>
        <w:autoSpaceDE w:val="0"/>
        <w:autoSpaceDN w:val="0"/>
        <w:adjustRightInd w:val="0"/>
        <w:spacing w:before="180"/>
        <w:jc w:val="both"/>
        <w:rPr>
          <w:sz w:val="22"/>
          <w:szCs w:val="22"/>
        </w:rPr>
      </w:pPr>
      <w:r w:rsidRPr="005B798A">
        <w:rPr>
          <w:sz w:val="22"/>
          <w:szCs w:val="22"/>
        </w:rPr>
        <w:t>Z</w:t>
      </w:r>
      <w:r>
        <w:rPr>
          <w:sz w:val="22"/>
          <w:szCs w:val="22"/>
        </w:rPr>
        <w:t> </w:t>
      </w:r>
      <w:r w:rsidRPr="005B798A">
        <w:rPr>
          <w:sz w:val="22"/>
          <w:szCs w:val="22"/>
        </w:rPr>
        <w:t>vývoja dopravných výkonov vidieť evidentný nárast cestnej doprav</w:t>
      </w:r>
      <w:r>
        <w:rPr>
          <w:sz w:val="22"/>
          <w:szCs w:val="22"/>
        </w:rPr>
        <w:t>y na všetkých kategóriách ciest.</w:t>
      </w:r>
      <w:r w:rsidRPr="005B798A">
        <w:rPr>
          <w:sz w:val="22"/>
          <w:szCs w:val="22"/>
        </w:rPr>
        <w:t xml:space="preserve"> </w:t>
      </w:r>
      <w:r>
        <w:rPr>
          <w:sz w:val="22"/>
          <w:szCs w:val="22"/>
        </w:rPr>
        <w:t>N</w:t>
      </w:r>
      <w:r w:rsidRPr="005B798A">
        <w:rPr>
          <w:sz w:val="22"/>
          <w:szCs w:val="22"/>
        </w:rPr>
        <w:t>ajväčší nárast však môžeme sledovať pri diaľniciach a</w:t>
      </w:r>
      <w:r>
        <w:rPr>
          <w:sz w:val="22"/>
          <w:szCs w:val="22"/>
        </w:rPr>
        <w:t> </w:t>
      </w:r>
      <w:r w:rsidRPr="005B798A">
        <w:rPr>
          <w:sz w:val="22"/>
          <w:szCs w:val="22"/>
        </w:rPr>
        <w:t>rýchlostných cestách, na ktorých došlo v</w:t>
      </w:r>
      <w:r>
        <w:rPr>
          <w:sz w:val="22"/>
          <w:szCs w:val="22"/>
        </w:rPr>
        <w:t> </w:t>
      </w:r>
      <w:r w:rsidRPr="005B798A">
        <w:rPr>
          <w:sz w:val="22"/>
          <w:szCs w:val="22"/>
        </w:rPr>
        <w:t>porovnaní s</w:t>
      </w:r>
      <w:r>
        <w:rPr>
          <w:sz w:val="22"/>
          <w:szCs w:val="22"/>
        </w:rPr>
        <w:t> </w:t>
      </w:r>
      <w:r w:rsidRPr="005B798A">
        <w:rPr>
          <w:sz w:val="22"/>
          <w:szCs w:val="22"/>
        </w:rPr>
        <w:t>rokom 2005 k</w:t>
      </w:r>
      <w:r>
        <w:rPr>
          <w:sz w:val="22"/>
          <w:szCs w:val="22"/>
        </w:rPr>
        <w:t> </w:t>
      </w:r>
      <w:r w:rsidRPr="005B798A">
        <w:rPr>
          <w:sz w:val="22"/>
          <w:szCs w:val="22"/>
        </w:rPr>
        <w:t>nárastu dopravných výkonov o</w:t>
      </w:r>
      <w:r>
        <w:rPr>
          <w:sz w:val="22"/>
          <w:szCs w:val="22"/>
        </w:rPr>
        <w:t> </w:t>
      </w:r>
      <w:r w:rsidRPr="005B798A">
        <w:rPr>
          <w:sz w:val="22"/>
          <w:szCs w:val="22"/>
        </w:rPr>
        <w:t>66 %. To súvisí najmä s</w:t>
      </w:r>
      <w:r>
        <w:rPr>
          <w:sz w:val="22"/>
          <w:szCs w:val="22"/>
        </w:rPr>
        <w:t> </w:t>
      </w:r>
      <w:r w:rsidRPr="005B798A">
        <w:rPr>
          <w:sz w:val="22"/>
          <w:szCs w:val="22"/>
        </w:rPr>
        <w:t>postupným dokončovaním nových úsekov diaľnic a</w:t>
      </w:r>
      <w:r>
        <w:rPr>
          <w:sz w:val="22"/>
          <w:szCs w:val="22"/>
        </w:rPr>
        <w:t> </w:t>
      </w:r>
      <w:r w:rsidRPr="005B798A">
        <w:rPr>
          <w:sz w:val="22"/>
          <w:szCs w:val="22"/>
        </w:rPr>
        <w:t>rýchlostných komunikácií. Ukazuje sa tak, že výstavba diaľnic a</w:t>
      </w:r>
      <w:r>
        <w:rPr>
          <w:sz w:val="22"/>
          <w:szCs w:val="22"/>
        </w:rPr>
        <w:t> </w:t>
      </w:r>
      <w:r w:rsidRPr="005B798A">
        <w:rPr>
          <w:sz w:val="22"/>
          <w:szCs w:val="22"/>
        </w:rPr>
        <w:t>rýchlostných ciest plní svoju úlohu a</w:t>
      </w:r>
      <w:r>
        <w:rPr>
          <w:sz w:val="22"/>
          <w:szCs w:val="22"/>
        </w:rPr>
        <w:t> </w:t>
      </w:r>
      <w:r w:rsidRPr="005B798A">
        <w:rPr>
          <w:sz w:val="22"/>
          <w:szCs w:val="22"/>
        </w:rPr>
        <w:t>po ich dokončení je na nich prevedená značná časť dopravných výkonov. Zároveň sa prejavuje vplyv indukcie dopravy, kedy novovybudovaná kvalitná cesta na seba prevezme aj časť výkonov realizovaných pred jej dostavbou po iných komunikáciách ako tých, ktoré diaľnice</w:t>
      </w:r>
      <w:r w:rsidR="00814C84">
        <w:rPr>
          <w:sz w:val="22"/>
          <w:szCs w:val="22"/>
        </w:rPr>
        <w:t xml:space="preserve"> primárne</w:t>
      </w:r>
      <w:r w:rsidRPr="005B798A">
        <w:rPr>
          <w:sz w:val="22"/>
          <w:szCs w:val="22"/>
        </w:rPr>
        <w:t xml:space="preserve"> nahradila.</w:t>
      </w:r>
    </w:p>
    <w:p w:rsidR="003676B4" w:rsidRDefault="004167C1" w:rsidP="004167C1">
      <w:pPr>
        <w:autoSpaceDE w:val="0"/>
        <w:autoSpaceDN w:val="0"/>
        <w:adjustRightInd w:val="0"/>
        <w:spacing w:before="180"/>
        <w:jc w:val="both"/>
        <w:rPr>
          <w:sz w:val="22"/>
          <w:szCs w:val="22"/>
        </w:rPr>
      </w:pPr>
      <w:r w:rsidRPr="0040795B">
        <w:rPr>
          <w:sz w:val="22"/>
          <w:szCs w:val="22"/>
        </w:rPr>
        <w:t>Budovanie diaľničnej siete má dôležitý význam pri zvyšovaní dostupnosti regiónov, skracovaní prepravného času, úspore paliva</w:t>
      </w:r>
      <w:r w:rsidRPr="0044578F">
        <w:rPr>
          <w:sz w:val="22"/>
          <w:szCs w:val="22"/>
        </w:rPr>
        <w:t>, zvyšovaní produktivity práce</w:t>
      </w:r>
      <w:r>
        <w:rPr>
          <w:sz w:val="22"/>
          <w:szCs w:val="22"/>
        </w:rPr>
        <w:t xml:space="preserve">, </w:t>
      </w:r>
      <w:r w:rsidRPr="0040795B">
        <w:rPr>
          <w:sz w:val="22"/>
          <w:szCs w:val="22"/>
        </w:rPr>
        <w:t xml:space="preserve">znižovaní </w:t>
      </w:r>
      <w:r>
        <w:rPr>
          <w:sz w:val="22"/>
          <w:szCs w:val="22"/>
        </w:rPr>
        <w:t xml:space="preserve">nehodovosti a </w:t>
      </w:r>
      <w:r w:rsidRPr="0040795B">
        <w:rPr>
          <w:sz w:val="22"/>
          <w:szCs w:val="22"/>
        </w:rPr>
        <w:t>nepriaznivých vplyvov</w:t>
      </w:r>
      <w:r>
        <w:rPr>
          <w:sz w:val="22"/>
          <w:szCs w:val="22"/>
        </w:rPr>
        <w:t xml:space="preserve"> na </w:t>
      </w:r>
      <w:r w:rsidRPr="0040795B">
        <w:rPr>
          <w:sz w:val="22"/>
          <w:szCs w:val="22"/>
        </w:rPr>
        <w:t>životné prostredie</w:t>
      </w:r>
      <w:r>
        <w:rPr>
          <w:sz w:val="22"/>
          <w:szCs w:val="22"/>
        </w:rPr>
        <w:t xml:space="preserve"> </w:t>
      </w:r>
      <w:r w:rsidRPr="0040795B">
        <w:rPr>
          <w:sz w:val="22"/>
          <w:szCs w:val="22"/>
        </w:rPr>
        <w:t>a</w:t>
      </w:r>
      <w:r>
        <w:rPr>
          <w:sz w:val="22"/>
          <w:szCs w:val="22"/>
        </w:rPr>
        <w:t> </w:t>
      </w:r>
      <w:r w:rsidRPr="0040795B">
        <w:rPr>
          <w:sz w:val="22"/>
          <w:szCs w:val="22"/>
        </w:rPr>
        <w:t>v</w:t>
      </w:r>
      <w:r>
        <w:rPr>
          <w:sz w:val="22"/>
          <w:szCs w:val="22"/>
        </w:rPr>
        <w:t> </w:t>
      </w:r>
      <w:r w:rsidRPr="0040795B">
        <w:rPr>
          <w:sz w:val="22"/>
          <w:szCs w:val="22"/>
        </w:rPr>
        <w:t>neposlednom rade priaznivo vplýva na stav cestných komunikáci</w:t>
      </w:r>
      <w:r>
        <w:rPr>
          <w:sz w:val="22"/>
          <w:szCs w:val="22"/>
        </w:rPr>
        <w:t xml:space="preserve">í nižšieho dopravného významu. </w:t>
      </w:r>
    </w:p>
    <w:p w:rsidR="003676B4" w:rsidRDefault="003676B4" w:rsidP="004167C1">
      <w:pPr>
        <w:autoSpaceDE w:val="0"/>
        <w:autoSpaceDN w:val="0"/>
        <w:adjustRightInd w:val="0"/>
        <w:spacing w:before="180"/>
        <w:jc w:val="both"/>
        <w:rPr>
          <w:sz w:val="22"/>
          <w:szCs w:val="22"/>
        </w:rPr>
      </w:pPr>
      <w:r>
        <w:rPr>
          <w:sz w:val="22"/>
          <w:szCs w:val="22"/>
        </w:rPr>
        <w:t xml:space="preserve">Problematickou je intenzita tranzitnej prepravy. </w:t>
      </w:r>
      <w:r w:rsidRPr="00546E92">
        <w:rPr>
          <w:sz w:val="22"/>
          <w:szCs w:val="22"/>
        </w:rPr>
        <w:t>V súčasnosti medzi mestá s kritickými hodnotami vzdialeného tranzitu prechádzajúceho intravilánom (jeho podielom na celkovej doprave v meste) patria Košice (78 %), Trnava (73 %), Ružomberok (62 %), Šahy (51 %), Žiar nad Hronom (51 %), Levoča (50 %). Tranzitnú dopravu z týchto miest by mali pre</w:t>
      </w:r>
      <w:r>
        <w:rPr>
          <w:sz w:val="22"/>
          <w:szCs w:val="22"/>
        </w:rPr>
        <w:t>vziať plánované úseky diaľnic a </w:t>
      </w:r>
      <w:r w:rsidRPr="00546E92">
        <w:rPr>
          <w:sz w:val="22"/>
          <w:szCs w:val="22"/>
        </w:rPr>
        <w:t>rýchlostných ciest v ich priestore. Viac ako 40 % vzdialeného tranzitu prechádza tiež mestami Martin, Turčianske Teplice, Vranov nad Topľou, pri Bratislave sú to Šamorín a Dunajská Streda, kritická situácia s tranzitom je v Čadci. Podiel vzdialenej tranzit</w:t>
      </w:r>
      <w:r>
        <w:rPr>
          <w:sz w:val="22"/>
          <w:szCs w:val="22"/>
        </w:rPr>
        <w:t>nej dopravy tesne pod 40 % je v </w:t>
      </w:r>
      <w:r w:rsidRPr="00546E92">
        <w:rPr>
          <w:sz w:val="22"/>
          <w:szCs w:val="22"/>
        </w:rPr>
        <w:t>aglomeráciách Žiliny a Prešova, kde je potrebné bezodkladne začať riešiť túto neúnosnú situáciu.</w:t>
      </w:r>
    </w:p>
    <w:p w:rsidR="004167C1" w:rsidRDefault="004167C1" w:rsidP="004167C1">
      <w:pPr>
        <w:autoSpaceDE w:val="0"/>
        <w:autoSpaceDN w:val="0"/>
        <w:adjustRightInd w:val="0"/>
        <w:spacing w:before="180"/>
        <w:jc w:val="both"/>
        <w:rPr>
          <w:sz w:val="22"/>
          <w:szCs w:val="22"/>
        </w:rPr>
      </w:pPr>
      <w:r w:rsidRPr="0040795B">
        <w:rPr>
          <w:sz w:val="22"/>
          <w:szCs w:val="22"/>
        </w:rPr>
        <w:t>Prínos realizácie veľkých projektov tejto prioritnej osi na zlepšenie časovej dostupnosti Slovenska a</w:t>
      </w:r>
      <w:r>
        <w:rPr>
          <w:sz w:val="22"/>
          <w:szCs w:val="22"/>
        </w:rPr>
        <w:t> </w:t>
      </w:r>
      <w:r w:rsidRPr="0040795B">
        <w:rPr>
          <w:sz w:val="22"/>
          <w:szCs w:val="22"/>
        </w:rPr>
        <w:t xml:space="preserve">jeho regionálnych </w:t>
      </w:r>
      <w:r>
        <w:rPr>
          <w:sz w:val="22"/>
          <w:szCs w:val="22"/>
        </w:rPr>
        <w:t>centier je uvedené v Prílohe 3.</w:t>
      </w:r>
    </w:p>
    <w:p w:rsidR="004167C1" w:rsidRPr="005B798A" w:rsidRDefault="00B468F6" w:rsidP="004167C1">
      <w:pPr>
        <w:autoSpaceDE w:val="0"/>
        <w:autoSpaceDN w:val="0"/>
        <w:adjustRightInd w:val="0"/>
        <w:spacing w:before="120" w:after="120"/>
        <w:jc w:val="both"/>
        <w:rPr>
          <w:sz w:val="23"/>
          <w:szCs w:val="23"/>
          <w:u w:val="single"/>
        </w:rPr>
      </w:pPr>
      <w:r>
        <w:rPr>
          <w:sz w:val="23"/>
          <w:szCs w:val="23"/>
          <w:u w:val="single"/>
        </w:rPr>
        <w:t>Výstavba diaľnic</w:t>
      </w:r>
    </w:p>
    <w:p w:rsidR="004167C1" w:rsidRDefault="004167C1" w:rsidP="004167C1">
      <w:pPr>
        <w:autoSpaceDE w:val="0"/>
        <w:autoSpaceDN w:val="0"/>
        <w:adjustRightInd w:val="0"/>
        <w:spacing w:before="120"/>
        <w:jc w:val="both"/>
        <w:rPr>
          <w:b/>
          <w:sz w:val="22"/>
          <w:szCs w:val="22"/>
        </w:rPr>
      </w:pPr>
      <w:r w:rsidRPr="00AD2EF1">
        <w:rPr>
          <w:b/>
          <w:sz w:val="22"/>
          <w:szCs w:val="22"/>
        </w:rPr>
        <w:t>V</w:t>
      </w:r>
      <w:r>
        <w:rPr>
          <w:b/>
          <w:sz w:val="22"/>
          <w:szCs w:val="22"/>
        </w:rPr>
        <w:t> </w:t>
      </w:r>
      <w:r w:rsidRPr="00AD2EF1">
        <w:rPr>
          <w:b/>
          <w:sz w:val="22"/>
          <w:szCs w:val="22"/>
        </w:rPr>
        <w:t>oblasti rozvoja diaľničnej siete budú investície smerovať predovšetkým do výstavby nových úsekov diaľnic D1 a</w:t>
      </w:r>
      <w:r>
        <w:rPr>
          <w:b/>
          <w:sz w:val="22"/>
          <w:szCs w:val="22"/>
        </w:rPr>
        <w:t> </w:t>
      </w:r>
      <w:r w:rsidRPr="00AD2EF1">
        <w:rPr>
          <w:b/>
          <w:sz w:val="22"/>
          <w:szCs w:val="22"/>
        </w:rPr>
        <w:t>D3</w:t>
      </w:r>
      <w:r>
        <w:rPr>
          <w:sz w:val="22"/>
          <w:szCs w:val="22"/>
        </w:rPr>
        <w:t xml:space="preserve">. </w:t>
      </w:r>
      <w:r w:rsidRPr="00D315C6">
        <w:rPr>
          <w:b/>
          <w:sz w:val="22"/>
          <w:szCs w:val="22"/>
        </w:rPr>
        <w:t>Tieto úseky budú viesť k ďalšiemu rozširovaniu diaľničnej siete v smere na východ a sever krajiny a odstránia kľúčové úzke mi</w:t>
      </w:r>
      <w:r w:rsidR="00724E8C">
        <w:rPr>
          <w:b/>
          <w:sz w:val="22"/>
          <w:szCs w:val="22"/>
        </w:rPr>
        <w:t>esta a prekážky na cestnej sieti</w:t>
      </w:r>
      <w:r w:rsidRPr="00D315C6">
        <w:rPr>
          <w:b/>
          <w:sz w:val="22"/>
          <w:szCs w:val="22"/>
        </w:rPr>
        <w:t xml:space="preserve"> </w:t>
      </w:r>
      <w:r>
        <w:rPr>
          <w:b/>
          <w:sz w:val="22"/>
          <w:szCs w:val="22"/>
        </w:rPr>
        <w:t xml:space="preserve">základnej siete </w:t>
      </w:r>
      <w:r w:rsidRPr="00D315C6">
        <w:rPr>
          <w:b/>
          <w:sz w:val="22"/>
          <w:szCs w:val="22"/>
        </w:rPr>
        <w:t>TEN-T.</w:t>
      </w:r>
    </w:p>
    <w:p w:rsidR="004167C1" w:rsidRPr="000F36B5" w:rsidRDefault="004167C1" w:rsidP="004167C1">
      <w:pPr>
        <w:autoSpaceDE w:val="0"/>
        <w:autoSpaceDN w:val="0"/>
        <w:adjustRightInd w:val="0"/>
        <w:spacing w:before="180"/>
        <w:jc w:val="both"/>
        <w:rPr>
          <w:sz w:val="22"/>
          <w:szCs w:val="22"/>
          <w:u w:val="single"/>
        </w:rPr>
      </w:pPr>
      <w:r w:rsidRPr="000F36B5">
        <w:rPr>
          <w:sz w:val="22"/>
          <w:szCs w:val="22"/>
          <w:u w:val="single"/>
        </w:rPr>
        <w:t>Diaľnica D1</w:t>
      </w:r>
    </w:p>
    <w:p w:rsidR="004167C1" w:rsidRDefault="004167C1" w:rsidP="004167C1">
      <w:pPr>
        <w:autoSpaceDE w:val="0"/>
        <w:autoSpaceDN w:val="0"/>
        <w:adjustRightInd w:val="0"/>
        <w:spacing w:before="120" w:after="120"/>
        <w:jc w:val="both"/>
        <w:rPr>
          <w:sz w:val="22"/>
          <w:szCs w:val="22"/>
        </w:rPr>
      </w:pPr>
      <w:r w:rsidRPr="001914FF">
        <w:rPr>
          <w:sz w:val="22"/>
          <w:szCs w:val="22"/>
        </w:rPr>
        <w:t>Nosnou časťou uceleného dopravného systému SR z pohľadu cestnej infraštruktúry je multimodálny koridor</w:t>
      </w:r>
      <w:r>
        <w:rPr>
          <w:sz w:val="22"/>
          <w:szCs w:val="22"/>
        </w:rPr>
        <w:t xml:space="preserve"> </w:t>
      </w:r>
      <w:r w:rsidRPr="001914FF">
        <w:rPr>
          <w:sz w:val="22"/>
          <w:szCs w:val="22"/>
        </w:rPr>
        <w:t>Va, ktorý je zároveň sídelnou rozvojovou osou I. stupňa lokalizovanou v koridore Bratislava – Trenčín – Žilina</w:t>
      </w:r>
      <w:r>
        <w:rPr>
          <w:sz w:val="22"/>
          <w:szCs w:val="22"/>
        </w:rPr>
        <w:t xml:space="preserve"> </w:t>
      </w:r>
      <w:r w:rsidRPr="001914FF">
        <w:rPr>
          <w:sz w:val="22"/>
          <w:szCs w:val="22"/>
        </w:rPr>
        <w:t>– Poprad – Prešov – Košice</w:t>
      </w:r>
      <w:r>
        <w:rPr>
          <w:sz w:val="22"/>
          <w:szCs w:val="22"/>
        </w:rPr>
        <w:t>. Hlavnú rozvojovú os kopíruje diaľnica D1, ktorá spája osem z </w:t>
      </w:r>
      <w:r w:rsidRPr="00DB55A3">
        <w:rPr>
          <w:sz w:val="22"/>
          <w:szCs w:val="22"/>
        </w:rPr>
        <w:t>desiatich najväčších miest Slovenska zo zápa</w:t>
      </w:r>
      <w:r>
        <w:rPr>
          <w:sz w:val="22"/>
          <w:szCs w:val="22"/>
        </w:rPr>
        <w:t xml:space="preserve">du cez sever krajiny na východ. </w:t>
      </w:r>
    </w:p>
    <w:p w:rsidR="004167C1" w:rsidRDefault="004167C1" w:rsidP="004167C1">
      <w:pPr>
        <w:autoSpaceDE w:val="0"/>
        <w:autoSpaceDN w:val="0"/>
        <w:adjustRightInd w:val="0"/>
        <w:spacing w:before="180"/>
        <w:jc w:val="both"/>
        <w:rPr>
          <w:sz w:val="22"/>
          <w:szCs w:val="22"/>
        </w:rPr>
      </w:pPr>
      <w:r w:rsidRPr="00DB55A3">
        <w:rPr>
          <w:sz w:val="22"/>
          <w:szCs w:val="22"/>
        </w:rPr>
        <w:t xml:space="preserve">Ide o najdlhšiu diaľnicu prechádzajúcu naprieč celou krajinou </w:t>
      </w:r>
      <w:r>
        <w:rPr>
          <w:sz w:val="22"/>
          <w:szCs w:val="22"/>
        </w:rPr>
        <w:t xml:space="preserve">o dĺžke 516 km. Diaľnica </w:t>
      </w:r>
      <w:r w:rsidRPr="00DB55A3">
        <w:rPr>
          <w:sz w:val="22"/>
          <w:szCs w:val="22"/>
        </w:rPr>
        <w:t>je predovšetkým vo svojej severnej časti trasovaná v náročných terénnych po</w:t>
      </w:r>
      <w:r>
        <w:rPr>
          <w:sz w:val="22"/>
          <w:szCs w:val="22"/>
        </w:rPr>
        <w:t>dmienkach s množstvom tunelov a </w:t>
      </w:r>
      <w:r w:rsidRPr="00DB55A3">
        <w:rPr>
          <w:sz w:val="22"/>
          <w:szCs w:val="22"/>
        </w:rPr>
        <w:t>mostných objektov</w:t>
      </w:r>
      <w:r>
        <w:rPr>
          <w:sz w:val="22"/>
          <w:szCs w:val="22"/>
        </w:rPr>
        <w:t xml:space="preserve">. Z tohto dôvodu je </w:t>
      </w:r>
      <w:r w:rsidRPr="00DB55A3">
        <w:rPr>
          <w:sz w:val="22"/>
          <w:szCs w:val="22"/>
        </w:rPr>
        <w:t xml:space="preserve">realizácia </w:t>
      </w:r>
      <w:r>
        <w:rPr>
          <w:sz w:val="22"/>
          <w:szCs w:val="22"/>
        </w:rPr>
        <w:t>D1 mimoriadne technicky, časovo a </w:t>
      </w:r>
      <w:r w:rsidRPr="00DB55A3">
        <w:rPr>
          <w:sz w:val="22"/>
          <w:szCs w:val="22"/>
        </w:rPr>
        <w:t xml:space="preserve">finančne náročná. </w:t>
      </w:r>
      <w:r>
        <w:rPr>
          <w:sz w:val="22"/>
          <w:szCs w:val="22"/>
        </w:rPr>
        <w:t xml:space="preserve">K 01.01.2013 bolo v prevádzke 312 km a vo výstavbe 72 km diaľnice. Ako kľúčové úzke miesto na diaľnici D1 je možné označiť úsek medzi Žilinou a Liptovským Mikulášom, </w:t>
      </w:r>
      <w:r>
        <w:rPr>
          <w:sz w:val="22"/>
          <w:szCs w:val="22"/>
        </w:rPr>
        <w:lastRenderedPageBreak/>
        <w:t>kde je doprava prevádzkovaná</w:t>
      </w:r>
      <w:r w:rsidR="00724E8C">
        <w:rPr>
          <w:sz w:val="22"/>
          <w:szCs w:val="22"/>
        </w:rPr>
        <w:t xml:space="preserve"> na ceste</w:t>
      </w:r>
      <w:r>
        <w:rPr>
          <w:sz w:val="22"/>
          <w:szCs w:val="22"/>
        </w:rPr>
        <w:t xml:space="preserve"> I. triedy (I/18), pričom na niektorých úsekoch je dosahovaná intenzita dopravy na úrovni 20-37 tis. voz./24 hod.</w:t>
      </w:r>
    </w:p>
    <w:p w:rsidR="004167C1" w:rsidRDefault="004167C1" w:rsidP="004167C1">
      <w:pPr>
        <w:autoSpaceDE w:val="0"/>
        <w:autoSpaceDN w:val="0"/>
        <w:adjustRightInd w:val="0"/>
        <w:spacing w:before="180"/>
        <w:jc w:val="both"/>
        <w:rPr>
          <w:sz w:val="22"/>
          <w:szCs w:val="22"/>
        </w:rPr>
      </w:pPr>
      <w:r w:rsidRPr="00EA5186">
        <w:rPr>
          <w:b/>
          <w:sz w:val="22"/>
          <w:szCs w:val="22"/>
        </w:rPr>
        <w:t xml:space="preserve">Stratégia rozvoja </w:t>
      </w:r>
      <w:r>
        <w:rPr>
          <w:b/>
          <w:sz w:val="22"/>
          <w:szCs w:val="22"/>
        </w:rPr>
        <w:t>diaľnice D1</w:t>
      </w:r>
      <w:r w:rsidRPr="00EA5186">
        <w:rPr>
          <w:b/>
          <w:sz w:val="22"/>
          <w:szCs w:val="22"/>
        </w:rPr>
        <w:t xml:space="preserve"> kontinuálne nadviaže na programové obdobie </w:t>
      </w:r>
      <w:r w:rsidR="00FC7AF9">
        <w:rPr>
          <w:b/>
          <w:sz w:val="22"/>
          <w:szCs w:val="22"/>
        </w:rPr>
        <w:t>2007</w:t>
      </w:r>
      <w:r w:rsidRPr="00EA5186">
        <w:rPr>
          <w:b/>
          <w:sz w:val="22"/>
          <w:szCs w:val="22"/>
        </w:rPr>
        <w:t xml:space="preserve"> – 2013</w:t>
      </w:r>
      <w:r>
        <w:rPr>
          <w:b/>
          <w:sz w:val="22"/>
          <w:szCs w:val="22"/>
        </w:rPr>
        <w:t>, resp. predchádzajúcu pomoc a finančné prostriedky budú</w:t>
      </w:r>
      <w:r w:rsidRPr="00EA5186">
        <w:rPr>
          <w:b/>
          <w:sz w:val="22"/>
          <w:szCs w:val="22"/>
        </w:rPr>
        <w:t> </w:t>
      </w:r>
      <w:r>
        <w:rPr>
          <w:b/>
          <w:sz w:val="22"/>
          <w:szCs w:val="22"/>
        </w:rPr>
        <w:t xml:space="preserve">smerované </w:t>
      </w:r>
      <w:r w:rsidRPr="00EA5186">
        <w:rPr>
          <w:b/>
          <w:sz w:val="22"/>
          <w:szCs w:val="22"/>
        </w:rPr>
        <w:t xml:space="preserve">prioritne </w:t>
      </w:r>
      <w:r>
        <w:rPr>
          <w:b/>
          <w:sz w:val="22"/>
          <w:szCs w:val="22"/>
        </w:rPr>
        <w:t>na</w:t>
      </w:r>
      <w:r w:rsidRPr="00EA5186">
        <w:rPr>
          <w:b/>
          <w:sz w:val="22"/>
          <w:szCs w:val="22"/>
        </w:rPr>
        <w:t xml:space="preserve"> </w:t>
      </w:r>
      <w:r>
        <w:rPr>
          <w:b/>
          <w:sz w:val="22"/>
          <w:szCs w:val="22"/>
        </w:rPr>
        <w:t>spolufinancovanie veľkých projektov, ktoré sa realizujú vo fázach</w:t>
      </w:r>
      <w:r w:rsidRPr="00EA5186">
        <w:rPr>
          <w:b/>
          <w:sz w:val="22"/>
          <w:szCs w:val="22"/>
        </w:rPr>
        <w:t>.</w:t>
      </w:r>
      <w:r>
        <w:rPr>
          <w:b/>
          <w:sz w:val="22"/>
          <w:szCs w:val="22"/>
        </w:rPr>
        <w:t xml:space="preserve"> </w:t>
      </w:r>
      <w:r>
        <w:rPr>
          <w:sz w:val="22"/>
          <w:szCs w:val="22"/>
        </w:rPr>
        <w:t>Zo zdrojov prioritnej osi bude prioritne financovaná projektová príprava a výstavba týchto úsekov:</w:t>
      </w:r>
    </w:p>
    <w:p w:rsidR="004167C1" w:rsidRDefault="004167C1" w:rsidP="00FE6025">
      <w:pPr>
        <w:pStyle w:val="Odsekzoznamu"/>
        <w:numPr>
          <w:ilvl w:val="0"/>
          <w:numId w:val="28"/>
        </w:numPr>
        <w:autoSpaceDE w:val="0"/>
        <w:autoSpaceDN w:val="0"/>
        <w:adjustRightInd w:val="0"/>
        <w:spacing w:before="120"/>
        <w:jc w:val="both"/>
        <w:rPr>
          <w:sz w:val="22"/>
          <w:szCs w:val="22"/>
        </w:rPr>
      </w:pPr>
      <w:r>
        <w:rPr>
          <w:sz w:val="22"/>
          <w:szCs w:val="22"/>
        </w:rPr>
        <w:t>D1 Hričovské Podhradie – Lietavská Lúčka (2. fáza),</w:t>
      </w:r>
    </w:p>
    <w:p w:rsidR="004167C1" w:rsidRDefault="004167C1" w:rsidP="00FE6025">
      <w:pPr>
        <w:pStyle w:val="Odsekzoznamu"/>
        <w:numPr>
          <w:ilvl w:val="0"/>
          <w:numId w:val="28"/>
        </w:numPr>
        <w:autoSpaceDE w:val="0"/>
        <w:autoSpaceDN w:val="0"/>
        <w:adjustRightInd w:val="0"/>
        <w:spacing w:before="120"/>
        <w:jc w:val="both"/>
        <w:rPr>
          <w:sz w:val="22"/>
          <w:szCs w:val="22"/>
        </w:rPr>
      </w:pPr>
      <w:r>
        <w:rPr>
          <w:sz w:val="22"/>
          <w:szCs w:val="22"/>
        </w:rPr>
        <w:t>D1 Lietavská Lúčka – Višňové – Dubná Skala</w:t>
      </w:r>
      <w:r w:rsidR="00724E8C">
        <w:rPr>
          <w:sz w:val="22"/>
          <w:szCs w:val="22"/>
        </w:rPr>
        <w:t xml:space="preserve"> (2. fáza)</w:t>
      </w:r>
      <w:r>
        <w:rPr>
          <w:sz w:val="22"/>
          <w:szCs w:val="22"/>
        </w:rPr>
        <w:t>,</w:t>
      </w:r>
    </w:p>
    <w:p w:rsidR="004167C1" w:rsidRDefault="004167C1" w:rsidP="00FE6025">
      <w:pPr>
        <w:pStyle w:val="Odsekzoznamu"/>
        <w:numPr>
          <w:ilvl w:val="0"/>
          <w:numId w:val="28"/>
        </w:numPr>
        <w:autoSpaceDE w:val="0"/>
        <w:autoSpaceDN w:val="0"/>
        <w:adjustRightInd w:val="0"/>
        <w:spacing w:before="120"/>
        <w:jc w:val="both"/>
        <w:rPr>
          <w:sz w:val="22"/>
          <w:szCs w:val="22"/>
        </w:rPr>
      </w:pPr>
      <w:r>
        <w:rPr>
          <w:sz w:val="22"/>
          <w:szCs w:val="22"/>
        </w:rPr>
        <w:t>D1 Hubová – Ivachnová (2. fáza),</w:t>
      </w:r>
    </w:p>
    <w:p w:rsidR="004167C1" w:rsidRDefault="004167C1" w:rsidP="00FE6025">
      <w:pPr>
        <w:pStyle w:val="Odsekzoznamu"/>
        <w:numPr>
          <w:ilvl w:val="0"/>
          <w:numId w:val="28"/>
        </w:numPr>
        <w:autoSpaceDE w:val="0"/>
        <w:autoSpaceDN w:val="0"/>
        <w:adjustRightInd w:val="0"/>
        <w:spacing w:before="120"/>
        <w:jc w:val="both"/>
        <w:rPr>
          <w:sz w:val="22"/>
          <w:szCs w:val="22"/>
        </w:rPr>
      </w:pPr>
      <w:r>
        <w:rPr>
          <w:sz w:val="22"/>
          <w:szCs w:val="22"/>
        </w:rPr>
        <w:t>D1 Turany – Hubová,</w:t>
      </w:r>
    </w:p>
    <w:p w:rsidR="004167C1" w:rsidRDefault="004167C1" w:rsidP="00FE6025">
      <w:pPr>
        <w:pStyle w:val="Odsekzoznamu"/>
        <w:numPr>
          <w:ilvl w:val="0"/>
          <w:numId w:val="28"/>
        </w:numPr>
        <w:autoSpaceDE w:val="0"/>
        <w:autoSpaceDN w:val="0"/>
        <w:adjustRightInd w:val="0"/>
        <w:spacing w:before="120"/>
        <w:jc w:val="both"/>
        <w:rPr>
          <w:sz w:val="22"/>
          <w:szCs w:val="22"/>
        </w:rPr>
      </w:pPr>
      <w:r>
        <w:rPr>
          <w:sz w:val="22"/>
          <w:szCs w:val="22"/>
        </w:rPr>
        <w:t>D1 Budimír – Bidovce,</w:t>
      </w:r>
    </w:p>
    <w:p w:rsidR="004167C1" w:rsidRDefault="004167C1" w:rsidP="00FE6025">
      <w:pPr>
        <w:pStyle w:val="Odsekzoznamu"/>
        <w:numPr>
          <w:ilvl w:val="0"/>
          <w:numId w:val="28"/>
        </w:numPr>
        <w:autoSpaceDE w:val="0"/>
        <w:autoSpaceDN w:val="0"/>
        <w:adjustRightInd w:val="0"/>
        <w:spacing w:before="120"/>
        <w:jc w:val="both"/>
        <w:rPr>
          <w:sz w:val="22"/>
          <w:szCs w:val="22"/>
        </w:rPr>
      </w:pPr>
      <w:r>
        <w:rPr>
          <w:sz w:val="22"/>
          <w:szCs w:val="22"/>
        </w:rPr>
        <w:t>D1 Prešov, západ – Prešov, juh.</w:t>
      </w:r>
    </w:p>
    <w:p w:rsidR="004167C1" w:rsidRDefault="004167C1" w:rsidP="004167C1">
      <w:pPr>
        <w:autoSpaceDE w:val="0"/>
        <w:autoSpaceDN w:val="0"/>
        <w:adjustRightInd w:val="0"/>
        <w:spacing w:before="240"/>
        <w:jc w:val="both"/>
        <w:rPr>
          <w:sz w:val="22"/>
          <w:szCs w:val="22"/>
        </w:rPr>
      </w:pPr>
      <w:r>
        <w:rPr>
          <w:sz w:val="22"/>
          <w:szCs w:val="22"/>
        </w:rPr>
        <w:t>Ukončením výstavby všetkých úsekov diaľnice D1, rozostavaných pred rokom 2014, ako aj tých, ktoré budú spolufinancované z OPII, dôjde v horizonte niekoľkých rokov k súvislému prepojeniu dvoch najväčších miest SR (Bratislavy a Košíc) kvalitnou cestnou infraštruktúrou o celkovej dĺžke cca 442 km.</w:t>
      </w:r>
    </w:p>
    <w:p w:rsidR="004167C1" w:rsidRPr="000F36B5" w:rsidRDefault="004167C1" w:rsidP="004167C1">
      <w:pPr>
        <w:autoSpaceDE w:val="0"/>
        <w:autoSpaceDN w:val="0"/>
        <w:adjustRightInd w:val="0"/>
        <w:spacing w:before="120" w:after="120"/>
        <w:jc w:val="both"/>
        <w:rPr>
          <w:sz w:val="22"/>
          <w:szCs w:val="22"/>
          <w:u w:val="single"/>
        </w:rPr>
      </w:pPr>
      <w:r>
        <w:rPr>
          <w:sz w:val="22"/>
          <w:szCs w:val="22"/>
          <w:u w:val="single"/>
        </w:rPr>
        <w:t>Diaľnica D3</w:t>
      </w:r>
    </w:p>
    <w:p w:rsidR="004167C1" w:rsidRDefault="004167C1" w:rsidP="004167C1">
      <w:pPr>
        <w:autoSpaceDE w:val="0"/>
        <w:autoSpaceDN w:val="0"/>
        <w:adjustRightInd w:val="0"/>
        <w:jc w:val="both"/>
        <w:rPr>
          <w:sz w:val="22"/>
          <w:szCs w:val="22"/>
        </w:rPr>
      </w:pPr>
      <w:r w:rsidRPr="00221562">
        <w:rPr>
          <w:sz w:val="22"/>
          <w:szCs w:val="22"/>
        </w:rPr>
        <w:t>Diaľnica D3 je dôležitá z pohľadu se</w:t>
      </w:r>
      <w:r>
        <w:rPr>
          <w:sz w:val="22"/>
          <w:szCs w:val="22"/>
        </w:rPr>
        <w:t>verojužného prepojenia na Poľskú</w:t>
      </w:r>
      <w:r w:rsidRPr="00221562">
        <w:rPr>
          <w:sz w:val="22"/>
          <w:szCs w:val="22"/>
        </w:rPr>
        <w:t xml:space="preserve"> a Českú republiku. </w:t>
      </w:r>
      <w:r>
        <w:rPr>
          <w:sz w:val="22"/>
          <w:szCs w:val="22"/>
        </w:rPr>
        <w:t xml:space="preserve">Celková plánovaná dĺžka diaľnice D3 je 59,8 km, z toho k 01.01.2013 bolo potrebné </w:t>
      </w:r>
      <w:r w:rsidRPr="00221562">
        <w:rPr>
          <w:sz w:val="22"/>
          <w:szCs w:val="22"/>
        </w:rPr>
        <w:t>dokončiť viac ako 5</w:t>
      </w:r>
      <w:r>
        <w:rPr>
          <w:sz w:val="22"/>
          <w:szCs w:val="22"/>
        </w:rPr>
        <w:t>0 </w:t>
      </w:r>
      <w:r w:rsidRPr="00221562">
        <w:rPr>
          <w:sz w:val="22"/>
          <w:szCs w:val="22"/>
        </w:rPr>
        <w:t>km.</w:t>
      </w:r>
    </w:p>
    <w:p w:rsidR="004167C1" w:rsidRDefault="004167C1" w:rsidP="004167C1">
      <w:pPr>
        <w:autoSpaceDE w:val="0"/>
        <w:autoSpaceDN w:val="0"/>
        <w:adjustRightInd w:val="0"/>
        <w:spacing w:before="180"/>
        <w:jc w:val="both"/>
        <w:rPr>
          <w:sz w:val="22"/>
          <w:szCs w:val="22"/>
        </w:rPr>
      </w:pPr>
      <w:r>
        <w:rPr>
          <w:sz w:val="22"/>
          <w:szCs w:val="22"/>
        </w:rPr>
        <w:t>Zo zdrojov prioritnej osi bude prioritne financovaná projektová príprava a výstavba týchto úsekov:</w:t>
      </w:r>
    </w:p>
    <w:p w:rsidR="004167C1" w:rsidRDefault="004167C1" w:rsidP="00FE6025">
      <w:pPr>
        <w:pStyle w:val="Odsekzoznamu"/>
        <w:numPr>
          <w:ilvl w:val="0"/>
          <w:numId w:val="28"/>
        </w:numPr>
        <w:autoSpaceDE w:val="0"/>
        <w:autoSpaceDN w:val="0"/>
        <w:adjustRightInd w:val="0"/>
        <w:spacing w:before="120"/>
        <w:jc w:val="both"/>
        <w:rPr>
          <w:sz w:val="22"/>
          <w:szCs w:val="22"/>
        </w:rPr>
      </w:pPr>
      <w:r>
        <w:rPr>
          <w:sz w:val="22"/>
          <w:szCs w:val="22"/>
        </w:rPr>
        <w:t>D3 Svrčinovec – Skalité (2. fáza)/alt. zo zdrojov NPE,</w:t>
      </w:r>
    </w:p>
    <w:p w:rsidR="004167C1" w:rsidRDefault="004167C1" w:rsidP="00FE6025">
      <w:pPr>
        <w:pStyle w:val="Odsekzoznamu"/>
        <w:numPr>
          <w:ilvl w:val="0"/>
          <w:numId w:val="28"/>
        </w:numPr>
        <w:autoSpaceDE w:val="0"/>
        <w:autoSpaceDN w:val="0"/>
        <w:adjustRightInd w:val="0"/>
        <w:spacing w:before="120"/>
        <w:jc w:val="both"/>
        <w:rPr>
          <w:sz w:val="22"/>
          <w:szCs w:val="22"/>
        </w:rPr>
      </w:pPr>
      <w:r>
        <w:rPr>
          <w:sz w:val="22"/>
          <w:szCs w:val="22"/>
        </w:rPr>
        <w:t>D3 Čadca, Bukov – Svrčinovec,</w:t>
      </w:r>
    </w:p>
    <w:p w:rsidR="004167C1" w:rsidRDefault="004167C1" w:rsidP="00FE6025">
      <w:pPr>
        <w:pStyle w:val="Odsekzoznamu"/>
        <w:numPr>
          <w:ilvl w:val="0"/>
          <w:numId w:val="28"/>
        </w:numPr>
        <w:autoSpaceDE w:val="0"/>
        <w:autoSpaceDN w:val="0"/>
        <w:adjustRightInd w:val="0"/>
        <w:spacing w:before="120"/>
        <w:jc w:val="both"/>
        <w:rPr>
          <w:sz w:val="22"/>
          <w:szCs w:val="22"/>
        </w:rPr>
      </w:pPr>
      <w:r>
        <w:rPr>
          <w:sz w:val="22"/>
          <w:szCs w:val="22"/>
        </w:rPr>
        <w:t>D3 Žilina, Strážov – Žilina, Brodno (2. fáza),</w:t>
      </w:r>
    </w:p>
    <w:p w:rsidR="004167C1" w:rsidRDefault="004167C1" w:rsidP="00FE6025">
      <w:pPr>
        <w:pStyle w:val="Odsekzoznamu"/>
        <w:numPr>
          <w:ilvl w:val="0"/>
          <w:numId w:val="28"/>
        </w:numPr>
        <w:autoSpaceDE w:val="0"/>
        <w:autoSpaceDN w:val="0"/>
        <w:adjustRightInd w:val="0"/>
        <w:spacing w:before="120"/>
        <w:jc w:val="both"/>
        <w:rPr>
          <w:sz w:val="22"/>
          <w:szCs w:val="22"/>
        </w:rPr>
      </w:pPr>
      <w:r>
        <w:rPr>
          <w:sz w:val="22"/>
          <w:szCs w:val="22"/>
        </w:rPr>
        <w:t>D3 Žilina, Brodno – Kysucké Nové Mesto,</w:t>
      </w:r>
    </w:p>
    <w:p w:rsidR="004167C1" w:rsidRDefault="004167C1" w:rsidP="00FE6025">
      <w:pPr>
        <w:pStyle w:val="Odsekzoznamu"/>
        <w:numPr>
          <w:ilvl w:val="0"/>
          <w:numId w:val="28"/>
        </w:numPr>
        <w:autoSpaceDE w:val="0"/>
        <w:autoSpaceDN w:val="0"/>
        <w:adjustRightInd w:val="0"/>
        <w:spacing w:before="120"/>
        <w:jc w:val="both"/>
        <w:rPr>
          <w:sz w:val="22"/>
          <w:szCs w:val="22"/>
        </w:rPr>
      </w:pPr>
      <w:r>
        <w:rPr>
          <w:sz w:val="22"/>
          <w:szCs w:val="22"/>
        </w:rPr>
        <w:t>D3 Kysucké Nové Mesto – Oščadnica,</w:t>
      </w:r>
    </w:p>
    <w:p w:rsidR="004167C1" w:rsidRDefault="004167C1" w:rsidP="004167C1">
      <w:pPr>
        <w:autoSpaceDE w:val="0"/>
        <w:autoSpaceDN w:val="0"/>
        <w:adjustRightInd w:val="0"/>
        <w:spacing w:before="240"/>
        <w:jc w:val="both"/>
        <w:rPr>
          <w:sz w:val="22"/>
          <w:szCs w:val="22"/>
        </w:rPr>
      </w:pPr>
      <w:r w:rsidRPr="00AD2EF1">
        <w:rPr>
          <w:sz w:val="22"/>
          <w:szCs w:val="22"/>
        </w:rPr>
        <w:t xml:space="preserve">Konkrétny zoznam úsekov, vrátane harmonogramu ich výstavby </w:t>
      </w:r>
      <w:r>
        <w:rPr>
          <w:sz w:val="22"/>
          <w:szCs w:val="22"/>
        </w:rPr>
        <w:t>bol</w:t>
      </w:r>
      <w:r w:rsidRPr="00AD2EF1">
        <w:rPr>
          <w:sz w:val="22"/>
          <w:szCs w:val="22"/>
        </w:rPr>
        <w:t xml:space="preserve"> definovaný </w:t>
      </w:r>
      <w:r>
        <w:rPr>
          <w:sz w:val="22"/>
          <w:szCs w:val="22"/>
        </w:rPr>
        <w:t>v Strategickom pláne</w:t>
      </w:r>
      <w:r w:rsidR="00BE0B89">
        <w:rPr>
          <w:sz w:val="22"/>
          <w:szCs w:val="22"/>
        </w:rPr>
        <w:t>.</w:t>
      </w:r>
    </w:p>
    <w:p w:rsidR="004167C1" w:rsidRPr="005B798A" w:rsidRDefault="00B468F6" w:rsidP="004167C1">
      <w:pPr>
        <w:autoSpaceDE w:val="0"/>
        <w:autoSpaceDN w:val="0"/>
        <w:adjustRightInd w:val="0"/>
        <w:spacing w:before="180"/>
        <w:jc w:val="both"/>
        <w:rPr>
          <w:sz w:val="23"/>
          <w:szCs w:val="23"/>
          <w:u w:val="single"/>
        </w:rPr>
      </w:pPr>
      <w:r>
        <w:rPr>
          <w:sz w:val="23"/>
          <w:szCs w:val="23"/>
          <w:u w:val="single"/>
        </w:rPr>
        <w:t>Výstavba rýchlostných ciest</w:t>
      </w:r>
    </w:p>
    <w:p w:rsidR="004167C1" w:rsidRPr="00872A41" w:rsidRDefault="004167C1" w:rsidP="004167C1">
      <w:pPr>
        <w:autoSpaceDE w:val="0"/>
        <w:autoSpaceDN w:val="0"/>
        <w:adjustRightInd w:val="0"/>
        <w:spacing w:before="120"/>
        <w:jc w:val="both"/>
        <w:rPr>
          <w:sz w:val="22"/>
          <w:szCs w:val="22"/>
        </w:rPr>
      </w:pPr>
      <w:r w:rsidRPr="00D30920">
        <w:rPr>
          <w:b/>
          <w:sz w:val="22"/>
          <w:szCs w:val="22"/>
        </w:rPr>
        <w:t>V</w:t>
      </w:r>
      <w:r>
        <w:rPr>
          <w:b/>
          <w:sz w:val="22"/>
          <w:szCs w:val="22"/>
        </w:rPr>
        <w:t> </w:t>
      </w:r>
      <w:r w:rsidRPr="00D30920">
        <w:rPr>
          <w:b/>
          <w:sz w:val="22"/>
          <w:szCs w:val="22"/>
        </w:rPr>
        <w:t>oblasti rýchlostných ciest sa v</w:t>
      </w:r>
      <w:r>
        <w:rPr>
          <w:b/>
          <w:sz w:val="22"/>
          <w:szCs w:val="22"/>
        </w:rPr>
        <w:t> </w:t>
      </w:r>
      <w:r w:rsidRPr="00D30920">
        <w:rPr>
          <w:b/>
          <w:sz w:val="22"/>
          <w:szCs w:val="22"/>
        </w:rPr>
        <w:t xml:space="preserve">nasledujúcom období 2014 – 2020 bude </w:t>
      </w:r>
      <w:r>
        <w:rPr>
          <w:b/>
          <w:sz w:val="22"/>
          <w:szCs w:val="22"/>
        </w:rPr>
        <w:t xml:space="preserve">zo zdrojov KF </w:t>
      </w:r>
      <w:r w:rsidRPr="003C7A11">
        <w:rPr>
          <w:b/>
          <w:color w:val="000000" w:themeColor="text1"/>
          <w:sz w:val="22"/>
          <w:szCs w:val="22"/>
        </w:rPr>
        <w:t>preferovať príprava</w:t>
      </w:r>
      <w:r>
        <w:rPr>
          <w:b/>
          <w:sz w:val="22"/>
          <w:szCs w:val="22"/>
        </w:rPr>
        <w:t xml:space="preserve"> </w:t>
      </w:r>
      <w:r w:rsidRPr="00D30920">
        <w:rPr>
          <w:b/>
          <w:sz w:val="22"/>
          <w:szCs w:val="22"/>
        </w:rPr>
        <w:t>úsekov ciest na R3</w:t>
      </w:r>
      <w:r>
        <w:rPr>
          <w:b/>
          <w:sz w:val="22"/>
          <w:szCs w:val="22"/>
        </w:rPr>
        <w:t xml:space="preserve"> a </w:t>
      </w:r>
      <w:r w:rsidRPr="00D30920">
        <w:rPr>
          <w:b/>
          <w:sz w:val="22"/>
          <w:szCs w:val="22"/>
        </w:rPr>
        <w:t>R6</w:t>
      </w:r>
      <w:r>
        <w:rPr>
          <w:b/>
          <w:sz w:val="22"/>
          <w:szCs w:val="22"/>
        </w:rPr>
        <w:t xml:space="preserve">, keďže tieto ťahy boli zaradené do základnej siete TEN-T. </w:t>
      </w:r>
      <w:r w:rsidR="00724E8C">
        <w:rPr>
          <w:sz w:val="22"/>
          <w:szCs w:val="22"/>
        </w:rPr>
        <w:t>Uvedené komunikácie</w:t>
      </w:r>
      <w:r w:rsidRPr="00872A41">
        <w:rPr>
          <w:sz w:val="22"/>
          <w:szCs w:val="22"/>
        </w:rPr>
        <w:t xml:space="preserve"> sú dôležité pre zabezpečenie kvalitných</w:t>
      </w:r>
      <w:r w:rsidR="00FC7AF9">
        <w:rPr>
          <w:sz w:val="22"/>
          <w:szCs w:val="22"/>
        </w:rPr>
        <w:t>,</w:t>
      </w:r>
      <w:r w:rsidRPr="00872A41">
        <w:rPr>
          <w:sz w:val="22"/>
          <w:szCs w:val="22"/>
        </w:rPr>
        <w:t xml:space="preserve"> predovšetkým cezhraničných spojení</w:t>
      </w:r>
      <w:r w:rsidR="00FC7AF9">
        <w:rPr>
          <w:sz w:val="22"/>
          <w:szCs w:val="22"/>
        </w:rPr>
        <w:t>,</w:t>
      </w:r>
      <w:r w:rsidRPr="00872A41">
        <w:rPr>
          <w:sz w:val="22"/>
          <w:szCs w:val="22"/>
        </w:rPr>
        <w:t xml:space="preserve"> v smere západ</w:t>
      </w:r>
      <w:r>
        <w:rPr>
          <w:sz w:val="22"/>
          <w:szCs w:val="22"/>
        </w:rPr>
        <w:t xml:space="preserve"> </w:t>
      </w:r>
      <w:r w:rsidRPr="00872A41">
        <w:rPr>
          <w:sz w:val="22"/>
          <w:szCs w:val="22"/>
        </w:rPr>
        <w:t>-</w:t>
      </w:r>
      <w:r>
        <w:rPr>
          <w:sz w:val="22"/>
          <w:szCs w:val="22"/>
        </w:rPr>
        <w:t xml:space="preserve"> </w:t>
      </w:r>
      <w:r w:rsidRPr="00872A41">
        <w:rPr>
          <w:sz w:val="22"/>
          <w:szCs w:val="22"/>
        </w:rPr>
        <w:t xml:space="preserve">východ </w:t>
      </w:r>
      <w:r>
        <w:rPr>
          <w:sz w:val="22"/>
          <w:szCs w:val="22"/>
        </w:rPr>
        <w:t xml:space="preserve">(R6) </w:t>
      </w:r>
      <w:r w:rsidRPr="00872A41">
        <w:rPr>
          <w:sz w:val="22"/>
          <w:szCs w:val="22"/>
        </w:rPr>
        <w:t>a</w:t>
      </w:r>
      <w:r>
        <w:rPr>
          <w:sz w:val="22"/>
          <w:szCs w:val="22"/>
        </w:rPr>
        <w:t> </w:t>
      </w:r>
      <w:r w:rsidRPr="00872A41">
        <w:rPr>
          <w:sz w:val="22"/>
          <w:szCs w:val="22"/>
        </w:rPr>
        <w:t>sever</w:t>
      </w:r>
      <w:r>
        <w:rPr>
          <w:sz w:val="22"/>
          <w:szCs w:val="22"/>
        </w:rPr>
        <w:t xml:space="preserve"> – </w:t>
      </w:r>
      <w:r w:rsidRPr="00872A41">
        <w:rPr>
          <w:sz w:val="22"/>
          <w:szCs w:val="22"/>
        </w:rPr>
        <w:t>juh</w:t>
      </w:r>
      <w:r>
        <w:rPr>
          <w:sz w:val="22"/>
          <w:szCs w:val="22"/>
        </w:rPr>
        <w:t xml:space="preserve"> (R3)</w:t>
      </w:r>
      <w:r w:rsidRPr="00872A41">
        <w:rPr>
          <w:sz w:val="22"/>
          <w:szCs w:val="22"/>
        </w:rPr>
        <w:t>.</w:t>
      </w:r>
      <w:r>
        <w:rPr>
          <w:sz w:val="22"/>
          <w:szCs w:val="22"/>
        </w:rPr>
        <w:t xml:space="preserve"> </w:t>
      </w:r>
      <w:r w:rsidRPr="00872A41">
        <w:rPr>
          <w:sz w:val="22"/>
          <w:szCs w:val="22"/>
        </w:rPr>
        <w:t xml:space="preserve">Výstavbe konkrétnych úsekov bude predchádzať spracovanie štúdií realizovateľnosti, ktoré komplexným spôsobom posúdia </w:t>
      </w:r>
      <w:r>
        <w:rPr>
          <w:sz w:val="22"/>
          <w:szCs w:val="22"/>
        </w:rPr>
        <w:t>tieto koridory (</w:t>
      </w:r>
      <w:r w:rsidRPr="00872A41">
        <w:rPr>
          <w:sz w:val="22"/>
          <w:szCs w:val="22"/>
        </w:rPr>
        <w:t>možnosti trasovania</w:t>
      </w:r>
      <w:r>
        <w:rPr>
          <w:sz w:val="22"/>
          <w:szCs w:val="22"/>
        </w:rPr>
        <w:t>, optimálnosť objektovej skladby a pod.).</w:t>
      </w:r>
    </w:p>
    <w:p w:rsidR="00D94757" w:rsidRDefault="004167C1" w:rsidP="009553A0">
      <w:pPr>
        <w:autoSpaceDE w:val="0"/>
        <w:autoSpaceDN w:val="0"/>
        <w:adjustRightInd w:val="0"/>
        <w:spacing w:before="180" w:after="120"/>
        <w:jc w:val="both"/>
        <w:rPr>
          <w:sz w:val="22"/>
          <w:szCs w:val="22"/>
        </w:rPr>
      </w:pPr>
      <w:r w:rsidRPr="005B798A">
        <w:rPr>
          <w:sz w:val="22"/>
          <w:szCs w:val="22"/>
        </w:rPr>
        <w:t xml:space="preserve">Pri výstavbe nových úsekov rýchlostných ciest </w:t>
      </w:r>
      <w:r>
        <w:rPr>
          <w:sz w:val="22"/>
          <w:szCs w:val="22"/>
        </w:rPr>
        <w:t xml:space="preserve">TEN-T </w:t>
      </w:r>
      <w:r w:rsidRPr="005B798A">
        <w:rPr>
          <w:sz w:val="22"/>
          <w:szCs w:val="22"/>
        </w:rPr>
        <w:t>bude MDVRR SR venovať náležitú pozornosť zabezpečeniu nákladovej efektívnosti. Vzhľadom na súčasné intenzity paralelných úsekov ciest I. triedy, ako aj prognózovaný vývoj v</w:t>
      </w:r>
      <w:r>
        <w:rPr>
          <w:sz w:val="22"/>
          <w:szCs w:val="22"/>
        </w:rPr>
        <w:t> </w:t>
      </w:r>
      <w:r w:rsidRPr="005B798A">
        <w:rPr>
          <w:sz w:val="22"/>
          <w:szCs w:val="22"/>
        </w:rPr>
        <w:t>území, budú niektoré úseky realizované v</w:t>
      </w:r>
      <w:r>
        <w:rPr>
          <w:sz w:val="22"/>
          <w:szCs w:val="22"/>
        </w:rPr>
        <w:t> </w:t>
      </w:r>
      <w:r w:rsidRPr="005B798A">
        <w:rPr>
          <w:sz w:val="22"/>
          <w:szCs w:val="22"/>
        </w:rPr>
        <w:t>polovičnom profile.</w:t>
      </w:r>
    </w:p>
    <w:p w:rsidR="009553A0" w:rsidRPr="00A34DD1" w:rsidRDefault="009553A0" w:rsidP="00FE6025">
      <w:pPr>
        <w:numPr>
          <w:ilvl w:val="2"/>
          <w:numId w:val="27"/>
        </w:numPr>
        <w:tabs>
          <w:tab w:val="clear" w:pos="360"/>
        </w:tabs>
        <w:spacing w:before="180" w:after="120"/>
        <w:ind w:left="851" w:hanging="425"/>
        <w:jc w:val="both"/>
        <w:rPr>
          <w:b/>
          <w:i/>
          <w:color w:val="548DD4" w:themeColor="text2" w:themeTint="99"/>
          <w:sz w:val="22"/>
          <w:szCs w:val="22"/>
        </w:rPr>
      </w:pPr>
      <w:r w:rsidRPr="00A34DD1">
        <w:rPr>
          <w:b/>
          <w:i/>
          <w:color w:val="548DD4" w:themeColor="text2" w:themeTint="99"/>
          <w:sz w:val="22"/>
          <w:szCs w:val="22"/>
        </w:rPr>
        <w:t>Budovanie inteligentných dopravných systémov</w:t>
      </w:r>
    </w:p>
    <w:p w:rsidR="009553A0" w:rsidRDefault="00382524" w:rsidP="009553A0">
      <w:pPr>
        <w:autoSpaceDE w:val="0"/>
        <w:autoSpaceDN w:val="0"/>
        <w:adjustRightInd w:val="0"/>
        <w:spacing w:before="120"/>
        <w:jc w:val="both"/>
        <w:rPr>
          <w:sz w:val="22"/>
          <w:szCs w:val="22"/>
        </w:rPr>
      </w:pPr>
      <w:r>
        <w:rPr>
          <w:sz w:val="22"/>
          <w:szCs w:val="22"/>
        </w:rPr>
        <w:t xml:space="preserve">V spojitosti s rastúcim objemom dopravy a vysokou mierou nehodovosti je kľúčovým problémom nedostatočné vybavenie cestnej infraštruktúry </w:t>
      </w:r>
      <w:r w:rsidRPr="007A1AAE">
        <w:rPr>
          <w:sz w:val="22"/>
          <w:szCs w:val="22"/>
        </w:rPr>
        <w:t>technologickými zariad</w:t>
      </w:r>
      <w:r>
        <w:rPr>
          <w:sz w:val="22"/>
          <w:szCs w:val="22"/>
        </w:rPr>
        <w:t xml:space="preserve">eniami na monitorovanie dopravy a </w:t>
      </w:r>
      <w:r w:rsidRPr="007A1AAE">
        <w:rPr>
          <w:sz w:val="22"/>
          <w:szCs w:val="22"/>
        </w:rPr>
        <w:t>prevádzkových podmienok</w:t>
      </w:r>
      <w:r>
        <w:rPr>
          <w:sz w:val="22"/>
          <w:szCs w:val="22"/>
        </w:rPr>
        <w:t xml:space="preserve">. </w:t>
      </w:r>
      <w:r w:rsidR="009553A0" w:rsidRPr="00AD2EF1">
        <w:rPr>
          <w:sz w:val="22"/>
          <w:szCs w:val="22"/>
        </w:rPr>
        <w:t>Riešením pre zvládnutie rastúcich objemov dopravy a</w:t>
      </w:r>
      <w:r w:rsidR="009553A0">
        <w:rPr>
          <w:sz w:val="22"/>
          <w:szCs w:val="22"/>
        </w:rPr>
        <w:t> </w:t>
      </w:r>
      <w:r w:rsidR="009553A0" w:rsidRPr="00D30920">
        <w:rPr>
          <w:sz w:val="22"/>
          <w:szCs w:val="22"/>
        </w:rPr>
        <w:t>vysokej</w:t>
      </w:r>
      <w:r w:rsidR="009553A0">
        <w:rPr>
          <w:color w:val="FF0000"/>
          <w:sz w:val="22"/>
          <w:szCs w:val="22"/>
        </w:rPr>
        <w:t xml:space="preserve"> </w:t>
      </w:r>
      <w:r w:rsidR="009553A0" w:rsidRPr="00AD2EF1">
        <w:rPr>
          <w:sz w:val="22"/>
          <w:szCs w:val="22"/>
        </w:rPr>
        <w:t xml:space="preserve">miery nehodovosti je </w:t>
      </w:r>
      <w:r w:rsidR="009553A0">
        <w:rPr>
          <w:sz w:val="22"/>
          <w:szCs w:val="22"/>
        </w:rPr>
        <w:t>vyžívanie</w:t>
      </w:r>
      <w:r w:rsidR="009553A0" w:rsidRPr="00AD2EF1">
        <w:rPr>
          <w:sz w:val="22"/>
          <w:szCs w:val="22"/>
        </w:rPr>
        <w:t xml:space="preserve"> inteligentných dopravných systémov</w:t>
      </w:r>
      <w:r w:rsidR="009553A0">
        <w:rPr>
          <w:sz w:val="22"/>
          <w:szCs w:val="22"/>
        </w:rPr>
        <w:t xml:space="preserve"> a dopravnej telematiky</w:t>
      </w:r>
      <w:r w:rsidR="009553A0" w:rsidRPr="00AD2EF1">
        <w:rPr>
          <w:sz w:val="22"/>
          <w:szCs w:val="22"/>
        </w:rPr>
        <w:t>. Inteligentné dopravné sy</w:t>
      </w:r>
      <w:r w:rsidR="009553A0">
        <w:rPr>
          <w:sz w:val="22"/>
          <w:szCs w:val="22"/>
        </w:rPr>
        <w:t>stémy otvárajú nové možnosti na </w:t>
      </w:r>
      <w:r w:rsidR="009553A0" w:rsidRPr="00AD2EF1">
        <w:rPr>
          <w:sz w:val="22"/>
          <w:szCs w:val="22"/>
        </w:rPr>
        <w:t xml:space="preserve">dosiahnutie trvaloudržateľnej </w:t>
      </w:r>
      <w:r w:rsidR="009553A0" w:rsidRPr="00D30920">
        <w:rPr>
          <w:sz w:val="22"/>
          <w:szCs w:val="22"/>
        </w:rPr>
        <w:t>mobility a</w:t>
      </w:r>
      <w:r w:rsidR="009553A0">
        <w:rPr>
          <w:color w:val="FF0000"/>
          <w:sz w:val="22"/>
          <w:szCs w:val="22"/>
        </w:rPr>
        <w:t> </w:t>
      </w:r>
      <w:r w:rsidR="009553A0" w:rsidRPr="00AD2EF1">
        <w:rPr>
          <w:sz w:val="22"/>
          <w:szCs w:val="22"/>
        </w:rPr>
        <w:t>vytvárajú základné podmienky pre kvalitnú komunikačnú a</w:t>
      </w:r>
      <w:r w:rsidR="009553A0">
        <w:rPr>
          <w:sz w:val="22"/>
          <w:szCs w:val="22"/>
        </w:rPr>
        <w:t> </w:t>
      </w:r>
      <w:r w:rsidR="009553A0" w:rsidRPr="00AD2EF1">
        <w:rPr>
          <w:sz w:val="22"/>
          <w:szCs w:val="22"/>
        </w:rPr>
        <w:t>informačnú spoločnosť</w:t>
      </w:r>
      <w:r w:rsidR="009553A0">
        <w:rPr>
          <w:sz w:val="22"/>
          <w:szCs w:val="22"/>
        </w:rPr>
        <w:t xml:space="preserve">. </w:t>
      </w:r>
      <w:r w:rsidR="009553A0" w:rsidRPr="00AD2EF1">
        <w:rPr>
          <w:sz w:val="22"/>
          <w:szCs w:val="22"/>
        </w:rPr>
        <w:t xml:space="preserve">Zámerom </w:t>
      </w:r>
      <w:r w:rsidR="009553A0">
        <w:rPr>
          <w:sz w:val="22"/>
          <w:szCs w:val="22"/>
        </w:rPr>
        <w:t>EK</w:t>
      </w:r>
      <w:r>
        <w:rPr>
          <w:sz w:val="22"/>
          <w:szCs w:val="22"/>
        </w:rPr>
        <w:t xml:space="preserve"> je, </w:t>
      </w:r>
      <w:r w:rsidR="009553A0" w:rsidRPr="00AD2EF1">
        <w:rPr>
          <w:sz w:val="22"/>
          <w:szCs w:val="22"/>
        </w:rPr>
        <w:t>aby</w:t>
      </w:r>
      <w:r w:rsidR="0097314E">
        <w:rPr>
          <w:sz w:val="22"/>
          <w:szCs w:val="22"/>
        </w:rPr>
        <w:t> </w:t>
      </w:r>
      <w:r w:rsidR="00FC7AF9">
        <w:rPr>
          <w:sz w:val="22"/>
          <w:szCs w:val="22"/>
        </w:rPr>
        <w:t>členské krajiny EÚ</w:t>
      </w:r>
      <w:r w:rsidR="009553A0" w:rsidRPr="00AD2EF1">
        <w:rPr>
          <w:sz w:val="22"/>
          <w:szCs w:val="22"/>
        </w:rPr>
        <w:t xml:space="preserve"> v</w:t>
      </w:r>
      <w:r w:rsidR="009553A0">
        <w:rPr>
          <w:sz w:val="22"/>
          <w:szCs w:val="22"/>
        </w:rPr>
        <w:t> </w:t>
      </w:r>
      <w:r w:rsidR="009553A0" w:rsidRPr="00AD2EF1">
        <w:rPr>
          <w:sz w:val="22"/>
          <w:szCs w:val="22"/>
        </w:rPr>
        <w:t>priebehu niekoľkých rokov fungovali v</w:t>
      </w:r>
      <w:r w:rsidR="009553A0">
        <w:rPr>
          <w:sz w:val="22"/>
          <w:szCs w:val="22"/>
        </w:rPr>
        <w:t> </w:t>
      </w:r>
      <w:r w:rsidR="009553A0" w:rsidRPr="00AD2EF1">
        <w:rPr>
          <w:sz w:val="22"/>
          <w:szCs w:val="22"/>
        </w:rPr>
        <w:t>rámci jednotného inteligentného dopravného systému, pričom takéto riešenie je možné zabezpečiť formou realizácie parciálnych národných projektov. EÚ preto nabáda členské štáty k</w:t>
      </w:r>
      <w:r w:rsidR="009553A0">
        <w:rPr>
          <w:sz w:val="22"/>
          <w:szCs w:val="22"/>
        </w:rPr>
        <w:t> </w:t>
      </w:r>
      <w:r w:rsidR="009553A0" w:rsidRPr="00AD2EF1">
        <w:rPr>
          <w:sz w:val="22"/>
          <w:szCs w:val="22"/>
        </w:rPr>
        <w:t>tomu, aby inteligentn</w:t>
      </w:r>
      <w:r>
        <w:rPr>
          <w:sz w:val="22"/>
          <w:szCs w:val="22"/>
        </w:rPr>
        <w:t xml:space="preserve">é dopravné systémy </w:t>
      </w:r>
      <w:r>
        <w:rPr>
          <w:sz w:val="22"/>
          <w:szCs w:val="22"/>
        </w:rPr>
        <w:lastRenderedPageBreak/>
        <w:t>rozvíjali vo </w:t>
      </w:r>
      <w:r w:rsidR="009553A0" w:rsidRPr="00AD2EF1">
        <w:rPr>
          <w:sz w:val="22"/>
          <w:szCs w:val="22"/>
        </w:rPr>
        <w:t>vzájomne kompatibilných aplikáciách a</w:t>
      </w:r>
      <w:r w:rsidR="009553A0">
        <w:rPr>
          <w:sz w:val="22"/>
          <w:szCs w:val="22"/>
        </w:rPr>
        <w:t> </w:t>
      </w:r>
      <w:r w:rsidR="009553A0" w:rsidRPr="00AD2EF1">
        <w:rPr>
          <w:sz w:val="22"/>
          <w:szCs w:val="22"/>
        </w:rPr>
        <w:t>aby užívateľské informácie z</w:t>
      </w:r>
      <w:r w:rsidR="009553A0">
        <w:rPr>
          <w:sz w:val="22"/>
          <w:szCs w:val="22"/>
        </w:rPr>
        <w:t> </w:t>
      </w:r>
      <w:r w:rsidR="009553A0" w:rsidRPr="00AD2EF1">
        <w:rPr>
          <w:sz w:val="22"/>
          <w:szCs w:val="22"/>
        </w:rPr>
        <w:t>jednotlivých národných systémov boli dostupné aj občanom z</w:t>
      </w:r>
      <w:r w:rsidR="009553A0">
        <w:rPr>
          <w:sz w:val="22"/>
          <w:szCs w:val="22"/>
        </w:rPr>
        <w:t> </w:t>
      </w:r>
      <w:r w:rsidR="009553A0" w:rsidRPr="00AD2EF1">
        <w:rPr>
          <w:sz w:val="22"/>
          <w:szCs w:val="22"/>
        </w:rPr>
        <w:t xml:space="preserve">ostatných štátov </w:t>
      </w:r>
      <w:r w:rsidR="009553A0">
        <w:rPr>
          <w:sz w:val="22"/>
          <w:szCs w:val="22"/>
        </w:rPr>
        <w:t>EÚ</w:t>
      </w:r>
      <w:r w:rsidR="00E641FB">
        <w:rPr>
          <w:sz w:val="22"/>
          <w:szCs w:val="22"/>
        </w:rPr>
        <w:t>.</w:t>
      </w:r>
    </w:p>
    <w:p w:rsidR="009553A0" w:rsidRPr="00AD2EF1" w:rsidRDefault="009553A0" w:rsidP="009553A0">
      <w:pPr>
        <w:autoSpaceDE w:val="0"/>
        <w:autoSpaceDN w:val="0"/>
        <w:adjustRightInd w:val="0"/>
        <w:spacing w:before="120"/>
        <w:jc w:val="both"/>
        <w:rPr>
          <w:sz w:val="22"/>
          <w:szCs w:val="22"/>
        </w:rPr>
      </w:pPr>
      <w:r w:rsidRPr="00D315C6">
        <w:rPr>
          <w:b/>
          <w:sz w:val="22"/>
          <w:szCs w:val="22"/>
        </w:rPr>
        <w:t xml:space="preserve">Cieľom MDVRR SR je výstavba </w:t>
      </w:r>
      <w:r w:rsidR="00495ECB">
        <w:rPr>
          <w:b/>
          <w:sz w:val="22"/>
          <w:szCs w:val="22"/>
        </w:rPr>
        <w:t xml:space="preserve">a rozvoj </w:t>
      </w:r>
      <w:r w:rsidRPr="00D315C6">
        <w:rPr>
          <w:b/>
          <w:sz w:val="22"/>
          <w:szCs w:val="22"/>
        </w:rPr>
        <w:t>Národného dopravného informačného centra</w:t>
      </w:r>
      <w:r w:rsidR="00A50DEB">
        <w:rPr>
          <w:b/>
          <w:sz w:val="22"/>
          <w:szCs w:val="22"/>
        </w:rPr>
        <w:t xml:space="preserve"> (NDIC)</w:t>
      </w:r>
      <w:r w:rsidRPr="00D315C6">
        <w:rPr>
          <w:b/>
          <w:sz w:val="22"/>
          <w:szCs w:val="22"/>
        </w:rPr>
        <w:t>, ktoré bude operačným a informačným pracoviskom zabezpečujúcim zber, spracovanie a poskytovanie dopravných informácií cestujúcej verejnosti</w:t>
      </w:r>
      <w:r>
        <w:rPr>
          <w:sz w:val="22"/>
          <w:szCs w:val="22"/>
        </w:rPr>
        <w:t>.</w:t>
      </w:r>
    </w:p>
    <w:p w:rsidR="009553A0" w:rsidRDefault="009553A0" w:rsidP="00C26329">
      <w:pPr>
        <w:autoSpaceDE w:val="0"/>
        <w:autoSpaceDN w:val="0"/>
        <w:adjustRightInd w:val="0"/>
        <w:spacing w:before="180" w:after="120"/>
        <w:jc w:val="both"/>
        <w:rPr>
          <w:sz w:val="22"/>
          <w:szCs w:val="22"/>
        </w:rPr>
      </w:pPr>
      <w:r w:rsidRPr="00470036">
        <w:rPr>
          <w:sz w:val="22"/>
          <w:szCs w:val="22"/>
        </w:rPr>
        <w:t>Z</w:t>
      </w:r>
      <w:r>
        <w:rPr>
          <w:sz w:val="22"/>
          <w:szCs w:val="22"/>
        </w:rPr>
        <w:t> </w:t>
      </w:r>
      <w:r w:rsidRPr="00470036">
        <w:rPr>
          <w:sz w:val="22"/>
          <w:szCs w:val="22"/>
        </w:rPr>
        <w:t>ďalších aktivít plánovaných v</w:t>
      </w:r>
      <w:r>
        <w:rPr>
          <w:sz w:val="22"/>
          <w:szCs w:val="22"/>
        </w:rPr>
        <w:t> </w:t>
      </w:r>
      <w:r w:rsidRPr="00470036">
        <w:rPr>
          <w:sz w:val="22"/>
          <w:szCs w:val="22"/>
        </w:rPr>
        <w:t>oblasti využívania dopravnej telematiky je možné spomenúť zámer doplniť príslušenstvo diaľnic a</w:t>
      </w:r>
      <w:r>
        <w:rPr>
          <w:sz w:val="22"/>
          <w:szCs w:val="22"/>
        </w:rPr>
        <w:t> </w:t>
      </w:r>
      <w:r w:rsidRPr="00470036">
        <w:rPr>
          <w:sz w:val="22"/>
          <w:szCs w:val="22"/>
        </w:rPr>
        <w:t xml:space="preserve">rýchlostných ciest </w:t>
      </w:r>
      <w:r w:rsidRPr="00470036">
        <w:rPr>
          <w:b/>
          <w:sz w:val="22"/>
          <w:szCs w:val="22"/>
        </w:rPr>
        <w:t>dopravnými zariadeniami pre monitorovanie a</w:t>
      </w:r>
      <w:r>
        <w:rPr>
          <w:b/>
          <w:sz w:val="22"/>
          <w:szCs w:val="22"/>
        </w:rPr>
        <w:t> </w:t>
      </w:r>
      <w:r w:rsidRPr="00470036">
        <w:rPr>
          <w:b/>
          <w:sz w:val="22"/>
          <w:szCs w:val="22"/>
        </w:rPr>
        <w:t>riadenie dopravy</w:t>
      </w:r>
      <w:r w:rsidRPr="00470036">
        <w:rPr>
          <w:sz w:val="22"/>
          <w:szCs w:val="22"/>
        </w:rPr>
        <w:t xml:space="preserve"> </w:t>
      </w:r>
      <w:r>
        <w:rPr>
          <w:sz w:val="22"/>
          <w:szCs w:val="22"/>
        </w:rPr>
        <w:t>–</w:t>
      </w:r>
      <w:r w:rsidRPr="00470036">
        <w:rPr>
          <w:sz w:val="22"/>
          <w:szCs w:val="22"/>
        </w:rPr>
        <w:t xml:space="preserve"> zariadenia dopravného prieskumu s</w:t>
      </w:r>
      <w:r>
        <w:rPr>
          <w:sz w:val="22"/>
          <w:szCs w:val="22"/>
        </w:rPr>
        <w:t> </w:t>
      </w:r>
      <w:r w:rsidRPr="00470036">
        <w:rPr>
          <w:sz w:val="22"/>
          <w:szCs w:val="22"/>
        </w:rPr>
        <w:t>funkciou automatického sčítania dopravy a</w:t>
      </w:r>
      <w:r>
        <w:rPr>
          <w:sz w:val="22"/>
          <w:szCs w:val="22"/>
        </w:rPr>
        <w:t> </w:t>
      </w:r>
      <w:r w:rsidRPr="00470036">
        <w:rPr>
          <w:sz w:val="22"/>
          <w:szCs w:val="22"/>
        </w:rPr>
        <w:t>analyzátora dopravného prúdu, premenné dopravné značky, zariadenia pr</w:t>
      </w:r>
      <w:r>
        <w:rPr>
          <w:sz w:val="22"/>
          <w:szCs w:val="22"/>
        </w:rPr>
        <w:t xml:space="preserve">e prevádzkové informácie, </w:t>
      </w:r>
      <w:r w:rsidR="00814C84">
        <w:rPr>
          <w:sz w:val="22"/>
          <w:szCs w:val="22"/>
        </w:rPr>
        <w:t>kamerové systémy</w:t>
      </w:r>
      <w:r w:rsidR="00495ECB">
        <w:rPr>
          <w:sz w:val="22"/>
          <w:szCs w:val="22"/>
        </w:rPr>
        <w:t>, riadiace, dohľadové a komunikačné systémy</w:t>
      </w:r>
      <w:r w:rsidR="00814C84">
        <w:rPr>
          <w:sz w:val="22"/>
          <w:szCs w:val="22"/>
        </w:rPr>
        <w:t xml:space="preserve"> a pod.</w:t>
      </w:r>
      <w:r w:rsidRPr="0044578F">
        <w:rPr>
          <w:sz w:val="22"/>
          <w:szCs w:val="22"/>
        </w:rPr>
        <w:t xml:space="preserve"> Tieto zariadenia nebudú slúžiť len pre reálny manažment dopravy, ale taktiež pre zber dát, plánovanie</w:t>
      </w:r>
      <w:r>
        <w:rPr>
          <w:sz w:val="22"/>
          <w:szCs w:val="22"/>
        </w:rPr>
        <w:t xml:space="preserve"> a optimalizáciu budúcich prepravných nárokov.</w:t>
      </w:r>
    </w:p>
    <w:p w:rsidR="006B762B" w:rsidRPr="00A34DD1" w:rsidRDefault="009553A0" w:rsidP="00FE6025">
      <w:pPr>
        <w:numPr>
          <w:ilvl w:val="2"/>
          <w:numId w:val="27"/>
        </w:numPr>
        <w:tabs>
          <w:tab w:val="clear" w:pos="360"/>
        </w:tabs>
        <w:spacing w:before="180" w:after="120"/>
        <w:ind w:left="851" w:hanging="425"/>
        <w:jc w:val="both"/>
        <w:rPr>
          <w:b/>
          <w:i/>
          <w:color w:val="548DD4" w:themeColor="text2" w:themeTint="99"/>
          <w:sz w:val="22"/>
          <w:szCs w:val="22"/>
        </w:rPr>
      </w:pPr>
      <w:r w:rsidRPr="00A34DD1">
        <w:rPr>
          <w:b/>
          <w:i/>
          <w:color w:val="548DD4" w:themeColor="text2" w:themeTint="99"/>
          <w:sz w:val="22"/>
          <w:szCs w:val="22"/>
        </w:rPr>
        <w:t>Zvyšovanie bezpečnosti cestnej dopravy</w:t>
      </w:r>
    </w:p>
    <w:p w:rsidR="009D2BD5" w:rsidRPr="009D2BD5" w:rsidRDefault="009D2BD5" w:rsidP="009D2BD5">
      <w:pPr>
        <w:spacing w:before="120"/>
        <w:jc w:val="both"/>
        <w:rPr>
          <w:sz w:val="22"/>
          <w:szCs w:val="22"/>
        </w:rPr>
      </w:pPr>
      <w:r w:rsidRPr="009D2BD5">
        <w:rPr>
          <w:sz w:val="22"/>
          <w:szCs w:val="22"/>
        </w:rPr>
        <w:t>Dopravná nehodovosť v cestnej doprave je ovplyvňovaná predovšetkým ľudským faktorom, bezpečnosťou cestných vozidiel a kvalitou cestnej siete. Z hľadiska vývoja dopravnej nehodovosti v rokoch 2005 až 2011 bolo toto obdobie charakteristické najmä nárastom motorizácie cestnej dopravy, ktorý so sebou priniesol veľký rast zaťaženia cestnej siete a výrazne ovplyvnil vývoj dopravno-bezpečnostnej situácie.</w:t>
      </w:r>
    </w:p>
    <w:p w:rsidR="009D2BD5" w:rsidRPr="00657CBE" w:rsidRDefault="009D2BD5" w:rsidP="009D2BD5">
      <w:pPr>
        <w:spacing w:before="180"/>
        <w:jc w:val="both"/>
        <w:rPr>
          <w:sz w:val="22"/>
          <w:szCs w:val="22"/>
        </w:rPr>
      </w:pPr>
      <w:r w:rsidRPr="00657CBE">
        <w:rPr>
          <w:sz w:val="22"/>
          <w:szCs w:val="22"/>
        </w:rPr>
        <w:t>V </w:t>
      </w:r>
      <w:r w:rsidRPr="009D2BD5">
        <w:rPr>
          <w:sz w:val="22"/>
          <w:szCs w:val="22"/>
        </w:rPr>
        <w:t xml:space="preserve">súvislosti so záväzkami SR týkajúcich sa znižovania počtu </w:t>
      </w:r>
      <w:r w:rsidRPr="009D2BD5">
        <w:rPr>
          <w:iCs/>
          <w:sz w:val="22"/>
          <w:szCs w:val="22"/>
        </w:rPr>
        <w:t>usmrtených osôb v dôsledku dopravnej nehody v cestnej doprave</w:t>
      </w:r>
      <w:r w:rsidRPr="009D2BD5">
        <w:rPr>
          <w:sz w:val="22"/>
          <w:szCs w:val="22"/>
        </w:rPr>
        <w:t xml:space="preserve"> je možné konštatovať, že stanovené ciele sú priebežne napĺňané a počet usmrtených osôb v dôsledku dopravnej nehody má klesajúcu tendenciu. Od roku 2007 klesal počet usmrtených na cestác</w:t>
      </w:r>
      <w:r w:rsidR="00197539">
        <w:rPr>
          <w:sz w:val="22"/>
          <w:szCs w:val="22"/>
        </w:rPr>
        <w:t xml:space="preserve">h z hodnoty 627 až na 223 osôb </w:t>
      </w:r>
      <w:r w:rsidRPr="009D2BD5">
        <w:rPr>
          <w:sz w:val="22"/>
          <w:szCs w:val="22"/>
        </w:rPr>
        <w:t>v roku 2013, čo bola historicky najnižšia hodnota počtu usmrtených na slovenských cestách. To predstavuje 4,1</w:t>
      </w:r>
      <w:r w:rsidRPr="009D2BD5">
        <w:rPr>
          <w:bCs/>
          <w:sz w:val="22"/>
          <w:szCs w:val="22"/>
        </w:rPr>
        <w:t xml:space="preserve"> usmrtených na 100 tis. obyvateľov. </w:t>
      </w:r>
      <w:r w:rsidRPr="009D2BD5">
        <w:rPr>
          <w:b/>
          <w:sz w:val="22"/>
          <w:szCs w:val="22"/>
        </w:rPr>
        <w:t xml:space="preserve">Zámerom </w:t>
      </w:r>
      <w:r w:rsidR="007F7370">
        <w:rPr>
          <w:b/>
          <w:sz w:val="22"/>
          <w:szCs w:val="22"/>
        </w:rPr>
        <w:t xml:space="preserve">MDVRR </w:t>
      </w:r>
      <w:r w:rsidRPr="009D2BD5">
        <w:rPr>
          <w:b/>
          <w:sz w:val="22"/>
          <w:szCs w:val="22"/>
        </w:rPr>
        <w:t>SR je pokračovať v realizácii opatrení na znižovanie počtu a závažnosti dopravných nehôd a znížiť počet usmrtených o 50 % oproti roku 2010, t.j. pod 173</w:t>
      </w:r>
      <w:r w:rsidRPr="009D2BD5">
        <w:rPr>
          <w:sz w:val="22"/>
          <w:szCs w:val="22"/>
        </w:rPr>
        <w:t>.</w:t>
      </w:r>
      <w:r w:rsidR="007F7370">
        <w:rPr>
          <w:sz w:val="22"/>
          <w:szCs w:val="22"/>
        </w:rPr>
        <w:t xml:space="preserve"> </w:t>
      </w:r>
      <w:r w:rsidR="00645909" w:rsidRPr="000D7BF3">
        <w:rPr>
          <w:sz w:val="22"/>
          <w:szCs w:val="22"/>
        </w:rPr>
        <w:t>Tento cieľ vychádza z Národného plánu na zvýšenie bezpečnosti cestnej premávky do roku 2020</w:t>
      </w:r>
      <w:r w:rsidR="0079404A">
        <w:rPr>
          <w:rStyle w:val="Odkaznapoznmkupodiarou"/>
          <w:sz w:val="22"/>
          <w:szCs w:val="22"/>
        </w:rPr>
        <w:footnoteReference w:id="15"/>
      </w:r>
      <w:r w:rsidR="00645909" w:rsidRPr="000D7BF3">
        <w:rPr>
          <w:sz w:val="22"/>
          <w:szCs w:val="22"/>
        </w:rPr>
        <w:t>.</w:t>
      </w:r>
    </w:p>
    <w:p w:rsidR="009D2BD5" w:rsidRDefault="009D2BD5" w:rsidP="007A461E">
      <w:pPr>
        <w:autoSpaceDE w:val="0"/>
        <w:autoSpaceDN w:val="0"/>
        <w:adjustRightInd w:val="0"/>
        <w:spacing w:before="180"/>
        <w:jc w:val="both"/>
        <w:rPr>
          <w:sz w:val="22"/>
          <w:szCs w:val="22"/>
        </w:rPr>
      </w:pPr>
      <w:r w:rsidRPr="005B798A">
        <w:rPr>
          <w:sz w:val="22"/>
          <w:szCs w:val="22"/>
        </w:rPr>
        <w:t xml:space="preserve">Na základe </w:t>
      </w:r>
      <w:r>
        <w:rPr>
          <w:sz w:val="22"/>
          <w:szCs w:val="22"/>
        </w:rPr>
        <w:t>údajov o dopravných nehodách podľa druhu komunikácie j</w:t>
      </w:r>
      <w:r w:rsidRPr="005B798A">
        <w:rPr>
          <w:sz w:val="22"/>
          <w:szCs w:val="22"/>
        </w:rPr>
        <w:t>e možné skonštatovať, že najbezpečne</w:t>
      </w:r>
      <w:r>
        <w:rPr>
          <w:sz w:val="22"/>
          <w:szCs w:val="22"/>
        </w:rPr>
        <w:t>jšou kategóriou ciest</w:t>
      </w:r>
      <w:r w:rsidRPr="005B798A">
        <w:rPr>
          <w:sz w:val="22"/>
          <w:szCs w:val="22"/>
        </w:rPr>
        <w:t xml:space="preserve"> sú diaľnice</w:t>
      </w:r>
      <w:r>
        <w:rPr>
          <w:sz w:val="22"/>
          <w:szCs w:val="22"/>
        </w:rPr>
        <w:t xml:space="preserve"> a rýchlostné cesty.</w:t>
      </w:r>
      <w:r w:rsidRPr="000E0AF4">
        <w:rPr>
          <w:sz w:val="22"/>
          <w:szCs w:val="22"/>
        </w:rPr>
        <w:t xml:space="preserve"> </w:t>
      </w:r>
      <w:r w:rsidRPr="005B798A">
        <w:rPr>
          <w:sz w:val="22"/>
          <w:szCs w:val="22"/>
        </w:rPr>
        <w:t>Zámerom MDVRR SR je preto rozširovaním siete diaľnic a</w:t>
      </w:r>
      <w:r>
        <w:rPr>
          <w:sz w:val="22"/>
          <w:szCs w:val="22"/>
        </w:rPr>
        <w:t> </w:t>
      </w:r>
      <w:r w:rsidRPr="005B798A">
        <w:rPr>
          <w:sz w:val="22"/>
          <w:szCs w:val="22"/>
        </w:rPr>
        <w:t xml:space="preserve">rýchlostných ciest </w:t>
      </w:r>
      <w:r w:rsidRPr="005B798A">
        <w:rPr>
          <w:b/>
          <w:sz w:val="22"/>
          <w:szCs w:val="22"/>
        </w:rPr>
        <w:t>zabezpečiť postupný presun dopravných výkonov z</w:t>
      </w:r>
      <w:r>
        <w:rPr>
          <w:b/>
          <w:sz w:val="22"/>
          <w:szCs w:val="22"/>
        </w:rPr>
        <w:t> </w:t>
      </w:r>
      <w:r w:rsidRPr="005B798A">
        <w:rPr>
          <w:b/>
          <w:sz w:val="22"/>
          <w:szCs w:val="22"/>
        </w:rPr>
        <w:t>ciest nižšej kategórie na infraštruktúru, ktorá je na to z</w:t>
      </w:r>
      <w:r>
        <w:rPr>
          <w:b/>
          <w:sz w:val="22"/>
          <w:szCs w:val="22"/>
        </w:rPr>
        <w:t> </w:t>
      </w:r>
      <w:r w:rsidR="00A95966">
        <w:rPr>
          <w:b/>
          <w:sz w:val="22"/>
          <w:szCs w:val="22"/>
        </w:rPr>
        <w:t>hľadiska</w:t>
      </w:r>
      <w:r w:rsidR="00814C84">
        <w:rPr>
          <w:b/>
          <w:sz w:val="22"/>
          <w:szCs w:val="22"/>
        </w:rPr>
        <w:t xml:space="preserve"> prevádzkovo - technických</w:t>
      </w:r>
      <w:r w:rsidRPr="005B798A">
        <w:rPr>
          <w:b/>
          <w:sz w:val="22"/>
          <w:szCs w:val="22"/>
        </w:rPr>
        <w:t xml:space="preserve"> parametrov </w:t>
      </w:r>
      <w:r w:rsidR="00814C84">
        <w:rPr>
          <w:b/>
          <w:sz w:val="22"/>
          <w:szCs w:val="22"/>
        </w:rPr>
        <w:t>dimenzovaná</w:t>
      </w:r>
      <w:r w:rsidRPr="005B798A">
        <w:rPr>
          <w:sz w:val="22"/>
          <w:szCs w:val="22"/>
        </w:rPr>
        <w:t>.</w:t>
      </w:r>
      <w:r>
        <w:rPr>
          <w:sz w:val="22"/>
          <w:szCs w:val="22"/>
        </w:rPr>
        <w:t xml:space="preserve"> Tým dôjde k zlepšeniu stavu v oblasti bezpečnosti a</w:t>
      </w:r>
      <w:r w:rsidR="00724E8C">
        <w:rPr>
          <w:sz w:val="22"/>
          <w:szCs w:val="22"/>
        </w:rPr>
        <w:t> </w:t>
      </w:r>
      <w:r>
        <w:rPr>
          <w:sz w:val="22"/>
          <w:szCs w:val="22"/>
        </w:rPr>
        <w:t>plynulosti</w:t>
      </w:r>
      <w:r w:rsidR="00724E8C">
        <w:rPr>
          <w:sz w:val="22"/>
          <w:szCs w:val="22"/>
        </w:rPr>
        <w:t xml:space="preserve"> dopravy na celej cestnej sieti</w:t>
      </w:r>
      <w:r>
        <w:rPr>
          <w:sz w:val="22"/>
          <w:szCs w:val="22"/>
        </w:rPr>
        <w:t>.</w:t>
      </w:r>
    </w:p>
    <w:p w:rsidR="009553A0" w:rsidRDefault="001124FB" w:rsidP="007A461E">
      <w:pPr>
        <w:autoSpaceDE w:val="0"/>
        <w:autoSpaceDN w:val="0"/>
        <w:adjustRightInd w:val="0"/>
        <w:spacing w:before="180"/>
        <w:jc w:val="both"/>
        <w:rPr>
          <w:sz w:val="22"/>
          <w:szCs w:val="22"/>
        </w:rPr>
      </w:pPr>
      <w:r>
        <w:rPr>
          <w:sz w:val="22"/>
          <w:szCs w:val="22"/>
        </w:rPr>
        <w:t>K znižovaniu nehodovosti</w:t>
      </w:r>
      <w:r w:rsidR="009553A0" w:rsidRPr="00430B9D">
        <w:rPr>
          <w:sz w:val="22"/>
          <w:szCs w:val="22"/>
        </w:rPr>
        <w:t xml:space="preserve"> na</w:t>
      </w:r>
      <w:r>
        <w:rPr>
          <w:sz w:val="22"/>
          <w:szCs w:val="22"/>
        </w:rPr>
        <w:t xml:space="preserve"> pozemných komunikáciách</w:t>
      </w:r>
      <w:r w:rsidR="009553A0" w:rsidRPr="00430B9D">
        <w:rPr>
          <w:sz w:val="22"/>
          <w:szCs w:val="22"/>
        </w:rPr>
        <w:t xml:space="preserve"> má prispieť aj smernica Európskeho parlamentu a Rady 2008/96/ES o riadení bezpečnosti cestnej infra</w:t>
      </w:r>
      <w:r>
        <w:rPr>
          <w:sz w:val="22"/>
          <w:szCs w:val="22"/>
        </w:rPr>
        <w:t>štruktúry. Bezpečnostný audit a </w:t>
      </w:r>
      <w:r w:rsidR="009553A0" w:rsidRPr="00430B9D">
        <w:rPr>
          <w:sz w:val="22"/>
          <w:szCs w:val="22"/>
        </w:rPr>
        <w:t xml:space="preserve">inšpekcia </w:t>
      </w:r>
      <w:r w:rsidR="009553A0">
        <w:rPr>
          <w:sz w:val="22"/>
          <w:szCs w:val="22"/>
        </w:rPr>
        <w:t xml:space="preserve">v SR </w:t>
      </w:r>
      <w:r w:rsidR="009553A0" w:rsidRPr="00430B9D">
        <w:rPr>
          <w:sz w:val="22"/>
          <w:szCs w:val="22"/>
        </w:rPr>
        <w:t>sa vykonávajú na základe zákona č. 249/2011 Z. z. o riadení bezpečnosti pozemných komunikácií a o zmene a doplnení niektorých zákonov v znení neskorších predpisov</w:t>
      </w:r>
      <w:r w:rsidR="009553A0">
        <w:rPr>
          <w:sz w:val="22"/>
          <w:szCs w:val="22"/>
        </w:rPr>
        <w:t xml:space="preserve"> a</w:t>
      </w:r>
      <w:r>
        <w:rPr>
          <w:sz w:val="22"/>
          <w:szCs w:val="22"/>
        </w:rPr>
        <w:t xml:space="preserve"> vyhlášky č. </w:t>
      </w:r>
      <w:r w:rsidR="009553A0" w:rsidRPr="00430B9D">
        <w:rPr>
          <w:sz w:val="22"/>
          <w:szCs w:val="22"/>
        </w:rPr>
        <w:t>251/2011 Z. z.</w:t>
      </w:r>
      <w:r w:rsidR="00724E8C">
        <w:rPr>
          <w:sz w:val="22"/>
          <w:szCs w:val="22"/>
        </w:rPr>
        <w:t>,</w:t>
      </w:r>
      <w:r w:rsidR="009553A0" w:rsidRPr="00430B9D">
        <w:rPr>
          <w:sz w:val="22"/>
          <w:szCs w:val="22"/>
        </w:rPr>
        <w:t xml:space="preserve"> ktorou sa ustanovujú podrobnosti riadenia bezp</w:t>
      </w:r>
      <w:r>
        <w:rPr>
          <w:sz w:val="22"/>
          <w:szCs w:val="22"/>
        </w:rPr>
        <w:t>ečnosti pozemných komunikácií a </w:t>
      </w:r>
      <w:r w:rsidR="009553A0" w:rsidRPr="00430B9D">
        <w:rPr>
          <w:sz w:val="22"/>
          <w:szCs w:val="22"/>
        </w:rPr>
        <w:t>vyhlášky č. 135/2012 Z. z.</w:t>
      </w:r>
      <w:r w:rsidR="00724E8C">
        <w:rPr>
          <w:sz w:val="22"/>
          <w:szCs w:val="22"/>
        </w:rPr>
        <w:t>,</w:t>
      </w:r>
      <w:r w:rsidR="009553A0" w:rsidRPr="00430B9D">
        <w:rPr>
          <w:sz w:val="22"/>
          <w:szCs w:val="22"/>
        </w:rPr>
        <w:t xml:space="preserve"> ktorou sa ustanovujú podrobnosti o odbornej príprave, o odbornej skúške a o výkone činnosti audítora bezpečnosti pozemnej komunikácie, o zápise do zoznamu audítorov bezpečnosti pozemných komunikácií a o zápise do zoznamu vzdelávac</w:t>
      </w:r>
      <w:r>
        <w:rPr>
          <w:sz w:val="22"/>
          <w:szCs w:val="22"/>
        </w:rPr>
        <w:t>ích inštitúcií akreditovaných v </w:t>
      </w:r>
      <w:r w:rsidR="009553A0" w:rsidRPr="00430B9D">
        <w:rPr>
          <w:sz w:val="22"/>
          <w:szCs w:val="22"/>
        </w:rPr>
        <w:t>odbore riadenia bezpečnosti pozemných komunikácií.</w:t>
      </w:r>
      <w:r w:rsidR="009553A0">
        <w:rPr>
          <w:sz w:val="22"/>
          <w:szCs w:val="22"/>
        </w:rPr>
        <w:t xml:space="preserve"> </w:t>
      </w:r>
      <w:r w:rsidR="009553A0" w:rsidRPr="007A461E">
        <w:rPr>
          <w:sz w:val="22"/>
          <w:szCs w:val="22"/>
        </w:rPr>
        <w:t xml:space="preserve">V súlade so smernicou boli stanovené postupy, ktoré by mali byť významným nástrojom na zlepšenie bezpečnosti cestnej infraštruktúry. </w:t>
      </w:r>
    </w:p>
    <w:p w:rsidR="009553A0" w:rsidRDefault="009553A0" w:rsidP="00E76508">
      <w:pPr>
        <w:spacing w:before="180" w:after="240"/>
        <w:jc w:val="both"/>
        <w:rPr>
          <w:sz w:val="22"/>
          <w:szCs w:val="22"/>
        </w:rPr>
      </w:pPr>
      <w:r w:rsidRPr="00470036">
        <w:rPr>
          <w:sz w:val="22"/>
          <w:szCs w:val="22"/>
        </w:rPr>
        <w:t>V</w:t>
      </w:r>
      <w:r>
        <w:rPr>
          <w:sz w:val="22"/>
          <w:szCs w:val="22"/>
        </w:rPr>
        <w:t> </w:t>
      </w:r>
      <w:r w:rsidRPr="00470036">
        <w:rPr>
          <w:sz w:val="22"/>
          <w:szCs w:val="22"/>
        </w:rPr>
        <w:t>oblasti zvyšovania bezpečnosti na existujúcich diaľniciach a</w:t>
      </w:r>
      <w:r>
        <w:rPr>
          <w:sz w:val="22"/>
          <w:szCs w:val="22"/>
        </w:rPr>
        <w:t> </w:t>
      </w:r>
      <w:r w:rsidRPr="00470036">
        <w:rPr>
          <w:sz w:val="22"/>
          <w:szCs w:val="22"/>
        </w:rPr>
        <w:t>rýchlostných cestách bude snahou MDVRR SR reagovať na aktuálne problémy cestnej premávky, a</w:t>
      </w:r>
      <w:r>
        <w:rPr>
          <w:sz w:val="22"/>
          <w:szCs w:val="22"/>
        </w:rPr>
        <w:t> </w:t>
      </w:r>
      <w:r w:rsidRPr="00470036">
        <w:rPr>
          <w:sz w:val="22"/>
          <w:szCs w:val="22"/>
        </w:rPr>
        <w:t>to</w:t>
      </w:r>
      <w:r w:rsidRPr="00FA4701">
        <w:rPr>
          <w:b/>
          <w:sz w:val="22"/>
          <w:szCs w:val="22"/>
        </w:rPr>
        <w:t xml:space="preserve"> budovaním bezpečných koridorov pre migráciu zveri (ekoduktov), výstavbou oplotenia v kritických úsekoch, zvýšením kapacity exponovaných úsekov</w:t>
      </w:r>
      <w:r w:rsidR="00B47DA8">
        <w:rPr>
          <w:b/>
          <w:sz w:val="22"/>
          <w:szCs w:val="22"/>
        </w:rPr>
        <w:t xml:space="preserve">, aplikáciou dopravnej telematiky </w:t>
      </w:r>
      <w:r w:rsidRPr="00470036">
        <w:rPr>
          <w:sz w:val="22"/>
          <w:szCs w:val="22"/>
        </w:rPr>
        <w:t>a</w:t>
      </w:r>
      <w:r>
        <w:rPr>
          <w:sz w:val="22"/>
          <w:szCs w:val="22"/>
        </w:rPr>
        <w:t> </w:t>
      </w:r>
      <w:r w:rsidRPr="00470036">
        <w:rPr>
          <w:sz w:val="22"/>
          <w:szCs w:val="22"/>
        </w:rPr>
        <w:t>pod.</w:t>
      </w:r>
    </w:p>
    <w:p w:rsidR="00B47DA8" w:rsidRDefault="00B47DA8" w:rsidP="00E76508">
      <w:pPr>
        <w:spacing w:before="180" w:after="240"/>
        <w:jc w:val="both"/>
        <w:rPr>
          <w:sz w:val="22"/>
          <w:szCs w:val="22"/>
        </w:rPr>
      </w:pPr>
    </w:p>
    <w:p w:rsidR="00134C4D" w:rsidRDefault="00134C4D" w:rsidP="00134C4D">
      <w:pPr>
        <w:numPr>
          <w:ilvl w:val="2"/>
          <w:numId w:val="27"/>
        </w:numPr>
        <w:spacing w:before="180" w:after="120"/>
        <w:ind w:left="851" w:hanging="425"/>
        <w:jc w:val="both"/>
        <w:rPr>
          <w:b/>
          <w:i/>
          <w:color w:val="548DD4" w:themeColor="text2" w:themeTint="99"/>
          <w:sz w:val="22"/>
          <w:szCs w:val="22"/>
        </w:rPr>
      </w:pPr>
      <w:r>
        <w:rPr>
          <w:b/>
          <w:i/>
          <w:color w:val="548DD4" w:themeColor="text2" w:themeTint="99"/>
          <w:sz w:val="22"/>
          <w:szCs w:val="22"/>
        </w:rPr>
        <w:lastRenderedPageBreak/>
        <w:t>Modernizácia ciest I. triedy v trasách TEN-T CORE</w:t>
      </w:r>
    </w:p>
    <w:p w:rsidR="00E76508" w:rsidRPr="00A34DD1" w:rsidRDefault="00E76508" w:rsidP="00E76508">
      <w:pPr>
        <w:spacing w:before="120" w:after="240"/>
        <w:jc w:val="both"/>
        <w:rPr>
          <w:b/>
          <w:i/>
          <w:color w:val="548DD4" w:themeColor="text2" w:themeTint="99"/>
          <w:sz w:val="22"/>
          <w:szCs w:val="22"/>
        </w:rPr>
      </w:pPr>
      <w:r>
        <w:rPr>
          <w:sz w:val="22"/>
          <w:szCs w:val="22"/>
        </w:rPr>
        <w:t>V odôvodnených prípadoch budú zdroje prioritnej osi využité na modernizáciu ciest I. triedy vedených v trasách TEN-T CORE. Ide o prípady, kedy sa zo strednodobého hľadiska nepredpokladá v dotknutom území výstavba diaľnice alebo rýchlostnej cesty a z dopravného, ako aj ekonomického hľadiska je efektívnejšia modernizácia súčasnej cesty I. triedy.</w:t>
      </w:r>
    </w:p>
    <w:p w:rsidR="009553A0" w:rsidRPr="00A34DD1" w:rsidRDefault="009553A0" w:rsidP="00134C4D">
      <w:pPr>
        <w:numPr>
          <w:ilvl w:val="2"/>
          <w:numId w:val="27"/>
        </w:numPr>
        <w:spacing w:before="180" w:after="120"/>
        <w:ind w:left="851" w:hanging="425"/>
        <w:jc w:val="both"/>
        <w:rPr>
          <w:b/>
          <w:i/>
          <w:color w:val="548DD4" w:themeColor="text2" w:themeTint="99"/>
          <w:sz w:val="22"/>
          <w:szCs w:val="22"/>
        </w:rPr>
      </w:pPr>
      <w:r w:rsidRPr="00A34DD1">
        <w:rPr>
          <w:b/>
          <w:i/>
          <w:color w:val="548DD4" w:themeColor="text2" w:themeTint="99"/>
          <w:sz w:val="22"/>
          <w:szCs w:val="22"/>
        </w:rPr>
        <w:t>Projektová príprava</w:t>
      </w:r>
    </w:p>
    <w:p w:rsidR="00A50DEB" w:rsidRDefault="00A50DEB" w:rsidP="00A50DEB">
      <w:pPr>
        <w:spacing w:after="180"/>
        <w:jc w:val="both"/>
        <w:rPr>
          <w:color w:val="000000" w:themeColor="text1"/>
          <w:sz w:val="22"/>
          <w:szCs w:val="22"/>
        </w:rPr>
      </w:pPr>
      <w:r w:rsidRPr="009A7904">
        <w:rPr>
          <w:sz w:val="22"/>
          <w:szCs w:val="22"/>
        </w:rPr>
        <w:t xml:space="preserve">Zoznam stavieb, na ktoré je potrebné sústrediť pozornosť bol </w:t>
      </w:r>
      <w:r>
        <w:rPr>
          <w:sz w:val="22"/>
          <w:szCs w:val="22"/>
        </w:rPr>
        <w:t>identifikovaný</w:t>
      </w:r>
      <w:r w:rsidRPr="009A7904">
        <w:rPr>
          <w:sz w:val="22"/>
          <w:szCs w:val="22"/>
        </w:rPr>
        <w:t xml:space="preserve"> v Strategickom pláne. </w:t>
      </w:r>
      <w:r w:rsidRPr="009A7904">
        <w:rPr>
          <w:color w:val="000000" w:themeColor="text1"/>
          <w:sz w:val="22"/>
          <w:szCs w:val="22"/>
        </w:rPr>
        <w:t xml:space="preserve">Zoznam obsahuje </w:t>
      </w:r>
      <w:r>
        <w:rPr>
          <w:color w:val="000000" w:themeColor="text1"/>
          <w:sz w:val="22"/>
          <w:szCs w:val="22"/>
        </w:rPr>
        <w:t>priority</w:t>
      </w:r>
      <w:r w:rsidRPr="009A7904">
        <w:rPr>
          <w:color w:val="000000" w:themeColor="text1"/>
          <w:sz w:val="22"/>
          <w:szCs w:val="22"/>
        </w:rPr>
        <w:t xml:space="preserve"> súvisiace s realizačnými projektmi v rámci obdobia 2014 –</w:t>
      </w:r>
      <w:r>
        <w:rPr>
          <w:color w:val="000000" w:themeColor="text1"/>
          <w:sz w:val="22"/>
          <w:szCs w:val="22"/>
        </w:rPr>
        <w:t xml:space="preserve"> </w:t>
      </w:r>
      <w:r w:rsidR="0079404A">
        <w:rPr>
          <w:color w:val="000000" w:themeColor="text1"/>
          <w:sz w:val="22"/>
          <w:szCs w:val="22"/>
        </w:rPr>
        <w:t>2023, ako aj za </w:t>
      </w:r>
      <w:r w:rsidRPr="009A7904">
        <w:rPr>
          <w:color w:val="000000" w:themeColor="text1"/>
          <w:sz w:val="22"/>
          <w:szCs w:val="22"/>
        </w:rPr>
        <w:t>týmto horizontom.</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290"/>
        <w:gridCol w:w="5782"/>
      </w:tblGrid>
      <w:tr w:rsidR="00293C83" w:rsidTr="00532DA2">
        <w:trPr>
          <w:trHeight w:val="340"/>
          <w:jc w:val="center"/>
        </w:trPr>
        <w:tc>
          <w:tcPr>
            <w:tcW w:w="3290" w:type="dxa"/>
            <w:shd w:val="clear" w:color="auto" w:fill="DBE5F1" w:themeFill="accent1" w:themeFillTint="33"/>
            <w:vAlign w:val="center"/>
          </w:tcPr>
          <w:p w:rsidR="00293C83" w:rsidRPr="009553A0" w:rsidRDefault="00293C83" w:rsidP="00532DA2">
            <w:pPr>
              <w:autoSpaceDE w:val="0"/>
              <w:autoSpaceDN w:val="0"/>
              <w:adjustRightInd w:val="0"/>
              <w:ind w:left="0"/>
              <w:rPr>
                <w:i/>
                <w:sz w:val="22"/>
                <w:szCs w:val="22"/>
              </w:rPr>
            </w:pPr>
            <w:r w:rsidRPr="009553A0">
              <w:rPr>
                <w:i/>
                <w:sz w:val="22"/>
                <w:szCs w:val="22"/>
              </w:rPr>
              <w:t>Cieľové skupiny:</w:t>
            </w:r>
          </w:p>
        </w:tc>
        <w:tc>
          <w:tcPr>
            <w:tcW w:w="5782" w:type="dxa"/>
            <w:vAlign w:val="center"/>
          </w:tcPr>
          <w:p w:rsidR="00293C83" w:rsidRDefault="00293C83" w:rsidP="00532DA2">
            <w:pPr>
              <w:pStyle w:val="Odsekzoznamu"/>
              <w:numPr>
                <w:ilvl w:val="0"/>
                <w:numId w:val="28"/>
              </w:numPr>
              <w:autoSpaceDE w:val="0"/>
              <w:autoSpaceDN w:val="0"/>
              <w:adjustRightInd w:val="0"/>
              <w:ind w:left="284" w:hanging="284"/>
              <w:rPr>
                <w:sz w:val="22"/>
                <w:szCs w:val="22"/>
              </w:rPr>
            </w:pPr>
            <w:r>
              <w:rPr>
                <w:sz w:val="22"/>
                <w:szCs w:val="22"/>
              </w:rPr>
              <w:t>široká verejnosť</w:t>
            </w:r>
          </w:p>
        </w:tc>
      </w:tr>
      <w:tr w:rsidR="00293C83" w:rsidTr="00532DA2">
        <w:trPr>
          <w:trHeight w:val="340"/>
          <w:jc w:val="center"/>
        </w:trPr>
        <w:tc>
          <w:tcPr>
            <w:tcW w:w="3290" w:type="dxa"/>
            <w:shd w:val="clear" w:color="auto" w:fill="DBE5F1" w:themeFill="accent1" w:themeFillTint="33"/>
            <w:vAlign w:val="center"/>
          </w:tcPr>
          <w:p w:rsidR="00293C83" w:rsidRPr="009553A0" w:rsidRDefault="00293C83" w:rsidP="00532DA2">
            <w:pPr>
              <w:autoSpaceDE w:val="0"/>
              <w:autoSpaceDN w:val="0"/>
              <w:adjustRightInd w:val="0"/>
              <w:ind w:left="0"/>
              <w:rPr>
                <w:i/>
                <w:sz w:val="22"/>
                <w:szCs w:val="22"/>
              </w:rPr>
            </w:pPr>
            <w:r w:rsidRPr="009553A0">
              <w:rPr>
                <w:i/>
                <w:sz w:val="22"/>
                <w:szCs w:val="22"/>
              </w:rPr>
              <w:t>Cieľové územia:</w:t>
            </w:r>
          </w:p>
        </w:tc>
        <w:tc>
          <w:tcPr>
            <w:tcW w:w="5782" w:type="dxa"/>
            <w:vAlign w:val="center"/>
          </w:tcPr>
          <w:p w:rsidR="00293C83" w:rsidRDefault="00293C83" w:rsidP="00532DA2">
            <w:pPr>
              <w:pStyle w:val="Odsekzoznamu"/>
              <w:numPr>
                <w:ilvl w:val="0"/>
                <w:numId w:val="28"/>
              </w:numPr>
              <w:autoSpaceDE w:val="0"/>
              <w:autoSpaceDN w:val="0"/>
              <w:adjustRightInd w:val="0"/>
              <w:ind w:left="284" w:hanging="284"/>
              <w:rPr>
                <w:sz w:val="22"/>
                <w:szCs w:val="22"/>
              </w:rPr>
            </w:pPr>
            <w:r>
              <w:rPr>
                <w:sz w:val="22"/>
                <w:szCs w:val="22"/>
              </w:rPr>
              <w:t>NUTS 1 (celé územie SR)</w:t>
            </w:r>
          </w:p>
        </w:tc>
      </w:tr>
      <w:tr w:rsidR="00293C83" w:rsidTr="00532DA2">
        <w:trPr>
          <w:trHeight w:val="340"/>
          <w:jc w:val="center"/>
        </w:trPr>
        <w:tc>
          <w:tcPr>
            <w:tcW w:w="3290" w:type="dxa"/>
            <w:shd w:val="clear" w:color="auto" w:fill="DBE5F1" w:themeFill="accent1" w:themeFillTint="33"/>
            <w:vAlign w:val="center"/>
          </w:tcPr>
          <w:p w:rsidR="00293C83" w:rsidRPr="009553A0" w:rsidRDefault="00293C83" w:rsidP="00532DA2">
            <w:pPr>
              <w:autoSpaceDE w:val="0"/>
              <w:autoSpaceDN w:val="0"/>
              <w:adjustRightInd w:val="0"/>
              <w:ind w:left="0"/>
              <w:rPr>
                <w:i/>
                <w:sz w:val="22"/>
                <w:szCs w:val="22"/>
              </w:rPr>
            </w:pPr>
            <w:r w:rsidRPr="009553A0">
              <w:rPr>
                <w:i/>
                <w:sz w:val="22"/>
                <w:szCs w:val="22"/>
              </w:rPr>
              <w:t>Prijímatelia:</w:t>
            </w:r>
          </w:p>
        </w:tc>
        <w:tc>
          <w:tcPr>
            <w:tcW w:w="5782" w:type="dxa"/>
            <w:vAlign w:val="center"/>
          </w:tcPr>
          <w:p w:rsidR="00293C83" w:rsidRDefault="00293C83" w:rsidP="00532DA2">
            <w:pPr>
              <w:pStyle w:val="Odsekzoznamu"/>
              <w:numPr>
                <w:ilvl w:val="0"/>
                <w:numId w:val="28"/>
              </w:numPr>
              <w:autoSpaceDE w:val="0"/>
              <w:autoSpaceDN w:val="0"/>
              <w:adjustRightInd w:val="0"/>
              <w:ind w:left="284" w:hanging="284"/>
              <w:rPr>
                <w:sz w:val="22"/>
                <w:szCs w:val="22"/>
              </w:rPr>
            </w:pPr>
            <w:r>
              <w:rPr>
                <w:sz w:val="22"/>
                <w:szCs w:val="22"/>
              </w:rPr>
              <w:t>Národná diaľničná spoločnosť, a.s.</w:t>
            </w:r>
          </w:p>
          <w:p w:rsidR="00293C83" w:rsidRPr="00C26329" w:rsidRDefault="00293C83" w:rsidP="00532DA2">
            <w:pPr>
              <w:pStyle w:val="Odsekzoznamu"/>
              <w:numPr>
                <w:ilvl w:val="0"/>
                <w:numId w:val="28"/>
              </w:numPr>
              <w:autoSpaceDE w:val="0"/>
              <w:autoSpaceDN w:val="0"/>
              <w:adjustRightInd w:val="0"/>
              <w:ind w:left="284" w:hanging="284"/>
              <w:rPr>
                <w:sz w:val="22"/>
                <w:szCs w:val="22"/>
              </w:rPr>
            </w:pPr>
            <w:r>
              <w:rPr>
                <w:sz w:val="22"/>
                <w:szCs w:val="22"/>
              </w:rPr>
              <w:t>MDVRR SR</w:t>
            </w:r>
          </w:p>
        </w:tc>
      </w:tr>
    </w:tbl>
    <w:p w:rsidR="000001AA" w:rsidRDefault="000001AA" w:rsidP="00A34DD1">
      <w:pPr>
        <w:pStyle w:val="Nadpis4"/>
        <w:spacing w:before="240"/>
      </w:pPr>
      <w:r>
        <w:t>Hlavné princípy výberu projektov</w:t>
      </w:r>
    </w:p>
    <w:p w:rsidR="000001AA" w:rsidRPr="000001AA" w:rsidRDefault="000001AA" w:rsidP="000001AA">
      <w:pPr>
        <w:tabs>
          <w:tab w:val="left" w:pos="540"/>
        </w:tabs>
        <w:jc w:val="both"/>
        <w:rPr>
          <w:sz w:val="22"/>
          <w:szCs w:val="22"/>
        </w:rPr>
      </w:pPr>
      <w:r>
        <w:rPr>
          <w:sz w:val="22"/>
          <w:szCs w:val="22"/>
        </w:rPr>
        <w:t>Vzhľadom na </w:t>
      </w:r>
      <w:r w:rsidRPr="00FE75AD">
        <w:rPr>
          <w:sz w:val="22"/>
          <w:szCs w:val="22"/>
        </w:rPr>
        <w:t>špecifické postavenie MDVRR SR vo vzťahu k</w:t>
      </w:r>
      <w:r>
        <w:rPr>
          <w:sz w:val="22"/>
          <w:szCs w:val="22"/>
        </w:rPr>
        <w:t> </w:t>
      </w:r>
      <w:r w:rsidRPr="00FE75AD">
        <w:rPr>
          <w:sz w:val="22"/>
          <w:szCs w:val="22"/>
        </w:rPr>
        <w:t>podporovaným aktivitám budú jednotliví prijímatelia stanovení vopred a</w:t>
      </w:r>
      <w:r>
        <w:rPr>
          <w:sz w:val="22"/>
          <w:szCs w:val="22"/>
        </w:rPr>
        <w:t> </w:t>
      </w:r>
      <w:r w:rsidRPr="00FE75AD">
        <w:rPr>
          <w:sz w:val="22"/>
          <w:szCs w:val="22"/>
        </w:rPr>
        <w:t>písomnými vyzvaniami (pre stanovené oblasti) žiadaní o</w:t>
      </w:r>
      <w:r>
        <w:rPr>
          <w:sz w:val="22"/>
          <w:szCs w:val="22"/>
        </w:rPr>
        <w:t> </w:t>
      </w:r>
      <w:r w:rsidRPr="00FE75AD">
        <w:rPr>
          <w:sz w:val="22"/>
          <w:szCs w:val="22"/>
        </w:rPr>
        <w:t>predkladanie projektových žiadostí.</w:t>
      </w:r>
      <w:r>
        <w:rPr>
          <w:sz w:val="22"/>
          <w:szCs w:val="22"/>
        </w:rPr>
        <w:t xml:space="preserve"> </w:t>
      </w:r>
      <w:r w:rsidRPr="00FE75AD">
        <w:rPr>
          <w:sz w:val="22"/>
          <w:szCs w:val="22"/>
        </w:rPr>
        <w:t xml:space="preserve">Výber </w:t>
      </w:r>
      <w:r>
        <w:rPr>
          <w:sz w:val="22"/>
          <w:szCs w:val="22"/>
        </w:rPr>
        <w:t>projektov na </w:t>
      </w:r>
      <w:r w:rsidRPr="00FE75AD">
        <w:rPr>
          <w:sz w:val="22"/>
          <w:szCs w:val="22"/>
        </w:rPr>
        <w:t>implementáci</w:t>
      </w:r>
      <w:r>
        <w:rPr>
          <w:sz w:val="22"/>
          <w:szCs w:val="22"/>
        </w:rPr>
        <w:t>u bude rešpektovať výstupy strategických dokumentov spracovaných pre potreby programového obdobia, ako aj ich prípad</w:t>
      </w:r>
      <w:r w:rsidR="00A95966">
        <w:rPr>
          <w:sz w:val="22"/>
          <w:szCs w:val="22"/>
        </w:rPr>
        <w:t xml:space="preserve">né aktualizácie, ktoré zohľadňujú </w:t>
      </w:r>
      <w:r>
        <w:rPr>
          <w:sz w:val="22"/>
          <w:szCs w:val="22"/>
        </w:rPr>
        <w:t xml:space="preserve">rezortné potreby v širšom kontexte. Ide predovšetkým o Strategický plán a Stratégiu </w:t>
      </w:r>
      <w:r w:rsidR="0079404A">
        <w:rPr>
          <w:sz w:val="22"/>
          <w:szCs w:val="22"/>
        </w:rPr>
        <w:t>VOD</w:t>
      </w:r>
      <w:r>
        <w:rPr>
          <w:sz w:val="22"/>
          <w:szCs w:val="22"/>
        </w:rPr>
        <w:t>.</w:t>
      </w:r>
    </w:p>
    <w:p w:rsidR="00C26329" w:rsidRDefault="00C26329" w:rsidP="00A34DD1">
      <w:pPr>
        <w:pStyle w:val="Nadpis4"/>
        <w:spacing w:before="240"/>
      </w:pPr>
      <w:r>
        <w:t>Plánované využitie finančných nástrojov</w:t>
      </w:r>
    </w:p>
    <w:p w:rsidR="00C26329" w:rsidRPr="00AB00A4" w:rsidRDefault="00C26329" w:rsidP="00C26329">
      <w:pPr>
        <w:jc w:val="both"/>
        <w:rPr>
          <w:sz w:val="22"/>
          <w:szCs w:val="22"/>
        </w:rPr>
      </w:pPr>
      <w:r w:rsidRPr="00AB00A4">
        <w:rPr>
          <w:sz w:val="22"/>
          <w:szCs w:val="22"/>
        </w:rPr>
        <w:t>Finančné nástroje budú použité na podporu implementácie tých aktivít, pri ktorých bude preukázané efektívnejšie využitie finančných prostriedkov z EŠIF takouto formou podpory. Pri ekonomicky životaschopných projektoch, kde sa predpokladá návratnosť prostriedkov alebo úspora nákladov, predstavujú finančné nástroje vhodnejšiu formu podpory, ktorá vedie len k minimálnej, prípadne žiadnej deformácii trhu a nenarúša tak hospodársku súťaž. Finančné nástroje budú zamerané na podporu tých aktivít, ktoré nenachádzajú financovanie na trhu, prípadne nenachádzajú adekvátne financovanie, pri ktorom by ich realizácia bola efektívnou.</w:t>
      </w:r>
    </w:p>
    <w:p w:rsidR="00C26329" w:rsidRDefault="00C26329" w:rsidP="00C26329">
      <w:pPr>
        <w:spacing w:before="180"/>
        <w:jc w:val="both"/>
        <w:rPr>
          <w:sz w:val="22"/>
          <w:szCs w:val="22"/>
        </w:rPr>
      </w:pPr>
      <w:r w:rsidRPr="00430B9D">
        <w:rPr>
          <w:sz w:val="22"/>
          <w:szCs w:val="22"/>
        </w:rPr>
        <w:t>Okrem možnosti opakovateľného použitia prostriedkov</w:t>
      </w:r>
      <w:r w:rsidR="00A95966">
        <w:rPr>
          <w:sz w:val="22"/>
          <w:szCs w:val="22"/>
        </w:rPr>
        <w:t xml:space="preserve"> na realizáciu cieľov </w:t>
      </w:r>
      <w:r w:rsidRPr="00430B9D">
        <w:rPr>
          <w:sz w:val="22"/>
          <w:szCs w:val="22"/>
        </w:rPr>
        <w:t xml:space="preserve">prioritnej osi patrí medzi výhody využitia finančných nástrojov možnosť navýšenia </w:t>
      </w:r>
      <w:r w:rsidR="00A95966">
        <w:rPr>
          <w:sz w:val="22"/>
          <w:szCs w:val="22"/>
        </w:rPr>
        <w:t>prostriedkov na</w:t>
      </w:r>
      <w:r>
        <w:rPr>
          <w:sz w:val="22"/>
          <w:szCs w:val="22"/>
        </w:rPr>
        <w:t> </w:t>
      </w:r>
      <w:r w:rsidRPr="00430B9D">
        <w:rPr>
          <w:sz w:val="22"/>
          <w:szCs w:val="22"/>
        </w:rPr>
        <w:t>dosiahnutie príslušných cieľov prostredníctvom pritiahnutia dodatočného kapitálu vďaka atraktívnemu nastaveniu daných nástrojov. Pritiahnutie dodatočného kapi</w:t>
      </w:r>
      <w:r>
        <w:rPr>
          <w:sz w:val="22"/>
          <w:szCs w:val="22"/>
        </w:rPr>
        <w:t>tálu je potrebné aj vzhľadom na limitovaný</w:t>
      </w:r>
      <w:r w:rsidRPr="00430B9D">
        <w:rPr>
          <w:sz w:val="22"/>
          <w:szCs w:val="22"/>
        </w:rPr>
        <w:t xml:space="preserve"> objem prostriedkov z </w:t>
      </w:r>
      <w:r>
        <w:rPr>
          <w:sz w:val="22"/>
          <w:szCs w:val="22"/>
        </w:rPr>
        <w:t>EŠIF</w:t>
      </w:r>
      <w:r w:rsidRPr="00430B9D">
        <w:rPr>
          <w:sz w:val="22"/>
          <w:szCs w:val="22"/>
        </w:rPr>
        <w:t xml:space="preserve"> na pokrytie všetkých investičných potrieb v príslušných oblastiach. Účasť súkromných investorov môže prispieť aj ku skvalitneniu implementácie projektov, a teda dodatočne prispieva k celkovo efektívnejšiemu po</w:t>
      </w:r>
      <w:r>
        <w:rPr>
          <w:sz w:val="22"/>
          <w:szCs w:val="22"/>
        </w:rPr>
        <w:t>užitiu finančných prostriedkov.</w:t>
      </w:r>
    </w:p>
    <w:p w:rsidR="000A1A12" w:rsidRPr="00034021" w:rsidRDefault="000A1A12" w:rsidP="000A1A12">
      <w:pPr>
        <w:spacing w:before="180"/>
        <w:jc w:val="both"/>
        <w:rPr>
          <w:sz w:val="22"/>
          <w:szCs w:val="22"/>
        </w:rPr>
      </w:pPr>
      <w:r w:rsidRPr="00034021">
        <w:rPr>
          <w:sz w:val="22"/>
          <w:szCs w:val="22"/>
        </w:rPr>
        <w:t>Príslušné aktivity bude možné podporiť rôznymi finančnými produktmi (úvery, záruky, kapitálové vklady, mezanínové financovanie a</w:t>
      </w:r>
      <w:r>
        <w:rPr>
          <w:sz w:val="22"/>
          <w:szCs w:val="22"/>
        </w:rPr>
        <w:t> </w:t>
      </w:r>
      <w:r w:rsidRPr="00034021">
        <w:rPr>
          <w:sz w:val="22"/>
          <w:szCs w:val="22"/>
        </w:rPr>
        <w:t>pod</w:t>
      </w:r>
      <w:r>
        <w:rPr>
          <w:sz w:val="22"/>
          <w:szCs w:val="22"/>
        </w:rPr>
        <w:t>.</w:t>
      </w:r>
      <w:r w:rsidRPr="00034021">
        <w:rPr>
          <w:sz w:val="22"/>
          <w:szCs w:val="22"/>
        </w:rPr>
        <w:t xml:space="preserve">). V súlade s čl. 37(2) nariadenia č. 1303/2013, </w:t>
      </w:r>
      <w:r w:rsidRPr="00034021">
        <w:rPr>
          <w:b/>
          <w:sz w:val="22"/>
          <w:szCs w:val="22"/>
        </w:rPr>
        <w:t>konkrétne aktivity, vhodná suma prostriedkov a podmienky implementácie finančných nástrojov vrátane možnej multiplikácie alokovaných prostriedkov a ich kombinácie s inými formami podpory budú vychádzať z výsledkov ex ante hodnotenia pre finančné nástroje</w:t>
      </w:r>
      <w:r>
        <w:rPr>
          <w:b/>
          <w:sz w:val="22"/>
          <w:szCs w:val="22"/>
        </w:rPr>
        <w:t>.</w:t>
      </w:r>
    </w:p>
    <w:p w:rsidR="005917D8" w:rsidRDefault="005917D8" w:rsidP="00740654">
      <w:pPr>
        <w:pStyle w:val="Nadpis4"/>
      </w:pPr>
      <w:r>
        <w:t>Plánované využitie veľkých projektov</w:t>
      </w:r>
    </w:p>
    <w:p w:rsidR="004570F8" w:rsidRDefault="005917D8" w:rsidP="005917D8">
      <w:pPr>
        <w:jc w:val="both"/>
        <w:rPr>
          <w:sz w:val="22"/>
          <w:szCs w:val="22"/>
        </w:rPr>
      </w:pPr>
      <w:r w:rsidRPr="00FE75AD">
        <w:rPr>
          <w:sz w:val="22"/>
          <w:szCs w:val="22"/>
        </w:rPr>
        <w:t>Zoznam veľkých projektov, ktorých spolufinancovanie z</w:t>
      </w:r>
      <w:r>
        <w:rPr>
          <w:sz w:val="22"/>
          <w:szCs w:val="22"/>
        </w:rPr>
        <w:t> </w:t>
      </w:r>
      <w:r w:rsidRPr="00FE75AD">
        <w:rPr>
          <w:sz w:val="22"/>
          <w:szCs w:val="22"/>
        </w:rPr>
        <w:t>prostriedkov prioritnej osi navrhuje RO </w:t>
      </w:r>
      <w:r>
        <w:rPr>
          <w:sz w:val="22"/>
          <w:szCs w:val="22"/>
        </w:rPr>
        <w:t>OPII</w:t>
      </w:r>
      <w:r w:rsidRPr="00FE75AD">
        <w:rPr>
          <w:sz w:val="22"/>
          <w:szCs w:val="22"/>
        </w:rPr>
        <w:t xml:space="preserve"> je uvedený v</w:t>
      </w:r>
      <w:r>
        <w:rPr>
          <w:sz w:val="22"/>
          <w:szCs w:val="22"/>
        </w:rPr>
        <w:t> kapitole 13.1</w:t>
      </w:r>
      <w:r w:rsidRPr="00FE75AD">
        <w:rPr>
          <w:sz w:val="22"/>
          <w:szCs w:val="22"/>
        </w:rPr>
        <w:t>.</w:t>
      </w:r>
      <w:r>
        <w:rPr>
          <w:sz w:val="22"/>
          <w:szCs w:val="22"/>
        </w:rPr>
        <w:t xml:space="preserve"> </w:t>
      </w:r>
      <w:r w:rsidRPr="005F1686">
        <w:rPr>
          <w:sz w:val="22"/>
          <w:szCs w:val="22"/>
        </w:rPr>
        <w:t>Grafic</w:t>
      </w:r>
      <w:r w:rsidR="00724E8C">
        <w:rPr>
          <w:sz w:val="22"/>
          <w:szCs w:val="22"/>
        </w:rPr>
        <w:t>ké zobrazenie rozvoja cestne</w:t>
      </w:r>
      <w:r w:rsidRPr="005F1686">
        <w:rPr>
          <w:sz w:val="22"/>
          <w:szCs w:val="22"/>
        </w:rPr>
        <w:t>j infraštruktúry na Slovensku zabezpečené realizáciou zadefinovaných veľkých projektov je uvedené v</w:t>
      </w:r>
      <w:r>
        <w:rPr>
          <w:sz w:val="22"/>
          <w:szCs w:val="22"/>
        </w:rPr>
        <w:t> </w:t>
      </w:r>
      <w:r w:rsidRPr="005F1686">
        <w:rPr>
          <w:sz w:val="22"/>
          <w:szCs w:val="22"/>
        </w:rPr>
        <w:t xml:space="preserve">Prílohe </w:t>
      </w:r>
      <w:r>
        <w:rPr>
          <w:sz w:val="22"/>
          <w:szCs w:val="22"/>
        </w:rPr>
        <w:t>4.</w:t>
      </w:r>
    </w:p>
    <w:p w:rsidR="008F7F04" w:rsidRDefault="008F7F04" w:rsidP="005917D8">
      <w:pPr>
        <w:jc w:val="both"/>
        <w:rPr>
          <w:sz w:val="22"/>
          <w:szCs w:val="22"/>
        </w:rPr>
      </w:pPr>
    </w:p>
    <w:p w:rsidR="008F7F04" w:rsidRDefault="008F7F04" w:rsidP="005917D8">
      <w:pPr>
        <w:jc w:val="both"/>
        <w:rPr>
          <w:sz w:val="22"/>
          <w:szCs w:val="22"/>
        </w:rPr>
      </w:pPr>
    </w:p>
    <w:p w:rsidR="008F7F04" w:rsidRDefault="008F7F04" w:rsidP="005917D8">
      <w:pPr>
        <w:jc w:val="both"/>
        <w:rPr>
          <w:sz w:val="22"/>
          <w:szCs w:val="22"/>
        </w:rPr>
      </w:pPr>
    </w:p>
    <w:p w:rsidR="008F7F04" w:rsidRDefault="008F7F04" w:rsidP="005917D8">
      <w:pPr>
        <w:jc w:val="both"/>
        <w:rPr>
          <w:sz w:val="22"/>
          <w:szCs w:val="22"/>
        </w:rPr>
      </w:pPr>
    </w:p>
    <w:p w:rsidR="008F7F04" w:rsidRDefault="008F7F04" w:rsidP="005917D8">
      <w:pPr>
        <w:jc w:val="both"/>
        <w:rPr>
          <w:sz w:val="22"/>
          <w:szCs w:val="22"/>
        </w:rPr>
      </w:pPr>
    </w:p>
    <w:p w:rsidR="008F7F04" w:rsidRDefault="008F7F04" w:rsidP="005917D8">
      <w:pPr>
        <w:jc w:val="both"/>
        <w:rPr>
          <w:sz w:val="22"/>
          <w:szCs w:val="22"/>
        </w:rPr>
      </w:pPr>
    </w:p>
    <w:p w:rsidR="005917D8" w:rsidRDefault="005917D8" w:rsidP="00740654">
      <w:pPr>
        <w:pStyle w:val="Nadpis4"/>
      </w:pPr>
      <w:r>
        <w:t>Ukazovatele výstupu na úrovni investičnej priority a kategórie regiónu</w:t>
      </w:r>
    </w:p>
    <w:p w:rsidR="005917D8" w:rsidRPr="008C1732" w:rsidRDefault="005917D8" w:rsidP="005917D8">
      <w:pPr>
        <w:pStyle w:val="Tab"/>
      </w:pPr>
      <w:r>
        <w:t>Spoločné a špecifické ukazovatele výstupu</w:t>
      </w:r>
      <w:r w:rsidR="004570F8">
        <w:t xml:space="preserve"> investičnej priority 7a)</w:t>
      </w:r>
    </w:p>
    <w:tbl>
      <w:tblPr>
        <w:tblStyle w:val="Mriekatabuky"/>
        <w:tblW w:w="941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78"/>
        <w:gridCol w:w="2425"/>
        <w:gridCol w:w="903"/>
        <w:gridCol w:w="621"/>
        <w:gridCol w:w="1229"/>
        <w:gridCol w:w="1253"/>
        <w:gridCol w:w="1015"/>
        <w:gridCol w:w="1388"/>
      </w:tblGrid>
      <w:tr w:rsidR="005917D8" w:rsidTr="0095191D">
        <w:trPr>
          <w:trHeight w:val="487"/>
          <w:jc w:val="center"/>
        </w:trPr>
        <w:tc>
          <w:tcPr>
            <w:tcW w:w="578" w:type="dxa"/>
            <w:shd w:val="clear" w:color="auto" w:fill="C6D9F1" w:themeFill="text2" w:themeFillTint="33"/>
            <w:vAlign w:val="center"/>
          </w:tcPr>
          <w:p w:rsidR="005917D8" w:rsidRPr="008C1732" w:rsidRDefault="00854EA5" w:rsidP="00350B96">
            <w:pPr>
              <w:ind w:left="0"/>
              <w:jc w:val="center"/>
              <w:rPr>
                <w:b/>
                <w:sz w:val="18"/>
                <w:szCs w:val="18"/>
              </w:rPr>
            </w:pPr>
            <w:r>
              <w:rPr>
                <w:b/>
                <w:sz w:val="18"/>
                <w:szCs w:val="18"/>
              </w:rPr>
              <w:t>P. č.</w:t>
            </w:r>
          </w:p>
        </w:tc>
        <w:tc>
          <w:tcPr>
            <w:tcW w:w="2425" w:type="dxa"/>
            <w:shd w:val="clear" w:color="auto" w:fill="C6D9F1" w:themeFill="text2" w:themeFillTint="33"/>
            <w:vAlign w:val="center"/>
          </w:tcPr>
          <w:p w:rsidR="005917D8" w:rsidRPr="008C1732" w:rsidRDefault="005917D8" w:rsidP="00350B96">
            <w:pPr>
              <w:ind w:left="0"/>
              <w:jc w:val="center"/>
              <w:rPr>
                <w:b/>
                <w:sz w:val="18"/>
                <w:szCs w:val="18"/>
              </w:rPr>
            </w:pPr>
            <w:r w:rsidRPr="008C1732">
              <w:rPr>
                <w:b/>
                <w:sz w:val="18"/>
                <w:szCs w:val="18"/>
              </w:rPr>
              <w:t>Ukazovateľ výstupu</w:t>
            </w:r>
          </w:p>
        </w:tc>
        <w:tc>
          <w:tcPr>
            <w:tcW w:w="903" w:type="dxa"/>
            <w:shd w:val="clear" w:color="auto" w:fill="C6D9F1" w:themeFill="text2" w:themeFillTint="33"/>
            <w:vAlign w:val="center"/>
          </w:tcPr>
          <w:p w:rsidR="005917D8" w:rsidRPr="008C1732" w:rsidRDefault="005917D8" w:rsidP="00350B96">
            <w:pPr>
              <w:ind w:left="0"/>
              <w:jc w:val="center"/>
              <w:rPr>
                <w:b/>
                <w:sz w:val="18"/>
                <w:szCs w:val="18"/>
              </w:rPr>
            </w:pPr>
            <w:r w:rsidRPr="008C1732">
              <w:rPr>
                <w:b/>
                <w:sz w:val="18"/>
                <w:szCs w:val="18"/>
              </w:rPr>
              <w:t>Merná jednotka</w:t>
            </w:r>
          </w:p>
        </w:tc>
        <w:tc>
          <w:tcPr>
            <w:tcW w:w="621" w:type="dxa"/>
            <w:shd w:val="clear" w:color="auto" w:fill="C6D9F1" w:themeFill="text2" w:themeFillTint="33"/>
            <w:vAlign w:val="center"/>
          </w:tcPr>
          <w:p w:rsidR="005917D8" w:rsidRPr="008C1732" w:rsidRDefault="005917D8" w:rsidP="00350B96">
            <w:pPr>
              <w:ind w:left="0"/>
              <w:jc w:val="center"/>
              <w:rPr>
                <w:b/>
                <w:sz w:val="18"/>
                <w:szCs w:val="18"/>
              </w:rPr>
            </w:pPr>
            <w:r w:rsidRPr="008C1732">
              <w:rPr>
                <w:b/>
                <w:sz w:val="18"/>
                <w:szCs w:val="18"/>
              </w:rPr>
              <w:t>Fond</w:t>
            </w:r>
          </w:p>
        </w:tc>
        <w:tc>
          <w:tcPr>
            <w:tcW w:w="1229" w:type="dxa"/>
            <w:shd w:val="clear" w:color="auto" w:fill="C6D9F1" w:themeFill="text2" w:themeFillTint="33"/>
            <w:vAlign w:val="center"/>
          </w:tcPr>
          <w:p w:rsidR="005917D8" w:rsidRPr="008C1732" w:rsidRDefault="005917D8" w:rsidP="00350B96">
            <w:pPr>
              <w:ind w:left="0"/>
              <w:jc w:val="center"/>
              <w:rPr>
                <w:b/>
                <w:sz w:val="18"/>
                <w:szCs w:val="18"/>
              </w:rPr>
            </w:pPr>
            <w:r w:rsidRPr="008C1732">
              <w:rPr>
                <w:b/>
                <w:sz w:val="18"/>
                <w:szCs w:val="18"/>
              </w:rPr>
              <w:t>Kategória regiónu</w:t>
            </w:r>
          </w:p>
        </w:tc>
        <w:tc>
          <w:tcPr>
            <w:tcW w:w="1253" w:type="dxa"/>
            <w:shd w:val="clear" w:color="auto" w:fill="C6D9F1" w:themeFill="text2" w:themeFillTint="33"/>
            <w:vAlign w:val="center"/>
          </w:tcPr>
          <w:p w:rsidR="005917D8" w:rsidRPr="008C1732" w:rsidRDefault="005917D8" w:rsidP="00350B96">
            <w:pPr>
              <w:ind w:left="0"/>
              <w:jc w:val="center"/>
              <w:rPr>
                <w:b/>
                <w:sz w:val="18"/>
                <w:szCs w:val="18"/>
              </w:rPr>
            </w:pPr>
            <w:r w:rsidRPr="008C1732">
              <w:rPr>
                <w:b/>
                <w:sz w:val="18"/>
                <w:szCs w:val="18"/>
              </w:rPr>
              <w:t>Cieľová hodnota (2023)</w:t>
            </w:r>
          </w:p>
        </w:tc>
        <w:tc>
          <w:tcPr>
            <w:tcW w:w="1015" w:type="dxa"/>
            <w:shd w:val="clear" w:color="auto" w:fill="C6D9F1" w:themeFill="text2" w:themeFillTint="33"/>
            <w:vAlign w:val="center"/>
          </w:tcPr>
          <w:p w:rsidR="005917D8" w:rsidRPr="008C1732" w:rsidRDefault="005917D8" w:rsidP="00350B96">
            <w:pPr>
              <w:ind w:left="0"/>
              <w:jc w:val="center"/>
              <w:rPr>
                <w:b/>
                <w:sz w:val="18"/>
                <w:szCs w:val="18"/>
              </w:rPr>
            </w:pPr>
            <w:r w:rsidRPr="008C1732">
              <w:rPr>
                <w:b/>
                <w:sz w:val="18"/>
                <w:szCs w:val="18"/>
              </w:rPr>
              <w:t>Zdroj údajov</w:t>
            </w:r>
          </w:p>
        </w:tc>
        <w:tc>
          <w:tcPr>
            <w:tcW w:w="1388" w:type="dxa"/>
            <w:shd w:val="clear" w:color="auto" w:fill="C6D9F1" w:themeFill="text2" w:themeFillTint="33"/>
            <w:vAlign w:val="center"/>
          </w:tcPr>
          <w:p w:rsidR="005917D8" w:rsidRPr="008C1732" w:rsidRDefault="005917D8" w:rsidP="00350B96">
            <w:pPr>
              <w:ind w:left="0"/>
              <w:jc w:val="center"/>
              <w:rPr>
                <w:b/>
                <w:sz w:val="18"/>
                <w:szCs w:val="18"/>
              </w:rPr>
            </w:pPr>
            <w:r w:rsidRPr="008C1732">
              <w:rPr>
                <w:b/>
                <w:sz w:val="18"/>
                <w:szCs w:val="18"/>
              </w:rPr>
              <w:t>Frekvencia vykazovania</w:t>
            </w:r>
          </w:p>
        </w:tc>
      </w:tr>
      <w:tr w:rsidR="005917D8" w:rsidTr="0095191D">
        <w:trPr>
          <w:trHeight w:val="680"/>
          <w:jc w:val="center"/>
        </w:trPr>
        <w:tc>
          <w:tcPr>
            <w:tcW w:w="578" w:type="dxa"/>
            <w:shd w:val="clear" w:color="auto" w:fill="auto"/>
            <w:vAlign w:val="center"/>
          </w:tcPr>
          <w:p w:rsidR="005917D8" w:rsidRDefault="00724E8C" w:rsidP="005917D8">
            <w:pPr>
              <w:ind w:left="0"/>
              <w:jc w:val="center"/>
              <w:rPr>
                <w:sz w:val="18"/>
                <w:szCs w:val="18"/>
              </w:rPr>
            </w:pPr>
            <w:r>
              <w:rPr>
                <w:sz w:val="18"/>
                <w:szCs w:val="18"/>
              </w:rPr>
              <w:t>1</w:t>
            </w:r>
            <w:r w:rsidR="005917D8">
              <w:rPr>
                <w:sz w:val="18"/>
                <w:szCs w:val="18"/>
              </w:rPr>
              <w:t>.</w:t>
            </w:r>
          </w:p>
        </w:tc>
        <w:tc>
          <w:tcPr>
            <w:tcW w:w="2425" w:type="dxa"/>
            <w:shd w:val="clear" w:color="auto" w:fill="auto"/>
            <w:vAlign w:val="center"/>
          </w:tcPr>
          <w:p w:rsidR="005917D8" w:rsidRPr="00737ED2" w:rsidRDefault="005917D8" w:rsidP="005917D8">
            <w:pPr>
              <w:ind w:left="0"/>
              <w:rPr>
                <w:sz w:val="18"/>
                <w:szCs w:val="18"/>
              </w:rPr>
            </w:pPr>
            <w:r>
              <w:rPr>
                <w:sz w:val="18"/>
                <w:szCs w:val="18"/>
              </w:rPr>
              <w:t>Celková dĺžka novovybudovaných ciest</w:t>
            </w:r>
            <w:r w:rsidR="00225C2F">
              <w:rPr>
                <w:sz w:val="18"/>
                <w:szCs w:val="18"/>
              </w:rPr>
              <w:t xml:space="preserve"> </w:t>
            </w:r>
            <w:r w:rsidR="005E7C00">
              <w:rPr>
                <w:sz w:val="18"/>
                <w:szCs w:val="18"/>
              </w:rPr>
              <w:t>(</w:t>
            </w:r>
            <w:r w:rsidR="00225C2F">
              <w:rPr>
                <w:sz w:val="18"/>
                <w:szCs w:val="18"/>
              </w:rPr>
              <w:t>v</w:t>
            </w:r>
            <w:r>
              <w:rPr>
                <w:sz w:val="18"/>
                <w:szCs w:val="18"/>
              </w:rPr>
              <w:t> TEN-T</w:t>
            </w:r>
            <w:r w:rsidR="00225C2F">
              <w:rPr>
                <w:sz w:val="18"/>
                <w:szCs w:val="18"/>
              </w:rPr>
              <w:t xml:space="preserve"> CORE</w:t>
            </w:r>
            <w:r w:rsidR="005E7C00">
              <w:rPr>
                <w:sz w:val="18"/>
                <w:szCs w:val="18"/>
              </w:rPr>
              <w:t>)</w:t>
            </w:r>
          </w:p>
        </w:tc>
        <w:tc>
          <w:tcPr>
            <w:tcW w:w="903" w:type="dxa"/>
            <w:shd w:val="clear" w:color="auto" w:fill="auto"/>
            <w:vAlign w:val="center"/>
          </w:tcPr>
          <w:p w:rsidR="005917D8" w:rsidRPr="004F0234" w:rsidRDefault="005917D8" w:rsidP="004570F8">
            <w:pPr>
              <w:ind w:left="0"/>
              <w:jc w:val="center"/>
              <w:rPr>
                <w:i/>
                <w:sz w:val="18"/>
                <w:szCs w:val="18"/>
              </w:rPr>
            </w:pPr>
            <w:r w:rsidRPr="004F0234">
              <w:rPr>
                <w:i/>
                <w:sz w:val="18"/>
                <w:szCs w:val="18"/>
              </w:rPr>
              <w:t>km</w:t>
            </w:r>
          </w:p>
        </w:tc>
        <w:tc>
          <w:tcPr>
            <w:tcW w:w="621" w:type="dxa"/>
            <w:shd w:val="clear" w:color="auto" w:fill="auto"/>
            <w:vAlign w:val="center"/>
          </w:tcPr>
          <w:p w:rsidR="005917D8" w:rsidRPr="004F0234" w:rsidRDefault="005917D8" w:rsidP="004570F8">
            <w:pPr>
              <w:ind w:left="0"/>
              <w:jc w:val="center"/>
              <w:rPr>
                <w:i/>
                <w:sz w:val="18"/>
                <w:szCs w:val="18"/>
              </w:rPr>
            </w:pPr>
            <w:r w:rsidRPr="004F0234">
              <w:rPr>
                <w:i/>
                <w:sz w:val="18"/>
                <w:szCs w:val="18"/>
              </w:rPr>
              <w:t>KF</w:t>
            </w:r>
          </w:p>
        </w:tc>
        <w:tc>
          <w:tcPr>
            <w:tcW w:w="1229" w:type="dxa"/>
            <w:shd w:val="clear" w:color="auto" w:fill="auto"/>
            <w:vAlign w:val="center"/>
          </w:tcPr>
          <w:p w:rsidR="005917D8" w:rsidRPr="004F0234" w:rsidRDefault="005917D8" w:rsidP="004570F8">
            <w:pPr>
              <w:ind w:left="0"/>
              <w:jc w:val="center"/>
              <w:rPr>
                <w:i/>
                <w:sz w:val="18"/>
                <w:szCs w:val="18"/>
              </w:rPr>
            </w:pPr>
            <w:r w:rsidRPr="00F55678">
              <w:rPr>
                <w:i/>
                <w:sz w:val="18"/>
                <w:szCs w:val="18"/>
              </w:rPr>
              <w:t>N/A</w:t>
            </w:r>
          </w:p>
        </w:tc>
        <w:tc>
          <w:tcPr>
            <w:tcW w:w="1253" w:type="dxa"/>
            <w:shd w:val="clear" w:color="auto" w:fill="auto"/>
            <w:vAlign w:val="center"/>
          </w:tcPr>
          <w:p w:rsidR="005917D8" w:rsidRPr="004F0234" w:rsidRDefault="005917D8" w:rsidP="004570F8">
            <w:pPr>
              <w:ind w:left="0"/>
              <w:jc w:val="center"/>
              <w:rPr>
                <w:i/>
                <w:sz w:val="18"/>
                <w:szCs w:val="18"/>
              </w:rPr>
            </w:pPr>
          </w:p>
        </w:tc>
        <w:tc>
          <w:tcPr>
            <w:tcW w:w="1015" w:type="dxa"/>
            <w:vAlign w:val="center"/>
          </w:tcPr>
          <w:p w:rsidR="005917D8" w:rsidRPr="004F0234" w:rsidRDefault="005917D8" w:rsidP="004570F8">
            <w:pPr>
              <w:ind w:left="0"/>
              <w:jc w:val="center"/>
              <w:rPr>
                <w:i/>
                <w:sz w:val="18"/>
                <w:szCs w:val="18"/>
              </w:rPr>
            </w:pPr>
            <w:r w:rsidRPr="004F0234">
              <w:rPr>
                <w:i/>
                <w:sz w:val="18"/>
                <w:szCs w:val="18"/>
              </w:rPr>
              <w:t>RO OPII</w:t>
            </w:r>
          </w:p>
        </w:tc>
        <w:tc>
          <w:tcPr>
            <w:tcW w:w="1388" w:type="dxa"/>
            <w:vAlign w:val="center"/>
          </w:tcPr>
          <w:p w:rsidR="005917D8" w:rsidRPr="004F0234" w:rsidRDefault="005917D8" w:rsidP="004570F8">
            <w:pPr>
              <w:ind w:left="0"/>
              <w:jc w:val="center"/>
              <w:rPr>
                <w:i/>
                <w:sz w:val="18"/>
                <w:szCs w:val="18"/>
              </w:rPr>
            </w:pPr>
            <w:r>
              <w:rPr>
                <w:i/>
                <w:sz w:val="18"/>
                <w:szCs w:val="18"/>
              </w:rPr>
              <w:t>Ročne</w:t>
            </w:r>
          </w:p>
        </w:tc>
      </w:tr>
    </w:tbl>
    <w:p w:rsidR="00816B1A" w:rsidRPr="000C1600" w:rsidRDefault="00816B1A" w:rsidP="000C1600">
      <w:pPr>
        <w:rPr>
          <w:sz w:val="20"/>
          <w:szCs w:val="20"/>
        </w:rPr>
      </w:pPr>
      <w:r w:rsidRPr="000C1600">
        <w:rPr>
          <w:sz w:val="20"/>
          <w:szCs w:val="20"/>
          <w:u w:val="single"/>
        </w:rPr>
        <w:t>Pozn</w:t>
      </w:r>
      <w:r w:rsidRPr="000C1600">
        <w:rPr>
          <w:sz w:val="20"/>
          <w:szCs w:val="20"/>
        </w:rPr>
        <w:t xml:space="preserve">.: Hodnoty ukazovateľov budú doplnené v ďalšom štádiu prípravy dokumentu. </w:t>
      </w:r>
    </w:p>
    <w:p w:rsidR="006B762B" w:rsidRDefault="006B762B" w:rsidP="006B762B">
      <w:pPr>
        <w:pStyle w:val="Nadpis3"/>
      </w:pPr>
      <w:bookmarkStart w:id="31" w:name="_Toc385310690"/>
      <w:r>
        <w:t>Výkonnostný rámec prioritnej osi</w:t>
      </w:r>
      <w:bookmarkEnd w:id="31"/>
    </w:p>
    <w:p w:rsidR="006B762B" w:rsidRPr="007B3B80" w:rsidRDefault="006B762B" w:rsidP="006B762B">
      <w:pPr>
        <w:pStyle w:val="Tab"/>
      </w:pPr>
      <w:r>
        <w:t>Výkonnostný rámec Prioritnej osi 2</w:t>
      </w:r>
    </w:p>
    <w:tbl>
      <w:tblPr>
        <w:tblStyle w:val="Mriekatabuky"/>
        <w:tblW w:w="965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1476"/>
        <w:gridCol w:w="417"/>
        <w:gridCol w:w="1576"/>
        <w:gridCol w:w="897"/>
        <w:gridCol w:w="617"/>
        <w:gridCol w:w="986"/>
        <w:gridCol w:w="987"/>
        <w:gridCol w:w="736"/>
        <w:gridCol w:w="747"/>
        <w:gridCol w:w="1217"/>
      </w:tblGrid>
      <w:tr w:rsidR="006B762B" w:rsidTr="0095191D">
        <w:trPr>
          <w:trHeight w:val="340"/>
          <w:jc w:val="center"/>
        </w:trPr>
        <w:tc>
          <w:tcPr>
            <w:tcW w:w="1476" w:type="dxa"/>
            <w:shd w:val="clear" w:color="auto" w:fill="C6D9F1" w:themeFill="text2" w:themeFillTint="33"/>
          </w:tcPr>
          <w:p w:rsidR="006B762B" w:rsidRPr="008C1732" w:rsidRDefault="006B762B" w:rsidP="005917D8">
            <w:pPr>
              <w:ind w:left="0"/>
              <w:rPr>
                <w:b/>
                <w:sz w:val="18"/>
                <w:szCs w:val="18"/>
              </w:rPr>
            </w:pPr>
            <w:r w:rsidRPr="008C1732">
              <w:rPr>
                <w:b/>
                <w:sz w:val="18"/>
                <w:szCs w:val="18"/>
              </w:rPr>
              <w:t>Typ ukazovateľa</w:t>
            </w:r>
          </w:p>
          <w:p w:rsidR="006B762B" w:rsidRPr="008C1732" w:rsidRDefault="006B762B" w:rsidP="005917D8">
            <w:pPr>
              <w:ind w:left="0"/>
              <w:rPr>
                <w:b/>
                <w:sz w:val="18"/>
                <w:szCs w:val="18"/>
              </w:rPr>
            </w:pPr>
          </w:p>
          <w:p w:rsidR="006B762B" w:rsidRPr="008C1732" w:rsidRDefault="006B762B" w:rsidP="005917D8">
            <w:pPr>
              <w:ind w:left="0"/>
              <w:rPr>
                <w:b/>
                <w:sz w:val="18"/>
                <w:szCs w:val="18"/>
              </w:rPr>
            </w:pPr>
            <w:r w:rsidRPr="008C1732">
              <w:rPr>
                <w:b/>
                <w:sz w:val="18"/>
                <w:szCs w:val="18"/>
              </w:rPr>
              <w:t>(Implementačný krok, finančný ukazovateľ, ukazovateľ výstupu alebo výsledku)</w:t>
            </w:r>
            <w:r w:rsidRPr="008C1732">
              <w:rPr>
                <w:b/>
                <w:bCs/>
                <w:sz w:val="16"/>
                <w:szCs w:val="16"/>
              </w:rPr>
              <w:t xml:space="preserve"> </w:t>
            </w:r>
          </w:p>
        </w:tc>
        <w:tc>
          <w:tcPr>
            <w:tcW w:w="417" w:type="dxa"/>
            <w:shd w:val="clear" w:color="auto" w:fill="C6D9F1" w:themeFill="text2" w:themeFillTint="33"/>
          </w:tcPr>
          <w:p w:rsidR="006B762B" w:rsidRPr="008C1732" w:rsidRDefault="006B762B" w:rsidP="005917D8">
            <w:pPr>
              <w:ind w:left="0"/>
              <w:rPr>
                <w:b/>
                <w:sz w:val="18"/>
                <w:szCs w:val="18"/>
              </w:rPr>
            </w:pPr>
            <w:r w:rsidRPr="008C1732">
              <w:rPr>
                <w:b/>
                <w:sz w:val="18"/>
                <w:szCs w:val="18"/>
              </w:rPr>
              <w:t>ID</w:t>
            </w:r>
          </w:p>
        </w:tc>
        <w:tc>
          <w:tcPr>
            <w:tcW w:w="1576" w:type="dxa"/>
            <w:shd w:val="clear" w:color="auto" w:fill="C6D9F1" w:themeFill="text2" w:themeFillTint="33"/>
          </w:tcPr>
          <w:p w:rsidR="006B762B" w:rsidRPr="008C1732" w:rsidRDefault="006B762B" w:rsidP="005917D8">
            <w:pPr>
              <w:ind w:left="0"/>
              <w:rPr>
                <w:b/>
                <w:sz w:val="18"/>
                <w:szCs w:val="18"/>
              </w:rPr>
            </w:pPr>
            <w:r w:rsidRPr="008C1732">
              <w:rPr>
                <w:b/>
                <w:sz w:val="18"/>
                <w:szCs w:val="18"/>
              </w:rPr>
              <w:t>Definícia ukazovateľa alebo implementačného kroku</w:t>
            </w:r>
          </w:p>
        </w:tc>
        <w:tc>
          <w:tcPr>
            <w:tcW w:w="897" w:type="dxa"/>
            <w:shd w:val="clear" w:color="auto" w:fill="C6D9F1" w:themeFill="text2" w:themeFillTint="33"/>
          </w:tcPr>
          <w:p w:rsidR="006B762B" w:rsidRPr="008C1732" w:rsidRDefault="006B762B" w:rsidP="005917D8">
            <w:pPr>
              <w:ind w:left="0"/>
              <w:rPr>
                <w:b/>
                <w:sz w:val="18"/>
                <w:szCs w:val="18"/>
              </w:rPr>
            </w:pPr>
            <w:r w:rsidRPr="008C1732">
              <w:rPr>
                <w:b/>
                <w:sz w:val="18"/>
                <w:szCs w:val="18"/>
              </w:rPr>
              <w:t>Merná jednotka</w:t>
            </w:r>
          </w:p>
        </w:tc>
        <w:tc>
          <w:tcPr>
            <w:tcW w:w="617" w:type="dxa"/>
            <w:shd w:val="clear" w:color="auto" w:fill="C6D9F1" w:themeFill="text2" w:themeFillTint="33"/>
          </w:tcPr>
          <w:p w:rsidR="006B762B" w:rsidRPr="008C1732" w:rsidRDefault="006B762B" w:rsidP="005917D8">
            <w:pPr>
              <w:ind w:left="0"/>
              <w:rPr>
                <w:b/>
                <w:sz w:val="18"/>
                <w:szCs w:val="18"/>
              </w:rPr>
            </w:pPr>
            <w:r w:rsidRPr="008C1732">
              <w:rPr>
                <w:b/>
                <w:sz w:val="18"/>
                <w:szCs w:val="18"/>
              </w:rPr>
              <w:t>Fond</w:t>
            </w:r>
          </w:p>
        </w:tc>
        <w:tc>
          <w:tcPr>
            <w:tcW w:w="986" w:type="dxa"/>
            <w:shd w:val="clear" w:color="auto" w:fill="C6D9F1" w:themeFill="text2" w:themeFillTint="33"/>
          </w:tcPr>
          <w:p w:rsidR="006B762B" w:rsidRPr="008C1732" w:rsidRDefault="006B762B" w:rsidP="005917D8">
            <w:pPr>
              <w:ind w:left="0"/>
              <w:rPr>
                <w:b/>
                <w:sz w:val="18"/>
                <w:szCs w:val="18"/>
              </w:rPr>
            </w:pPr>
            <w:r w:rsidRPr="008C1732">
              <w:rPr>
                <w:b/>
                <w:sz w:val="18"/>
                <w:szCs w:val="18"/>
              </w:rPr>
              <w:t>Kategória regiónu</w:t>
            </w:r>
          </w:p>
        </w:tc>
        <w:tc>
          <w:tcPr>
            <w:tcW w:w="987" w:type="dxa"/>
            <w:shd w:val="clear" w:color="auto" w:fill="C6D9F1" w:themeFill="text2" w:themeFillTint="33"/>
          </w:tcPr>
          <w:p w:rsidR="006B762B" w:rsidRPr="008C1732" w:rsidRDefault="006B762B" w:rsidP="005917D8">
            <w:pPr>
              <w:ind w:left="0"/>
              <w:rPr>
                <w:b/>
                <w:sz w:val="18"/>
                <w:szCs w:val="18"/>
              </w:rPr>
            </w:pPr>
            <w:r w:rsidRPr="008C1732">
              <w:rPr>
                <w:b/>
                <w:sz w:val="18"/>
                <w:szCs w:val="18"/>
              </w:rPr>
              <w:t>Čiastkový cieľ pre rok 2018</w:t>
            </w:r>
          </w:p>
        </w:tc>
        <w:tc>
          <w:tcPr>
            <w:tcW w:w="736" w:type="dxa"/>
            <w:shd w:val="clear" w:color="auto" w:fill="C6D9F1" w:themeFill="text2" w:themeFillTint="33"/>
          </w:tcPr>
          <w:p w:rsidR="006B762B" w:rsidRPr="008C1732" w:rsidRDefault="006B762B" w:rsidP="005917D8">
            <w:pPr>
              <w:ind w:left="0"/>
              <w:rPr>
                <w:b/>
                <w:sz w:val="18"/>
                <w:szCs w:val="18"/>
              </w:rPr>
            </w:pPr>
            <w:r w:rsidRPr="008C1732">
              <w:rPr>
                <w:b/>
                <w:sz w:val="18"/>
                <w:szCs w:val="18"/>
              </w:rPr>
              <w:t>Zámer</w:t>
            </w:r>
          </w:p>
          <w:p w:rsidR="006B762B" w:rsidRPr="008C1732" w:rsidRDefault="006B762B" w:rsidP="005917D8">
            <w:pPr>
              <w:ind w:left="0"/>
              <w:rPr>
                <w:b/>
                <w:sz w:val="18"/>
                <w:szCs w:val="18"/>
              </w:rPr>
            </w:pPr>
            <w:r w:rsidRPr="008C1732">
              <w:rPr>
                <w:b/>
                <w:sz w:val="18"/>
                <w:szCs w:val="18"/>
              </w:rPr>
              <w:t>(2023)</w:t>
            </w:r>
          </w:p>
        </w:tc>
        <w:tc>
          <w:tcPr>
            <w:tcW w:w="747" w:type="dxa"/>
            <w:shd w:val="clear" w:color="auto" w:fill="C6D9F1" w:themeFill="text2" w:themeFillTint="33"/>
          </w:tcPr>
          <w:p w:rsidR="006B762B" w:rsidRPr="008C1732" w:rsidRDefault="006B762B" w:rsidP="005917D8">
            <w:pPr>
              <w:ind w:left="0"/>
              <w:rPr>
                <w:b/>
                <w:sz w:val="18"/>
                <w:szCs w:val="18"/>
              </w:rPr>
            </w:pPr>
            <w:r w:rsidRPr="008C1732">
              <w:rPr>
                <w:b/>
                <w:sz w:val="18"/>
                <w:szCs w:val="18"/>
              </w:rPr>
              <w:t>Zdroj údajov</w:t>
            </w:r>
          </w:p>
        </w:tc>
        <w:tc>
          <w:tcPr>
            <w:tcW w:w="1217" w:type="dxa"/>
            <w:shd w:val="clear" w:color="auto" w:fill="C6D9F1" w:themeFill="text2" w:themeFillTint="33"/>
          </w:tcPr>
          <w:p w:rsidR="006B762B" w:rsidRPr="008C1732" w:rsidRDefault="006B762B" w:rsidP="005917D8">
            <w:pPr>
              <w:ind w:left="0"/>
              <w:rPr>
                <w:b/>
                <w:sz w:val="18"/>
                <w:szCs w:val="18"/>
              </w:rPr>
            </w:pPr>
            <w:r w:rsidRPr="008C1732">
              <w:rPr>
                <w:b/>
                <w:sz w:val="18"/>
                <w:szCs w:val="18"/>
              </w:rPr>
              <w:t>Zdôvodnenie výberu ukazovateľa</w:t>
            </w:r>
          </w:p>
        </w:tc>
      </w:tr>
      <w:tr w:rsidR="006B762B" w:rsidTr="0095191D">
        <w:trPr>
          <w:trHeight w:val="454"/>
          <w:jc w:val="center"/>
        </w:trPr>
        <w:tc>
          <w:tcPr>
            <w:tcW w:w="1476" w:type="dxa"/>
          </w:tcPr>
          <w:p w:rsidR="006B762B" w:rsidRPr="00D9570C" w:rsidRDefault="006B762B" w:rsidP="005917D8">
            <w:pPr>
              <w:ind w:left="0"/>
              <w:rPr>
                <w:i/>
                <w:sz w:val="18"/>
                <w:szCs w:val="18"/>
              </w:rPr>
            </w:pPr>
            <w:r w:rsidRPr="00D9570C">
              <w:rPr>
                <w:i/>
                <w:sz w:val="18"/>
                <w:szCs w:val="18"/>
              </w:rPr>
              <w:t>výstupový ukazovateľ</w:t>
            </w:r>
          </w:p>
        </w:tc>
        <w:tc>
          <w:tcPr>
            <w:tcW w:w="417" w:type="dxa"/>
          </w:tcPr>
          <w:p w:rsidR="006B762B" w:rsidRPr="00D9570C" w:rsidRDefault="006B762B" w:rsidP="005917D8">
            <w:pPr>
              <w:rPr>
                <w:sz w:val="18"/>
                <w:szCs w:val="18"/>
              </w:rPr>
            </w:pPr>
          </w:p>
        </w:tc>
        <w:tc>
          <w:tcPr>
            <w:tcW w:w="1576" w:type="dxa"/>
            <w:vAlign w:val="center"/>
          </w:tcPr>
          <w:p w:rsidR="00814F0C" w:rsidRPr="00D9570C" w:rsidRDefault="006B762B" w:rsidP="005917D8">
            <w:pPr>
              <w:ind w:left="0"/>
              <w:rPr>
                <w:sz w:val="18"/>
                <w:szCs w:val="18"/>
              </w:rPr>
            </w:pPr>
            <w:r w:rsidRPr="00D9570C">
              <w:rPr>
                <w:sz w:val="18"/>
                <w:szCs w:val="18"/>
              </w:rPr>
              <w:t>Celková dĺžka novo vybudovaných ciest</w:t>
            </w:r>
            <w:r w:rsidR="004E4DC3">
              <w:rPr>
                <w:sz w:val="18"/>
                <w:szCs w:val="18"/>
              </w:rPr>
              <w:t xml:space="preserve"> </w:t>
            </w:r>
            <w:r w:rsidR="00814F0C">
              <w:rPr>
                <w:sz w:val="18"/>
                <w:szCs w:val="18"/>
              </w:rPr>
              <w:t>(</w:t>
            </w:r>
            <w:r w:rsidR="004E4DC3">
              <w:rPr>
                <w:sz w:val="18"/>
                <w:szCs w:val="18"/>
              </w:rPr>
              <w:t>v TEN-T CORE</w:t>
            </w:r>
            <w:r w:rsidR="00814F0C">
              <w:rPr>
                <w:sz w:val="18"/>
                <w:szCs w:val="18"/>
              </w:rPr>
              <w:t>)</w:t>
            </w:r>
          </w:p>
        </w:tc>
        <w:tc>
          <w:tcPr>
            <w:tcW w:w="897" w:type="dxa"/>
          </w:tcPr>
          <w:p w:rsidR="006B762B" w:rsidRPr="00D9570C" w:rsidRDefault="006B762B" w:rsidP="005917D8">
            <w:pPr>
              <w:ind w:left="0"/>
              <w:rPr>
                <w:i/>
                <w:sz w:val="18"/>
                <w:szCs w:val="18"/>
              </w:rPr>
            </w:pPr>
            <w:r w:rsidRPr="00D9570C">
              <w:rPr>
                <w:i/>
                <w:sz w:val="18"/>
                <w:szCs w:val="18"/>
              </w:rPr>
              <w:t>km</w:t>
            </w:r>
          </w:p>
        </w:tc>
        <w:tc>
          <w:tcPr>
            <w:tcW w:w="617" w:type="dxa"/>
          </w:tcPr>
          <w:p w:rsidR="006B762B" w:rsidRPr="00D9570C" w:rsidRDefault="006B762B" w:rsidP="005917D8">
            <w:pPr>
              <w:ind w:left="0"/>
              <w:rPr>
                <w:i/>
                <w:sz w:val="18"/>
                <w:szCs w:val="18"/>
              </w:rPr>
            </w:pPr>
            <w:r w:rsidRPr="00D9570C">
              <w:rPr>
                <w:i/>
                <w:sz w:val="18"/>
                <w:szCs w:val="18"/>
              </w:rPr>
              <w:t>KF</w:t>
            </w:r>
          </w:p>
        </w:tc>
        <w:tc>
          <w:tcPr>
            <w:tcW w:w="986" w:type="dxa"/>
          </w:tcPr>
          <w:p w:rsidR="006B762B" w:rsidRPr="00D9570C" w:rsidRDefault="006B762B" w:rsidP="005917D8">
            <w:pPr>
              <w:ind w:left="0"/>
              <w:rPr>
                <w:i/>
                <w:sz w:val="18"/>
                <w:szCs w:val="18"/>
              </w:rPr>
            </w:pPr>
            <w:r w:rsidRPr="00D9570C">
              <w:rPr>
                <w:i/>
                <w:sz w:val="18"/>
                <w:szCs w:val="18"/>
              </w:rPr>
              <w:t>N/A</w:t>
            </w:r>
          </w:p>
        </w:tc>
        <w:tc>
          <w:tcPr>
            <w:tcW w:w="987" w:type="dxa"/>
          </w:tcPr>
          <w:p w:rsidR="006B762B" w:rsidRPr="00D9570C" w:rsidRDefault="006B762B" w:rsidP="005917D8">
            <w:pPr>
              <w:ind w:left="0"/>
              <w:rPr>
                <w:i/>
                <w:sz w:val="18"/>
                <w:szCs w:val="18"/>
              </w:rPr>
            </w:pPr>
          </w:p>
        </w:tc>
        <w:tc>
          <w:tcPr>
            <w:tcW w:w="736" w:type="dxa"/>
          </w:tcPr>
          <w:p w:rsidR="006B762B" w:rsidRPr="00D9570C" w:rsidRDefault="006B762B" w:rsidP="005917D8">
            <w:pPr>
              <w:ind w:left="0"/>
              <w:rPr>
                <w:i/>
                <w:sz w:val="18"/>
                <w:szCs w:val="18"/>
              </w:rPr>
            </w:pPr>
          </w:p>
        </w:tc>
        <w:tc>
          <w:tcPr>
            <w:tcW w:w="747" w:type="dxa"/>
          </w:tcPr>
          <w:p w:rsidR="006B762B" w:rsidRPr="00D9570C" w:rsidRDefault="006B762B" w:rsidP="005917D8">
            <w:pPr>
              <w:ind w:left="0"/>
              <w:rPr>
                <w:i/>
                <w:sz w:val="18"/>
                <w:szCs w:val="18"/>
              </w:rPr>
            </w:pPr>
            <w:r w:rsidRPr="00D9570C">
              <w:rPr>
                <w:i/>
                <w:sz w:val="18"/>
                <w:szCs w:val="18"/>
              </w:rPr>
              <w:t>RO OPII</w:t>
            </w:r>
          </w:p>
        </w:tc>
        <w:tc>
          <w:tcPr>
            <w:tcW w:w="1217" w:type="dxa"/>
          </w:tcPr>
          <w:p w:rsidR="006B762B" w:rsidRPr="00D9570C" w:rsidRDefault="006B762B" w:rsidP="006B762B">
            <w:pPr>
              <w:ind w:left="0"/>
              <w:rPr>
                <w:i/>
                <w:sz w:val="18"/>
                <w:szCs w:val="18"/>
              </w:rPr>
            </w:pPr>
            <w:r w:rsidRPr="00D9570C">
              <w:rPr>
                <w:i/>
                <w:sz w:val="18"/>
                <w:szCs w:val="18"/>
              </w:rPr>
              <w:t>Spoločný ukazovateľ</w:t>
            </w:r>
            <w:r w:rsidR="00D9570C" w:rsidRPr="00D9570C">
              <w:rPr>
                <w:i/>
                <w:sz w:val="18"/>
                <w:szCs w:val="18"/>
              </w:rPr>
              <w:t xml:space="preserve"> (</w:t>
            </w:r>
            <w:r w:rsidR="006B68A4">
              <w:rPr>
                <w:i/>
                <w:sz w:val="18"/>
                <w:szCs w:val="18"/>
              </w:rPr>
              <w:t xml:space="preserve">cca </w:t>
            </w:r>
            <w:r w:rsidR="00D9570C" w:rsidRPr="00D9570C">
              <w:rPr>
                <w:i/>
                <w:sz w:val="18"/>
                <w:szCs w:val="18"/>
              </w:rPr>
              <w:t>97% alokácie osi)</w:t>
            </w:r>
          </w:p>
        </w:tc>
      </w:tr>
      <w:tr w:rsidR="006B762B" w:rsidTr="0095191D">
        <w:trPr>
          <w:trHeight w:val="454"/>
          <w:jc w:val="center"/>
        </w:trPr>
        <w:tc>
          <w:tcPr>
            <w:tcW w:w="1476" w:type="dxa"/>
          </w:tcPr>
          <w:p w:rsidR="006B762B" w:rsidRPr="00D9570C" w:rsidRDefault="006B762B" w:rsidP="005917D8">
            <w:pPr>
              <w:ind w:left="0"/>
              <w:rPr>
                <w:sz w:val="18"/>
                <w:szCs w:val="18"/>
              </w:rPr>
            </w:pPr>
            <w:r w:rsidRPr="00D9570C">
              <w:rPr>
                <w:i/>
                <w:sz w:val="18"/>
                <w:szCs w:val="18"/>
              </w:rPr>
              <w:t xml:space="preserve"> finančný ukazovateľ</w:t>
            </w:r>
          </w:p>
        </w:tc>
        <w:tc>
          <w:tcPr>
            <w:tcW w:w="417" w:type="dxa"/>
          </w:tcPr>
          <w:p w:rsidR="006B762B" w:rsidRPr="00D9570C" w:rsidRDefault="006B762B" w:rsidP="005917D8">
            <w:pPr>
              <w:rPr>
                <w:sz w:val="18"/>
                <w:szCs w:val="18"/>
              </w:rPr>
            </w:pPr>
          </w:p>
        </w:tc>
        <w:tc>
          <w:tcPr>
            <w:tcW w:w="1576" w:type="dxa"/>
            <w:vAlign w:val="center"/>
          </w:tcPr>
          <w:p w:rsidR="006B762B" w:rsidRPr="00D9570C" w:rsidRDefault="006B762B" w:rsidP="005917D8">
            <w:pPr>
              <w:ind w:left="0"/>
              <w:rPr>
                <w:sz w:val="18"/>
                <w:szCs w:val="18"/>
              </w:rPr>
            </w:pPr>
            <w:r w:rsidRPr="00D9570C">
              <w:rPr>
                <w:sz w:val="18"/>
                <w:szCs w:val="18"/>
              </w:rPr>
              <w:t>Celková suma oprávnených výdavkov po ich certifikácii zo strany Certifikačného orgánu</w:t>
            </w:r>
          </w:p>
        </w:tc>
        <w:tc>
          <w:tcPr>
            <w:tcW w:w="897" w:type="dxa"/>
          </w:tcPr>
          <w:p w:rsidR="006B762B" w:rsidRPr="00D9570C" w:rsidRDefault="006B762B" w:rsidP="005917D8">
            <w:pPr>
              <w:ind w:left="0"/>
              <w:rPr>
                <w:i/>
                <w:sz w:val="18"/>
                <w:szCs w:val="18"/>
              </w:rPr>
            </w:pPr>
            <w:r w:rsidRPr="00D9570C">
              <w:rPr>
                <w:i/>
                <w:sz w:val="18"/>
                <w:szCs w:val="18"/>
              </w:rPr>
              <w:t>%</w:t>
            </w:r>
          </w:p>
        </w:tc>
        <w:tc>
          <w:tcPr>
            <w:tcW w:w="617" w:type="dxa"/>
          </w:tcPr>
          <w:p w:rsidR="006B762B" w:rsidRPr="00D9570C" w:rsidRDefault="006B762B" w:rsidP="005917D8">
            <w:pPr>
              <w:ind w:left="0"/>
              <w:rPr>
                <w:i/>
                <w:sz w:val="18"/>
                <w:szCs w:val="18"/>
              </w:rPr>
            </w:pPr>
            <w:r w:rsidRPr="00D9570C">
              <w:rPr>
                <w:i/>
                <w:sz w:val="18"/>
                <w:szCs w:val="18"/>
              </w:rPr>
              <w:t>KF</w:t>
            </w:r>
          </w:p>
        </w:tc>
        <w:tc>
          <w:tcPr>
            <w:tcW w:w="986" w:type="dxa"/>
          </w:tcPr>
          <w:p w:rsidR="006B762B" w:rsidRPr="00D9570C" w:rsidRDefault="006B762B" w:rsidP="005917D8">
            <w:pPr>
              <w:ind w:left="0"/>
              <w:rPr>
                <w:i/>
                <w:sz w:val="18"/>
                <w:szCs w:val="18"/>
              </w:rPr>
            </w:pPr>
            <w:r w:rsidRPr="00D9570C">
              <w:rPr>
                <w:i/>
                <w:sz w:val="18"/>
                <w:szCs w:val="18"/>
              </w:rPr>
              <w:t>N/A</w:t>
            </w:r>
          </w:p>
        </w:tc>
        <w:tc>
          <w:tcPr>
            <w:tcW w:w="987" w:type="dxa"/>
          </w:tcPr>
          <w:p w:rsidR="006B762B" w:rsidRPr="00D9570C" w:rsidRDefault="006B762B" w:rsidP="005917D8">
            <w:pPr>
              <w:ind w:left="0"/>
              <w:rPr>
                <w:i/>
                <w:sz w:val="18"/>
                <w:szCs w:val="18"/>
              </w:rPr>
            </w:pPr>
          </w:p>
        </w:tc>
        <w:tc>
          <w:tcPr>
            <w:tcW w:w="736" w:type="dxa"/>
          </w:tcPr>
          <w:p w:rsidR="006B762B" w:rsidRPr="00D9570C" w:rsidRDefault="006B762B" w:rsidP="005917D8">
            <w:pPr>
              <w:ind w:left="0"/>
              <w:rPr>
                <w:i/>
                <w:sz w:val="18"/>
                <w:szCs w:val="18"/>
              </w:rPr>
            </w:pPr>
          </w:p>
        </w:tc>
        <w:tc>
          <w:tcPr>
            <w:tcW w:w="747" w:type="dxa"/>
          </w:tcPr>
          <w:p w:rsidR="006B762B" w:rsidRPr="00D9570C" w:rsidRDefault="006B762B" w:rsidP="005917D8">
            <w:pPr>
              <w:ind w:left="0"/>
              <w:rPr>
                <w:i/>
                <w:sz w:val="18"/>
                <w:szCs w:val="18"/>
              </w:rPr>
            </w:pPr>
            <w:r w:rsidRPr="00D9570C">
              <w:rPr>
                <w:i/>
                <w:sz w:val="18"/>
                <w:szCs w:val="18"/>
              </w:rPr>
              <w:t>RO OPII</w:t>
            </w:r>
          </w:p>
        </w:tc>
        <w:tc>
          <w:tcPr>
            <w:tcW w:w="1217" w:type="dxa"/>
          </w:tcPr>
          <w:p w:rsidR="006B762B" w:rsidRPr="00D9570C" w:rsidRDefault="006B762B" w:rsidP="005917D8">
            <w:pPr>
              <w:ind w:left="0"/>
              <w:rPr>
                <w:i/>
                <w:sz w:val="18"/>
                <w:szCs w:val="18"/>
              </w:rPr>
            </w:pPr>
            <w:r w:rsidRPr="00D9570C">
              <w:rPr>
                <w:i/>
                <w:sz w:val="18"/>
                <w:szCs w:val="18"/>
              </w:rPr>
              <w:t>Základný finančný ukazovateľ</w:t>
            </w:r>
          </w:p>
        </w:tc>
      </w:tr>
    </w:tbl>
    <w:p w:rsidR="00816B1A" w:rsidRPr="000C1600" w:rsidRDefault="00816B1A" w:rsidP="000C1600">
      <w:pPr>
        <w:rPr>
          <w:sz w:val="20"/>
          <w:szCs w:val="20"/>
        </w:rPr>
      </w:pPr>
      <w:r w:rsidRPr="000C1600">
        <w:rPr>
          <w:sz w:val="20"/>
          <w:szCs w:val="20"/>
          <w:u w:val="single"/>
        </w:rPr>
        <w:t>Pozn</w:t>
      </w:r>
      <w:r w:rsidRPr="000C1600">
        <w:rPr>
          <w:sz w:val="20"/>
          <w:szCs w:val="20"/>
        </w:rPr>
        <w:t xml:space="preserve">.: Hodnoty ukazovateľov budú doplnené v ďalšom štádiu prípravy dokumentu. </w:t>
      </w:r>
    </w:p>
    <w:p w:rsidR="006B762B" w:rsidRDefault="006B762B" w:rsidP="006B762B">
      <w:pPr>
        <w:pStyle w:val="Nadpis3"/>
      </w:pPr>
      <w:bookmarkStart w:id="32" w:name="_Toc385310691"/>
      <w:r>
        <w:t>Kategórie intervencií</w:t>
      </w:r>
      <w:bookmarkEnd w:id="32"/>
    </w:p>
    <w:p w:rsidR="006B762B" w:rsidRPr="006579CE" w:rsidRDefault="006B762B" w:rsidP="006B762B">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2"/>
        <w:gridCol w:w="2120"/>
        <w:gridCol w:w="2040"/>
      </w:tblGrid>
      <w:tr w:rsidR="006B762B" w:rsidTr="006B68A4">
        <w:trPr>
          <w:trHeight w:val="255"/>
          <w:jc w:val="center"/>
        </w:trPr>
        <w:tc>
          <w:tcPr>
            <w:tcW w:w="9098" w:type="dxa"/>
            <w:gridSpan w:val="3"/>
            <w:shd w:val="clear" w:color="auto" w:fill="DBE5F1" w:themeFill="accent1" w:themeFillTint="33"/>
            <w:vAlign w:val="center"/>
          </w:tcPr>
          <w:p w:rsidR="006B762B" w:rsidRPr="006579CE" w:rsidRDefault="006B762B" w:rsidP="0095191D">
            <w:pPr>
              <w:pStyle w:val="Default"/>
              <w:autoSpaceDE/>
              <w:autoSpaceDN/>
              <w:adjustRightInd/>
              <w:ind w:left="0"/>
              <w:rPr>
                <w:sz w:val="20"/>
                <w:szCs w:val="20"/>
              </w:rPr>
            </w:pPr>
            <w:r>
              <w:rPr>
                <w:b/>
                <w:bCs/>
                <w:sz w:val="20"/>
                <w:szCs w:val="20"/>
              </w:rPr>
              <w:t>Rozmer 1 – Oblasť intervencie</w:t>
            </w:r>
          </w:p>
        </w:tc>
      </w:tr>
      <w:tr w:rsidR="006B762B" w:rsidTr="006B68A4">
        <w:trPr>
          <w:trHeight w:val="255"/>
          <w:jc w:val="center"/>
        </w:trPr>
        <w:tc>
          <w:tcPr>
            <w:tcW w:w="4928" w:type="dxa"/>
            <w:shd w:val="clear" w:color="auto" w:fill="DBE5F1" w:themeFill="accent1" w:themeFillTint="33"/>
            <w:vAlign w:val="center"/>
          </w:tcPr>
          <w:p w:rsidR="006B762B" w:rsidRPr="006579CE" w:rsidRDefault="006B762B" w:rsidP="005917D8">
            <w:pPr>
              <w:pStyle w:val="Default"/>
              <w:autoSpaceDE/>
              <w:autoSpaceDN/>
              <w:adjustRightInd/>
              <w:ind w:left="0"/>
              <w:rPr>
                <w:b/>
                <w:bCs/>
                <w:sz w:val="20"/>
                <w:szCs w:val="20"/>
              </w:rPr>
            </w:pPr>
            <w:r w:rsidRPr="006579CE">
              <w:rPr>
                <w:b/>
                <w:bCs/>
                <w:sz w:val="20"/>
                <w:szCs w:val="20"/>
              </w:rPr>
              <w:t>Fond</w:t>
            </w:r>
          </w:p>
        </w:tc>
        <w:tc>
          <w:tcPr>
            <w:tcW w:w="4170" w:type="dxa"/>
            <w:gridSpan w:val="2"/>
            <w:shd w:val="clear" w:color="auto" w:fill="DBE5F1" w:themeFill="accent1" w:themeFillTint="33"/>
            <w:vAlign w:val="center"/>
          </w:tcPr>
          <w:p w:rsidR="006B762B" w:rsidRPr="006579CE" w:rsidRDefault="006B762B" w:rsidP="005917D8">
            <w:pPr>
              <w:pStyle w:val="Default"/>
              <w:autoSpaceDE/>
              <w:autoSpaceDN/>
              <w:adjustRightInd/>
              <w:ind w:left="0"/>
              <w:rPr>
                <w:bCs/>
                <w:sz w:val="20"/>
                <w:szCs w:val="20"/>
              </w:rPr>
            </w:pPr>
            <w:r w:rsidRPr="006579CE">
              <w:rPr>
                <w:bCs/>
                <w:sz w:val="20"/>
                <w:szCs w:val="20"/>
              </w:rPr>
              <w:t>Kohézny fond</w:t>
            </w:r>
          </w:p>
        </w:tc>
      </w:tr>
      <w:tr w:rsidR="006B762B" w:rsidTr="006B68A4">
        <w:trPr>
          <w:trHeight w:val="255"/>
          <w:jc w:val="center"/>
        </w:trPr>
        <w:tc>
          <w:tcPr>
            <w:tcW w:w="4928" w:type="dxa"/>
            <w:shd w:val="clear" w:color="auto" w:fill="DBE5F1" w:themeFill="accent1" w:themeFillTint="33"/>
            <w:vAlign w:val="center"/>
          </w:tcPr>
          <w:p w:rsidR="006B762B" w:rsidRPr="006579CE" w:rsidRDefault="006B762B" w:rsidP="005917D8">
            <w:pPr>
              <w:ind w:left="0"/>
              <w:rPr>
                <w:sz w:val="20"/>
                <w:szCs w:val="20"/>
              </w:rPr>
            </w:pPr>
            <w:r w:rsidRPr="006579CE">
              <w:rPr>
                <w:b/>
                <w:bCs/>
                <w:color w:val="000000"/>
                <w:sz w:val="20"/>
                <w:szCs w:val="20"/>
              </w:rPr>
              <w:t>Kategória regiónu</w:t>
            </w:r>
          </w:p>
        </w:tc>
        <w:tc>
          <w:tcPr>
            <w:tcW w:w="4170" w:type="dxa"/>
            <w:gridSpan w:val="2"/>
            <w:shd w:val="clear" w:color="auto" w:fill="DBE5F1" w:themeFill="accent1" w:themeFillTint="33"/>
            <w:vAlign w:val="center"/>
          </w:tcPr>
          <w:p w:rsidR="006B762B" w:rsidRPr="006579CE" w:rsidRDefault="006B762B" w:rsidP="005917D8">
            <w:pPr>
              <w:ind w:left="0"/>
              <w:rPr>
                <w:sz w:val="20"/>
                <w:szCs w:val="20"/>
              </w:rPr>
            </w:pPr>
            <w:r w:rsidRPr="006579CE">
              <w:rPr>
                <w:sz w:val="20"/>
                <w:szCs w:val="20"/>
              </w:rPr>
              <w:t>N/A</w:t>
            </w:r>
          </w:p>
        </w:tc>
      </w:tr>
      <w:tr w:rsidR="006B762B" w:rsidTr="006B68A4">
        <w:trPr>
          <w:trHeight w:val="255"/>
          <w:jc w:val="center"/>
        </w:trPr>
        <w:tc>
          <w:tcPr>
            <w:tcW w:w="4928" w:type="dxa"/>
            <w:vAlign w:val="center"/>
          </w:tcPr>
          <w:p w:rsidR="006B762B" w:rsidRPr="00D479A4" w:rsidRDefault="006B762B" w:rsidP="005917D8">
            <w:pPr>
              <w:ind w:left="0"/>
              <w:jc w:val="center"/>
              <w:rPr>
                <w:b/>
                <w:sz w:val="20"/>
                <w:szCs w:val="20"/>
              </w:rPr>
            </w:pPr>
            <w:r w:rsidRPr="00D479A4">
              <w:rPr>
                <w:b/>
                <w:sz w:val="20"/>
                <w:szCs w:val="20"/>
              </w:rPr>
              <w:t>Prioritná os</w:t>
            </w:r>
          </w:p>
        </w:tc>
        <w:tc>
          <w:tcPr>
            <w:tcW w:w="2126" w:type="dxa"/>
            <w:vAlign w:val="center"/>
          </w:tcPr>
          <w:p w:rsidR="006B762B" w:rsidRPr="00D479A4" w:rsidRDefault="006B762B" w:rsidP="005917D8">
            <w:pPr>
              <w:ind w:left="0"/>
              <w:jc w:val="center"/>
              <w:rPr>
                <w:b/>
                <w:sz w:val="20"/>
                <w:szCs w:val="20"/>
              </w:rPr>
            </w:pPr>
            <w:r w:rsidRPr="00D479A4">
              <w:rPr>
                <w:b/>
                <w:sz w:val="20"/>
                <w:szCs w:val="20"/>
              </w:rPr>
              <w:t>Kód</w:t>
            </w:r>
          </w:p>
        </w:tc>
        <w:tc>
          <w:tcPr>
            <w:tcW w:w="2044" w:type="dxa"/>
            <w:vAlign w:val="center"/>
          </w:tcPr>
          <w:p w:rsidR="006B762B" w:rsidRPr="00D479A4" w:rsidRDefault="006B762B" w:rsidP="005917D8">
            <w:pPr>
              <w:ind w:left="0"/>
              <w:jc w:val="center"/>
              <w:rPr>
                <w:b/>
                <w:sz w:val="20"/>
                <w:szCs w:val="20"/>
              </w:rPr>
            </w:pPr>
            <w:r w:rsidRPr="00D479A4">
              <w:rPr>
                <w:b/>
                <w:sz w:val="20"/>
                <w:szCs w:val="20"/>
              </w:rPr>
              <w:t>Suma (v EUR)</w:t>
            </w:r>
          </w:p>
        </w:tc>
      </w:tr>
      <w:tr w:rsidR="006B762B" w:rsidTr="006B68A4">
        <w:trPr>
          <w:trHeight w:val="255"/>
          <w:jc w:val="center"/>
        </w:trPr>
        <w:tc>
          <w:tcPr>
            <w:tcW w:w="4928" w:type="dxa"/>
            <w:vMerge w:val="restart"/>
            <w:vAlign w:val="center"/>
          </w:tcPr>
          <w:p w:rsidR="006B762B" w:rsidRPr="00D479A4" w:rsidRDefault="006B68A4" w:rsidP="006B68A4">
            <w:pPr>
              <w:ind w:left="0"/>
              <w:rPr>
                <w:sz w:val="20"/>
                <w:szCs w:val="20"/>
              </w:rPr>
            </w:pPr>
            <w:r>
              <w:rPr>
                <w:sz w:val="20"/>
                <w:szCs w:val="20"/>
              </w:rPr>
              <w:t xml:space="preserve">Prioritná os 2 - </w:t>
            </w:r>
            <w:r w:rsidR="006B762B">
              <w:rPr>
                <w:sz w:val="20"/>
                <w:szCs w:val="20"/>
              </w:rPr>
              <w:t>Cestná</w:t>
            </w:r>
            <w:r w:rsidR="006B762B" w:rsidRPr="00D479A4">
              <w:rPr>
                <w:sz w:val="20"/>
                <w:szCs w:val="20"/>
              </w:rPr>
              <w:t xml:space="preserve"> infraštruktúra (TEN-T CORE)</w:t>
            </w:r>
          </w:p>
        </w:tc>
        <w:tc>
          <w:tcPr>
            <w:tcW w:w="2126" w:type="dxa"/>
            <w:vAlign w:val="center"/>
          </w:tcPr>
          <w:p w:rsidR="006B762B" w:rsidRPr="00D479A4" w:rsidRDefault="006B762B" w:rsidP="00B468F6">
            <w:pPr>
              <w:ind w:left="0"/>
              <w:jc w:val="center"/>
              <w:rPr>
                <w:sz w:val="20"/>
                <w:szCs w:val="20"/>
              </w:rPr>
            </w:pPr>
            <w:r>
              <w:rPr>
                <w:sz w:val="20"/>
                <w:szCs w:val="20"/>
              </w:rPr>
              <w:t>028</w:t>
            </w:r>
          </w:p>
        </w:tc>
        <w:tc>
          <w:tcPr>
            <w:tcW w:w="2044" w:type="dxa"/>
            <w:vAlign w:val="center"/>
          </w:tcPr>
          <w:p w:rsidR="006B762B" w:rsidRPr="006B762B" w:rsidRDefault="006B762B" w:rsidP="00B468F6">
            <w:pPr>
              <w:ind w:left="0"/>
              <w:jc w:val="center"/>
              <w:rPr>
                <w:sz w:val="20"/>
                <w:szCs w:val="20"/>
              </w:rPr>
            </w:pPr>
            <w:r w:rsidRPr="006B762B">
              <w:rPr>
                <w:sz w:val="20"/>
                <w:szCs w:val="20"/>
              </w:rPr>
              <w:t>1 122 500 000</w:t>
            </w:r>
          </w:p>
        </w:tc>
      </w:tr>
      <w:tr w:rsidR="006B762B" w:rsidTr="006B68A4">
        <w:trPr>
          <w:trHeight w:val="255"/>
          <w:jc w:val="center"/>
        </w:trPr>
        <w:tc>
          <w:tcPr>
            <w:tcW w:w="4928" w:type="dxa"/>
            <w:vMerge/>
            <w:vAlign w:val="center"/>
          </w:tcPr>
          <w:p w:rsidR="006B762B" w:rsidRPr="00D479A4" w:rsidRDefault="006B762B" w:rsidP="005917D8">
            <w:pPr>
              <w:ind w:left="0"/>
              <w:rPr>
                <w:sz w:val="20"/>
                <w:szCs w:val="20"/>
              </w:rPr>
            </w:pPr>
          </w:p>
        </w:tc>
        <w:tc>
          <w:tcPr>
            <w:tcW w:w="2126" w:type="dxa"/>
            <w:vAlign w:val="center"/>
          </w:tcPr>
          <w:p w:rsidR="006B762B" w:rsidRPr="00D479A4" w:rsidRDefault="006B762B" w:rsidP="00B468F6">
            <w:pPr>
              <w:ind w:left="0"/>
              <w:jc w:val="center"/>
              <w:rPr>
                <w:sz w:val="20"/>
                <w:szCs w:val="20"/>
              </w:rPr>
            </w:pPr>
            <w:r>
              <w:rPr>
                <w:sz w:val="20"/>
                <w:szCs w:val="20"/>
              </w:rPr>
              <w:t>044</w:t>
            </w:r>
          </w:p>
        </w:tc>
        <w:tc>
          <w:tcPr>
            <w:tcW w:w="2044" w:type="dxa"/>
            <w:vAlign w:val="center"/>
          </w:tcPr>
          <w:p w:rsidR="006B762B" w:rsidRPr="00D479A4" w:rsidRDefault="006B762B" w:rsidP="00B468F6">
            <w:pPr>
              <w:ind w:left="0"/>
              <w:jc w:val="center"/>
              <w:rPr>
                <w:sz w:val="20"/>
                <w:szCs w:val="20"/>
                <w:lang w:val="en-US"/>
              </w:rPr>
            </w:pPr>
            <w:r>
              <w:rPr>
                <w:sz w:val="20"/>
                <w:szCs w:val="20"/>
                <w:lang w:val="en-US"/>
              </w:rPr>
              <w:t>20 000 000</w:t>
            </w:r>
          </w:p>
        </w:tc>
      </w:tr>
    </w:tbl>
    <w:p w:rsidR="006B762B" w:rsidRPr="006579CE" w:rsidRDefault="006B762B" w:rsidP="006B762B">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6B762B" w:rsidTr="006B68A4">
        <w:trPr>
          <w:trHeight w:val="255"/>
          <w:jc w:val="center"/>
        </w:trPr>
        <w:tc>
          <w:tcPr>
            <w:tcW w:w="9098" w:type="dxa"/>
            <w:gridSpan w:val="3"/>
            <w:shd w:val="clear" w:color="auto" w:fill="DBE5F1" w:themeFill="accent1" w:themeFillTint="33"/>
            <w:vAlign w:val="center"/>
          </w:tcPr>
          <w:p w:rsidR="006B762B" w:rsidRPr="006579CE" w:rsidRDefault="006B762B" w:rsidP="0095191D">
            <w:pPr>
              <w:pStyle w:val="Default"/>
              <w:autoSpaceDE/>
              <w:autoSpaceDN/>
              <w:adjustRightInd/>
              <w:ind w:left="0"/>
              <w:rPr>
                <w:sz w:val="20"/>
                <w:szCs w:val="20"/>
              </w:rPr>
            </w:pPr>
            <w:r>
              <w:rPr>
                <w:b/>
                <w:bCs/>
                <w:sz w:val="20"/>
                <w:szCs w:val="20"/>
              </w:rPr>
              <w:t>Rozmer 2 – Forma financovania</w:t>
            </w:r>
          </w:p>
        </w:tc>
      </w:tr>
      <w:tr w:rsidR="006B762B" w:rsidTr="006B68A4">
        <w:trPr>
          <w:trHeight w:val="255"/>
          <w:jc w:val="center"/>
        </w:trPr>
        <w:tc>
          <w:tcPr>
            <w:tcW w:w="4928" w:type="dxa"/>
            <w:shd w:val="clear" w:color="auto" w:fill="DBE5F1" w:themeFill="accent1" w:themeFillTint="33"/>
            <w:vAlign w:val="center"/>
          </w:tcPr>
          <w:p w:rsidR="006B762B" w:rsidRPr="006579CE" w:rsidRDefault="006B762B" w:rsidP="005917D8">
            <w:pPr>
              <w:pStyle w:val="Default"/>
              <w:autoSpaceDE/>
              <w:autoSpaceDN/>
              <w:adjustRightInd/>
              <w:ind w:left="0"/>
              <w:rPr>
                <w:b/>
                <w:bCs/>
                <w:sz w:val="20"/>
                <w:szCs w:val="20"/>
              </w:rPr>
            </w:pPr>
            <w:r w:rsidRPr="006579CE">
              <w:rPr>
                <w:b/>
                <w:bCs/>
                <w:sz w:val="20"/>
                <w:szCs w:val="20"/>
              </w:rPr>
              <w:t>Fond</w:t>
            </w:r>
          </w:p>
        </w:tc>
        <w:tc>
          <w:tcPr>
            <w:tcW w:w="4170" w:type="dxa"/>
            <w:gridSpan w:val="2"/>
            <w:shd w:val="clear" w:color="auto" w:fill="DBE5F1" w:themeFill="accent1" w:themeFillTint="33"/>
            <w:vAlign w:val="center"/>
          </w:tcPr>
          <w:p w:rsidR="006B762B" w:rsidRPr="006579CE" w:rsidRDefault="006B762B" w:rsidP="005917D8">
            <w:pPr>
              <w:pStyle w:val="Default"/>
              <w:autoSpaceDE/>
              <w:autoSpaceDN/>
              <w:adjustRightInd/>
              <w:ind w:left="0"/>
              <w:rPr>
                <w:bCs/>
                <w:sz w:val="20"/>
                <w:szCs w:val="20"/>
              </w:rPr>
            </w:pPr>
            <w:r w:rsidRPr="006579CE">
              <w:rPr>
                <w:bCs/>
                <w:sz w:val="20"/>
                <w:szCs w:val="20"/>
              </w:rPr>
              <w:t>Kohézny fond</w:t>
            </w:r>
          </w:p>
        </w:tc>
      </w:tr>
      <w:tr w:rsidR="006B762B" w:rsidTr="006B68A4">
        <w:trPr>
          <w:trHeight w:val="255"/>
          <w:jc w:val="center"/>
        </w:trPr>
        <w:tc>
          <w:tcPr>
            <w:tcW w:w="4928" w:type="dxa"/>
            <w:shd w:val="clear" w:color="auto" w:fill="DBE5F1" w:themeFill="accent1" w:themeFillTint="33"/>
            <w:vAlign w:val="center"/>
          </w:tcPr>
          <w:p w:rsidR="006B762B" w:rsidRPr="006579CE" w:rsidRDefault="006B762B" w:rsidP="005917D8">
            <w:pPr>
              <w:ind w:left="0"/>
              <w:rPr>
                <w:sz w:val="20"/>
                <w:szCs w:val="20"/>
              </w:rPr>
            </w:pPr>
            <w:r w:rsidRPr="006579CE">
              <w:rPr>
                <w:b/>
                <w:bCs/>
                <w:color w:val="000000"/>
                <w:sz w:val="20"/>
                <w:szCs w:val="20"/>
              </w:rPr>
              <w:t>Kategória regiónu</w:t>
            </w:r>
          </w:p>
        </w:tc>
        <w:tc>
          <w:tcPr>
            <w:tcW w:w="4170" w:type="dxa"/>
            <w:gridSpan w:val="2"/>
            <w:shd w:val="clear" w:color="auto" w:fill="DBE5F1" w:themeFill="accent1" w:themeFillTint="33"/>
            <w:vAlign w:val="center"/>
          </w:tcPr>
          <w:p w:rsidR="006B762B" w:rsidRPr="006579CE" w:rsidRDefault="006B762B" w:rsidP="005917D8">
            <w:pPr>
              <w:ind w:left="0"/>
              <w:rPr>
                <w:sz w:val="20"/>
                <w:szCs w:val="20"/>
              </w:rPr>
            </w:pPr>
            <w:r w:rsidRPr="006579CE">
              <w:rPr>
                <w:sz w:val="20"/>
                <w:szCs w:val="20"/>
              </w:rPr>
              <w:t>N/A</w:t>
            </w:r>
          </w:p>
        </w:tc>
      </w:tr>
      <w:tr w:rsidR="006B762B" w:rsidTr="006B68A4">
        <w:trPr>
          <w:trHeight w:val="255"/>
          <w:jc w:val="center"/>
        </w:trPr>
        <w:tc>
          <w:tcPr>
            <w:tcW w:w="4928" w:type="dxa"/>
            <w:vAlign w:val="center"/>
          </w:tcPr>
          <w:p w:rsidR="006B762B" w:rsidRPr="00D479A4" w:rsidRDefault="006B762B" w:rsidP="005917D8">
            <w:pPr>
              <w:ind w:left="0"/>
              <w:jc w:val="center"/>
              <w:rPr>
                <w:b/>
                <w:sz w:val="20"/>
                <w:szCs w:val="20"/>
              </w:rPr>
            </w:pPr>
            <w:r w:rsidRPr="00D479A4">
              <w:rPr>
                <w:b/>
                <w:sz w:val="20"/>
                <w:szCs w:val="20"/>
              </w:rPr>
              <w:t>Prioritná os</w:t>
            </w:r>
          </w:p>
        </w:tc>
        <w:tc>
          <w:tcPr>
            <w:tcW w:w="2126" w:type="dxa"/>
            <w:vAlign w:val="center"/>
          </w:tcPr>
          <w:p w:rsidR="006B762B" w:rsidRPr="00D479A4" w:rsidRDefault="006B762B" w:rsidP="005917D8">
            <w:pPr>
              <w:ind w:left="0"/>
              <w:jc w:val="center"/>
              <w:rPr>
                <w:b/>
                <w:sz w:val="20"/>
                <w:szCs w:val="20"/>
              </w:rPr>
            </w:pPr>
            <w:r w:rsidRPr="00D479A4">
              <w:rPr>
                <w:b/>
                <w:sz w:val="20"/>
                <w:szCs w:val="20"/>
              </w:rPr>
              <w:t>Kód</w:t>
            </w:r>
          </w:p>
        </w:tc>
        <w:tc>
          <w:tcPr>
            <w:tcW w:w="2044" w:type="dxa"/>
            <w:vAlign w:val="center"/>
          </w:tcPr>
          <w:p w:rsidR="006B762B" w:rsidRPr="00D479A4" w:rsidRDefault="006B762B" w:rsidP="005917D8">
            <w:pPr>
              <w:ind w:left="0"/>
              <w:jc w:val="center"/>
              <w:rPr>
                <w:b/>
                <w:sz w:val="20"/>
                <w:szCs w:val="20"/>
              </w:rPr>
            </w:pPr>
            <w:r w:rsidRPr="00D479A4">
              <w:rPr>
                <w:b/>
                <w:sz w:val="20"/>
                <w:szCs w:val="20"/>
              </w:rPr>
              <w:t>Suma (v EUR)</w:t>
            </w:r>
          </w:p>
        </w:tc>
      </w:tr>
      <w:tr w:rsidR="006B762B" w:rsidTr="006B68A4">
        <w:trPr>
          <w:trHeight w:val="255"/>
          <w:jc w:val="center"/>
        </w:trPr>
        <w:tc>
          <w:tcPr>
            <w:tcW w:w="4928" w:type="dxa"/>
            <w:vMerge w:val="restart"/>
            <w:vAlign w:val="center"/>
          </w:tcPr>
          <w:p w:rsidR="006B762B" w:rsidRPr="00D479A4" w:rsidRDefault="006B68A4" w:rsidP="005917D8">
            <w:pPr>
              <w:ind w:left="0"/>
              <w:rPr>
                <w:sz w:val="20"/>
                <w:szCs w:val="20"/>
              </w:rPr>
            </w:pPr>
            <w:r>
              <w:rPr>
                <w:sz w:val="20"/>
                <w:szCs w:val="20"/>
              </w:rPr>
              <w:t xml:space="preserve">Prioritná os 2 - </w:t>
            </w:r>
            <w:r w:rsidR="006B762B">
              <w:rPr>
                <w:sz w:val="20"/>
                <w:szCs w:val="20"/>
              </w:rPr>
              <w:t>Cestná</w:t>
            </w:r>
            <w:r w:rsidR="006B762B" w:rsidRPr="00D479A4">
              <w:rPr>
                <w:sz w:val="20"/>
                <w:szCs w:val="20"/>
              </w:rPr>
              <w:t xml:space="preserve"> infraštruktúra (TEN-T CORE)</w:t>
            </w:r>
          </w:p>
        </w:tc>
        <w:tc>
          <w:tcPr>
            <w:tcW w:w="2126" w:type="dxa"/>
            <w:vAlign w:val="center"/>
          </w:tcPr>
          <w:p w:rsidR="006B762B" w:rsidRPr="00D479A4" w:rsidRDefault="006B762B" w:rsidP="005917D8">
            <w:pPr>
              <w:ind w:left="0"/>
              <w:jc w:val="center"/>
              <w:rPr>
                <w:sz w:val="20"/>
                <w:szCs w:val="20"/>
              </w:rPr>
            </w:pPr>
            <w:r>
              <w:rPr>
                <w:sz w:val="20"/>
                <w:szCs w:val="20"/>
              </w:rPr>
              <w:t>01</w:t>
            </w:r>
          </w:p>
        </w:tc>
        <w:tc>
          <w:tcPr>
            <w:tcW w:w="2044" w:type="dxa"/>
            <w:vAlign w:val="center"/>
          </w:tcPr>
          <w:p w:rsidR="006B762B" w:rsidRPr="006B762B" w:rsidRDefault="006B762B" w:rsidP="006B762B">
            <w:pPr>
              <w:ind w:left="0"/>
              <w:jc w:val="center"/>
              <w:rPr>
                <w:sz w:val="20"/>
                <w:szCs w:val="20"/>
              </w:rPr>
            </w:pPr>
            <w:r w:rsidRPr="006B762B">
              <w:rPr>
                <w:sz w:val="20"/>
                <w:szCs w:val="20"/>
              </w:rPr>
              <w:t>1 108 225 000</w:t>
            </w:r>
          </w:p>
        </w:tc>
      </w:tr>
      <w:tr w:rsidR="006B762B" w:rsidTr="006B68A4">
        <w:trPr>
          <w:trHeight w:val="255"/>
          <w:jc w:val="center"/>
        </w:trPr>
        <w:tc>
          <w:tcPr>
            <w:tcW w:w="4928" w:type="dxa"/>
            <w:vMerge/>
            <w:vAlign w:val="center"/>
          </w:tcPr>
          <w:p w:rsidR="006B762B" w:rsidRPr="00D479A4" w:rsidRDefault="006B762B" w:rsidP="005917D8">
            <w:pPr>
              <w:ind w:left="0"/>
              <w:rPr>
                <w:sz w:val="20"/>
                <w:szCs w:val="20"/>
              </w:rPr>
            </w:pPr>
          </w:p>
        </w:tc>
        <w:tc>
          <w:tcPr>
            <w:tcW w:w="2126" w:type="dxa"/>
            <w:vAlign w:val="center"/>
          </w:tcPr>
          <w:p w:rsidR="006B762B" w:rsidRPr="00D479A4" w:rsidRDefault="00B468F6" w:rsidP="005917D8">
            <w:pPr>
              <w:ind w:left="0"/>
              <w:jc w:val="center"/>
              <w:rPr>
                <w:sz w:val="20"/>
                <w:szCs w:val="20"/>
              </w:rPr>
            </w:pPr>
            <w:r>
              <w:rPr>
                <w:sz w:val="20"/>
                <w:szCs w:val="20"/>
              </w:rPr>
              <w:t>02</w:t>
            </w:r>
          </w:p>
        </w:tc>
        <w:tc>
          <w:tcPr>
            <w:tcW w:w="2044" w:type="dxa"/>
            <w:vAlign w:val="center"/>
          </w:tcPr>
          <w:p w:rsidR="006B762B" w:rsidRPr="006B762B" w:rsidRDefault="006B762B" w:rsidP="006B762B">
            <w:pPr>
              <w:ind w:left="0"/>
              <w:jc w:val="center"/>
              <w:rPr>
                <w:sz w:val="20"/>
                <w:szCs w:val="20"/>
              </w:rPr>
            </w:pPr>
            <w:r w:rsidRPr="006B762B">
              <w:rPr>
                <w:sz w:val="20"/>
                <w:szCs w:val="20"/>
              </w:rPr>
              <w:t>34 275 000</w:t>
            </w:r>
          </w:p>
        </w:tc>
      </w:tr>
    </w:tbl>
    <w:p w:rsidR="006B762B" w:rsidRPr="006579CE" w:rsidRDefault="006B762B" w:rsidP="006B762B">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6B762B" w:rsidTr="006B68A4">
        <w:trPr>
          <w:trHeight w:val="255"/>
          <w:jc w:val="center"/>
        </w:trPr>
        <w:tc>
          <w:tcPr>
            <w:tcW w:w="9098" w:type="dxa"/>
            <w:gridSpan w:val="3"/>
            <w:shd w:val="clear" w:color="auto" w:fill="DBE5F1" w:themeFill="accent1" w:themeFillTint="33"/>
            <w:vAlign w:val="center"/>
          </w:tcPr>
          <w:p w:rsidR="006B762B" w:rsidRPr="006579CE" w:rsidRDefault="006B762B" w:rsidP="005917D8">
            <w:pPr>
              <w:pStyle w:val="Default"/>
              <w:autoSpaceDE/>
              <w:autoSpaceDN/>
              <w:adjustRightInd/>
              <w:ind w:left="0"/>
              <w:rPr>
                <w:sz w:val="20"/>
                <w:szCs w:val="20"/>
              </w:rPr>
            </w:pPr>
            <w:r>
              <w:rPr>
                <w:b/>
                <w:bCs/>
                <w:sz w:val="20"/>
                <w:szCs w:val="20"/>
              </w:rPr>
              <w:t>Rozmer 3 – Druh územia</w:t>
            </w:r>
          </w:p>
        </w:tc>
      </w:tr>
      <w:tr w:rsidR="006B762B" w:rsidTr="006B68A4">
        <w:trPr>
          <w:trHeight w:val="255"/>
          <w:jc w:val="center"/>
        </w:trPr>
        <w:tc>
          <w:tcPr>
            <w:tcW w:w="4928" w:type="dxa"/>
            <w:shd w:val="clear" w:color="auto" w:fill="DBE5F1" w:themeFill="accent1" w:themeFillTint="33"/>
            <w:vAlign w:val="center"/>
          </w:tcPr>
          <w:p w:rsidR="006B762B" w:rsidRPr="006579CE" w:rsidRDefault="006B762B" w:rsidP="005917D8">
            <w:pPr>
              <w:pStyle w:val="Default"/>
              <w:autoSpaceDE/>
              <w:autoSpaceDN/>
              <w:adjustRightInd/>
              <w:ind w:left="0"/>
              <w:rPr>
                <w:b/>
                <w:bCs/>
                <w:sz w:val="20"/>
                <w:szCs w:val="20"/>
              </w:rPr>
            </w:pPr>
            <w:r w:rsidRPr="006579CE">
              <w:rPr>
                <w:b/>
                <w:bCs/>
                <w:sz w:val="20"/>
                <w:szCs w:val="20"/>
              </w:rPr>
              <w:lastRenderedPageBreak/>
              <w:t>Fond</w:t>
            </w:r>
          </w:p>
        </w:tc>
        <w:tc>
          <w:tcPr>
            <w:tcW w:w="4170" w:type="dxa"/>
            <w:gridSpan w:val="2"/>
            <w:shd w:val="clear" w:color="auto" w:fill="DBE5F1" w:themeFill="accent1" w:themeFillTint="33"/>
            <w:vAlign w:val="center"/>
          </w:tcPr>
          <w:p w:rsidR="006B762B" w:rsidRPr="006579CE" w:rsidRDefault="006B762B" w:rsidP="005917D8">
            <w:pPr>
              <w:pStyle w:val="Default"/>
              <w:autoSpaceDE/>
              <w:autoSpaceDN/>
              <w:adjustRightInd/>
              <w:ind w:left="0"/>
              <w:rPr>
                <w:bCs/>
                <w:sz w:val="20"/>
                <w:szCs w:val="20"/>
              </w:rPr>
            </w:pPr>
            <w:r w:rsidRPr="006579CE">
              <w:rPr>
                <w:bCs/>
                <w:sz w:val="20"/>
                <w:szCs w:val="20"/>
              </w:rPr>
              <w:t>Kohézny fond</w:t>
            </w:r>
          </w:p>
        </w:tc>
      </w:tr>
      <w:tr w:rsidR="006B762B" w:rsidTr="006B68A4">
        <w:trPr>
          <w:trHeight w:val="255"/>
          <w:jc w:val="center"/>
        </w:trPr>
        <w:tc>
          <w:tcPr>
            <w:tcW w:w="4928" w:type="dxa"/>
            <w:shd w:val="clear" w:color="auto" w:fill="DBE5F1" w:themeFill="accent1" w:themeFillTint="33"/>
            <w:vAlign w:val="center"/>
          </w:tcPr>
          <w:p w:rsidR="006B762B" w:rsidRPr="006579CE" w:rsidRDefault="006B762B" w:rsidP="005917D8">
            <w:pPr>
              <w:ind w:left="0"/>
              <w:rPr>
                <w:sz w:val="20"/>
                <w:szCs w:val="20"/>
              </w:rPr>
            </w:pPr>
            <w:r w:rsidRPr="006579CE">
              <w:rPr>
                <w:b/>
                <w:bCs/>
                <w:color w:val="000000"/>
                <w:sz w:val="20"/>
                <w:szCs w:val="20"/>
              </w:rPr>
              <w:t>Kategória regiónu</w:t>
            </w:r>
          </w:p>
        </w:tc>
        <w:tc>
          <w:tcPr>
            <w:tcW w:w="4170" w:type="dxa"/>
            <w:gridSpan w:val="2"/>
            <w:shd w:val="clear" w:color="auto" w:fill="DBE5F1" w:themeFill="accent1" w:themeFillTint="33"/>
            <w:vAlign w:val="center"/>
          </w:tcPr>
          <w:p w:rsidR="006B762B" w:rsidRPr="006579CE" w:rsidRDefault="006B762B" w:rsidP="005917D8">
            <w:pPr>
              <w:ind w:left="0"/>
              <w:rPr>
                <w:sz w:val="20"/>
                <w:szCs w:val="20"/>
              </w:rPr>
            </w:pPr>
            <w:r w:rsidRPr="006579CE">
              <w:rPr>
                <w:sz w:val="20"/>
                <w:szCs w:val="20"/>
              </w:rPr>
              <w:t>N/A</w:t>
            </w:r>
          </w:p>
        </w:tc>
      </w:tr>
      <w:tr w:rsidR="006B762B" w:rsidTr="006B68A4">
        <w:trPr>
          <w:trHeight w:val="255"/>
          <w:jc w:val="center"/>
        </w:trPr>
        <w:tc>
          <w:tcPr>
            <w:tcW w:w="4928" w:type="dxa"/>
            <w:vAlign w:val="center"/>
          </w:tcPr>
          <w:p w:rsidR="006B762B" w:rsidRPr="00D479A4" w:rsidRDefault="006B762B" w:rsidP="005917D8">
            <w:pPr>
              <w:ind w:left="0"/>
              <w:jc w:val="center"/>
              <w:rPr>
                <w:b/>
                <w:sz w:val="20"/>
                <w:szCs w:val="20"/>
              </w:rPr>
            </w:pPr>
            <w:r w:rsidRPr="00D479A4">
              <w:rPr>
                <w:b/>
                <w:sz w:val="20"/>
                <w:szCs w:val="20"/>
              </w:rPr>
              <w:t>Prioritná os</w:t>
            </w:r>
          </w:p>
        </w:tc>
        <w:tc>
          <w:tcPr>
            <w:tcW w:w="2126" w:type="dxa"/>
            <w:vAlign w:val="center"/>
          </w:tcPr>
          <w:p w:rsidR="006B762B" w:rsidRPr="00D479A4" w:rsidRDefault="006B762B" w:rsidP="005917D8">
            <w:pPr>
              <w:ind w:left="0"/>
              <w:jc w:val="center"/>
              <w:rPr>
                <w:b/>
                <w:sz w:val="20"/>
                <w:szCs w:val="20"/>
              </w:rPr>
            </w:pPr>
            <w:r w:rsidRPr="00D479A4">
              <w:rPr>
                <w:b/>
                <w:sz w:val="20"/>
                <w:szCs w:val="20"/>
              </w:rPr>
              <w:t>Kód</w:t>
            </w:r>
          </w:p>
        </w:tc>
        <w:tc>
          <w:tcPr>
            <w:tcW w:w="2044" w:type="dxa"/>
            <w:vAlign w:val="center"/>
          </w:tcPr>
          <w:p w:rsidR="006B762B" w:rsidRPr="00D479A4" w:rsidRDefault="006B762B" w:rsidP="005917D8">
            <w:pPr>
              <w:ind w:left="0"/>
              <w:jc w:val="center"/>
              <w:rPr>
                <w:b/>
                <w:sz w:val="20"/>
                <w:szCs w:val="20"/>
              </w:rPr>
            </w:pPr>
            <w:r w:rsidRPr="00D479A4">
              <w:rPr>
                <w:b/>
                <w:sz w:val="20"/>
                <w:szCs w:val="20"/>
              </w:rPr>
              <w:t>Suma (v EUR)</w:t>
            </w:r>
          </w:p>
        </w:tc>
      </w:tr>
      <w:tr w:rsidR="00B468F6" w:rsidTr="006B68A4">
        <w:trPr>
          <w:trHeight w:val="255"/>
          <w:jc w:val="center"/>
        </w:trPr>
        <w:tc>
          <w:tcPr>
            <w:tcW w:w="4928" w:type="dxa"/>
            <w:vAlign w:val="center"/>
          </w:tcPr>
          <w:p w:rsidR="00B468F6" w:rsidRPr="00D479A4" w:rsidRDefault="006B68A4" w:rsidP="00017B79">
            <w:pPr>
              <w:ind w:left="0"/>
              <w:rPr>
                <w:sz w:val="20"/>
                <w:szCs w:val="20"/>
              </w:rPr>
            </w:pPr>
            <w:r>
              <w:rPr>
                <w:sz w:val="20"/>
                <w:szCs w:val="20"/>
              </w:rPr>
              <w:t xml:space="preserve">Prioritná os 2 - </w:t>
            </w:r>
            <w:r w:rsidR="00B468F6">
              <w:rPr>
                <w:sz w:val="20"/>
                <w:szCs w:val="20"/>
              </w:rPr>
              <w:t>Cestná</w:t>
            </w:r>
            <w:r w:rsidR="00B468F6" w:rsidRPr="00D479A4">
              <w:rPr>
                <w:sz w:val="20"/>
                <w:szCs w:val="20"/>
              </w:rPr>
              <w:t xml:space="preserve"> infraštruktúra (TEN-T CORE)</w:t>
            </w:r>
          </w:p>
        </w:tc>
        <w:tc>
          <w:tcPr>
            <w:tcW w:w="2126" w:type="dxa"/>
            <w:vAlign w:val="center"/>
          </w:tcPr>
          <w:p w:rsidR="00B468F6" w:rsidRPr="00D479A4" w:rsidRDefault="00B468F6" w:rsidP="00B468F6">
            <w:pPr>
              <w:ind w:left="0"/>
              <w:jc w:val="center"/>
              <w:rPr>
                <w:sz w:val="20"/>
                <w:szCs w:val="20"/>
              </w:rPr>
            </w:pPr>
            <w:r>
              <w:rPr>
                <w:sz w:val="20"/>
                <w:szCs w:val="20"/>
              </w:rPr>
              <w:t>0</w:t>
            </w:r>
            <w:r w:rsidR="002F56BA">
              <w:rPr>
                <w:sz w:val="20"/>
                <w:szCs w:val="20"/>
              </w:rPr>
              <w:t>7</w:t>
            </w:r>
          </w:p>
        </w:tc>
        <w:tc>
          <w:tcPr>
            <w:tcW w:w="2044" w:type="dxa"/>
            <w:vAlign w:val="center"/>
          </w:tcPr>
          <w:p w:rsidR="00B468F6" w:rsidRPr="006B762B" w:rsidRDefault="00B468F6" w:rsidP="00B468F6">
            <w:pPr>
              <w:ind w:left="0"/>
              <w:jc w:val="center"/>
              <w:rPr>
                <w:sz w:val="20"/>
                <w:szCs w:val="20"/>
                <w:lang w:val="en-US"/>
              </w:rPr>
            </w:pPr>
            <w:r>
              <w:rPr>
                <w:sz w:val="20"/>
                <w:szCs w:val="20"/>
                <w:lang w:val="en-US"/>
              </w:rPr>
              <w:t>1 142 500 000</w:t>
            </w:r>
          </w:p>
        </w:tc>
      </w:tr>
    </w:tbl>
    <w:p w:rsidR="006B762B" w:rsidRPr="006579CE" w:rsidRDefault="006B762B" w:rsidP="006B762B">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6B762B" w:rsidTr="006B68A4">
        <w:trPr>
          <w:trHeight w:val="255"/>
          <w:jc w:val="center"/>
        </w:trPr>
        <w:tc>
          <w:tcPr>
            <w:tcW w:w="9098" w:type="dxa"/>
            <w:gridSpan w:val="3"/>
            <w:shd w:val="clear" w:color="auto" w:fill="DBE5F1" w:themeFill="accent1" w:themeFillTint="33"/>
            <w:vAlign w:val="center"/>
          </w:tcPr>
          <w:p w:rsidR="006B762B" w:rsidRPr="008C1732" w:rsidRDefault="006B762B" w:rsidP="005917D8">
            <w:pPr>
              <w:pStyle w:val="Default"/>
              <w:autoSpaceDE/>
              <w:autoSpaceDN/>
              <w:adjustRightInd/>
              <w:ind w:left="0"/>
              <w:rPr>
                <w:b/>
                <w:bCs/>
                <w:sz w:val="20"/>
                <w:szCs w:val="20"/>
              </w:rPr>
            </w:pPr>
            <w:r>
              <w:rPr>
                <w:b/>
                <w:bCs/>
                <w:sz w:val="20"/>
                <w:szCs w:val="20"/>
              </w:rPr>
              <w:t>Rozmer 4 – Územné mechanizmy realizácie</w:t>
            </w:r>
          </w:p>
        </w:tc>
      </w:tr>
      <w:tr w:rsidR="006B762B" w:rsidTr="006B68A4">
        <w:trPr>
          <w:trHeight w:val="255"/>
          <w:jc w:val="center"/>
        </w:trPr>
        <w:tc>
          <w:tcPr>
            <w:tcW w:w="4928" w:type="dxa"/>
            <w:shd w:val="clear" w:color="auto" w:fill="DBE5F1" w:themeFill="accent1" w:themeFillTint="33"/>
            <w:vAlign w:val="center"/>
          </w:tcPr>
          <w:p w:rsidR="006B762B" w:rsidRPr="006579CE" w:rsidRDefault="006B762B" w:rsidP="005917D8">
            <w:pPr>
              <w:pStyle w:val="Default"/>
              <w:autoSpaceDE/>
              <w:autoSpaceDN/>
              <w:adjustRightInd/>
              <w:ind w:left="0"/>
              <w:rPr>
                <w:b/>
                <w:bCs/>
                <w:sz w:val="20"/>
                <w:szCs w:val="20"/>
              </w:rPr>
            </w:pPr>
            <w:r w:rsidRPr="006579CE">
              <w:rPr>
                <w:b/>
                <w:bCs/>
                <w:sz w:val="20"/>
                <w:szCs w:val="20"/>
              </w:rPr>
              <w:t>Fond</w:t>
            </w:r>
          </w:p>
        </w:tc>
        <w:tc>
          <w:tcPr>
            <w:tcW w:w="4170" w:type="dxa"/>
            <w:gridSpan w:val="2"/>
            <w:shd w:val="clear" w:color="auto" w:fill="DBE5F1" w:themeFill="accent1" w:themeFillTint="33"/>
            <w:vAlign w:val="center"/>
          </w:tcPr>
          <w:p w:rsidR="006B762B" w:rsidRPr="006579CE" w:rsidRDefault="006B762B" w:rsidP="005917D8">
            <w:pPr>
              <w:pStyle w:val="Default"/>
              <w:autoSpaceDE/>
              <w:autoSpaceDN/>
              <w:adjustRightInd/>
              <w:ind w:left="0"/>
              <w:rPr>
                <w:bCs/>
                <w:sz w:val="20"/>
                <w:szCs w:val="20"/>
              </w:rPr>
            </w:pPr>
            <w:r w:rsidRPr="006579CE">
              <w:rPr>
                <w:bCs/>
                <w:sz w:val="20"/>
                <w:szCs w:val="20"/>
              </w:rPr>
              <w:t>Kohézny fond</w:t>
            </w:r>
          </w:p>
        </w:tc>
      </w:tr>
      <w:tr w:rsidR="006B762B" w:rsidTr="006B68A4">
        <w:trPr>
          <w:trHeight w:val="255"/>
          <w:jc w:val="center"/>
        </w:trPr>
        <w:tc>
          <w:tcPr>
            <w:tcW w:w="4928" w:type="dxa"/>
            <w:shd w:val="clear" w:color="auto" w:fill="DBE5F1" w:themeFill="accent1" w:themeFillTint="33"/>
            <w:vAlign w:val="center"/>
          </w:tcPr>
          <w:p w:rsidR="006B762B" w:rsidRPr="006579CE" w:rsidRDefault="006B762B" w:rsidP="005917D8">
            <w:pPr>
              <w:ind w:left="0"/>
              <w:rPr>
                <w:sz w:val="20"/>
                <w:szCs w:val="20"/>
              </w:rPr>
            </w:pPr>
            <w:r w:rsidRPr="006579CE">
              <w:rPr>
                <w:b/>
                <w:bCs/>
                <w:color w:val="000000"/>
                <w:sz w:val="20"/>
                <w:szCs w:val="20"/>
              </w:rPr>
              <w:t>Kategória regiónu</w:t>
            </w:r>
          </w:p>
        </w:tc>
        <w:tc>
          <w:tcPr>
            <w:tcW w:w="4170" w:type="dxa"/>
            <w:gridSpan w:val="2"/>
            <w:shd w:val="clear" w:color="auto" w:fill="DBE5F1" w:themeFill="accent1" w:themeFillTint="33"/>
            <w:vAlign w:val="center"/>
          </w:tcPr>
          <w:p w:rsidR="006B762B" w:rsidRPr="006579CE" w:rsidRDefault="006B762B" w:rsidP="005917D8">
            <w:pPr>
              <w:ind w:left="0"/>
              <w:rPr>
                <w:sz w:val="20"/>
                <w:szCs w:val="20"/>
              </w:rPr>
            </w:pPr>
            <w:r w:rsidRPr="006579CE">
              <w:rPr>
                <w:sz w:val="20"/>
                <w:szCs w:val="20"/>
              </w:rPr>
              <w:t>N/A</w:t>
            </w:r>
          </w:p>
        </w:tc>
      </w:tr>
      <w:tr w:rsidR="006B762B" w:rsidTr="006B68A4">
        <w:trPr>
          <w:trHeight w:val="255"/>
          <w:jc w:val="center"/>
        </w:trPr>
        <w:tc>
          <w:tcPr>
            <w:tcW w:w="4928" w:type="dxa"/>
            <w:vAlign w:val="center"/>
          </w:tcPr>
          <w:p w:rsidR="006B762B" w:rsidRPr="00D479A4" w:rsidRDefault="006B762B" w:rsidP="005917D8">
            <w:pPr>
              <w:ind w:left="0"/>
              <w:jc w:val="center"/>
              <w:rPr>
                <w:b/>
                <w:sz w:val="20"/>
                <w:szCs w:val="20"/>
              </w:rPr>
            </w:pPr>
            <w:r w:rsidRPr="00D479A4">
              <w:rPr>
                <w:b/>
                <w:sz w:val="20"/>
                <w:szCs w:val="20"/>
              </w:rPr>
              <w:t>Prioritná os</w:t>
            </w:r>
          </w:p>
        </w:tc>
        <w:tc>
          <w:tcPr>
            <w:tcW w:w="2126" w:type="dxa"/>
            <w:vAlign w:val="center"/>
          </w:tcPr>
          <w:p w:rsidR="006B762B" w:rsidRPr="00D479A4" w:rsidRDefault="006B762B" w:rsidP="005917D8">
            <w:pPr>
              <w:ind w:left="0"/>
              <w:jc w:val="center"/>
              <w:rPr>
                <w:b/>
                <w:sz w:val="20"/>
                <w:szCs w:val="20"/>
              </w:rPr>
            </w:pPr>
            <w:r w:rsidRPr="00D479A4">
              <w:rPr>
                <w:b/>
                <w:sz w:val="20"/>
                <w:szCs w:val="20"/>
              </w:rPr>
              <w:t>Kód</w:t>
            </w:r>
          </w:p>
        </w:tc>
        <w:tc>
          <w:tcPr>
            <w:tcW w:w="2044" w:type="dxa"/>
            <w:vAlign w:val="center"/>
          </w:tcPr>
          <w:p w:rsidR="006B762B" w:rsidRPr="00D479A4" w:rsidRDefault="006B762B" w:rsidP="005917D8">
            <w:pPr>
              <w:ind w:left="0"/>
              <w:jc w:val="center"/>
              <w:rPr>
                <w:b/>
                <w:sz w:val="20"/>
                <w:szCs w:val="20"/>
              </w:rPr>
            </w:pPr>
            <w:r w:rsidRPr="00D479A4">
              <w:rPr>
                <w:b/>
                <w:sz w:val="20"/>
                <w:szCs w:val="20"/>
              </w:rPr>
              <w:t>Suma (v EUR)</w:t>
            </w:r>
          </w:p>
        </w:tc>
      </w:tr>
      <w:tr w:rsidR="00B468F6" w:rsidTr="006B68A4">
        <w:trPr>
          <w:trHeight w:val="255"/>
          <w:jc w:val="center"/>
        </w:trPr>
        <w:tc>
          <w:tcPr>
            <w:tcW w:w="4928" w:type="dxa"/>
            <w:vAlign w:val="center"/>
          </w:tcPr>
          <w:p w:rsidR="00B468F6" w:rsidRPr="00D479A4" w:rsidRDefault="006B68A4" w:rsidP="00017B79">
            <w:pPr>
              <w:ind w:left="0"/>
              <w:rPr>
                <w:sz w:val="20"/>
                <w:szCs w:val="20"/>
              </w:rPr>
            </w:pPr>
            <w:r>
              <w:rPr>
                <w:sz w:val="20"/>
                <w:szCs w:val="20"/>
              </w:rPr>
              <w:t xml:space="preserve">Prioritná os 2 - </w:t>
            </w:r>
            <w:r w:rsidR="00B468F6">
              <w:rPr>
                <w:sz w:val="20"/>
                <w:szCs w:val="20"/>
              </w:rPr>
              <w:t>Cestná</w:t>
            </w:r>
            <w:r w:rsidR="00B468F6" w:rsidRPr="00D479A4">
              <w:rPr>
                <w:sz w:val="20"/>
                <w:szCs w:val="20"/>
              </w:rPr>
              <w:t xml:space="preserve"> infraštruktúra (TEN-T CORE)</w:t>
            </w:r>
          </w:p>
        </w:tc>
        <w:tc>
          <w:tcPr>
            <w:tcW w:w="2126" w:type="dxa"/>
            <w:vAlign w:val="center"/>
          </w:tcPr>
          <w:p w:rsidR="00B468F6" w:rsidRPr="00D479A4" w:rsidRDefault="00B468F6" w:rsidP="00B468F6">
            <w:pPr>
              <w:ind w:left="0"/>
              <w:jc w:val="center"/>
              <w:rPr>
                <w:sz w:val="20"/>
                <w:szCs w:val="20"/>
              </w:rPr>
            </w:pPr>
            <w:r>
              <w:rPr>
                <w:sz w:val="20"/>
                <w:szCs w:val="20"/>
              </w:rPr>
              <w:t>0</w:t>
            </w:r>
            <w:r w:rsidR="002F56BA">
              <w:rPr>
                <w:sz w:val="20"/>
                <w:szCs w:val="20"/>
              </w:rPr>
              <w:t>7</w:t>
            </w:r>
          </w:p>
        </w:tc>
        <w:tc>
          <w:tcPr>
            <w:tcW w:w="2044" w:type="dxa"/>
            <w:vAlign w:val="center"/>
          </w:tcPr>
          <w:p w:rsidR="00B468F6" w:rsidRPr="00D479A4" w:rsidRDefault="00B468F6" w:rsidP="00B468F6">
            <w:pPr>
              <w:ind w:left="0"/>
              <w:jc w:val="center"/>
              <w:rPr>
                <w:sz w:val="20"/>
                <w:szCs w:val="20"/>
              </w:rPr>
            </w:pPr>
            <w:r>
              <w:rPr>
                <w:sz w:val="20"/>
                <w:szCs w:val="20"/>
                <w:lang w:val="en-US"/>
              </w:rPr>
              <w:t>1 142 500 000</w:t>
            </w:r>
          </w:p>
        </w:tc>
      </w:tr>
    </w:tbl>
    <w:p w:rsidR="006B762B" w:rsidRDefault="006B762B" w:rsidP="00350B96">
      <w:pPr>
        <w:pStyle w:val="Nadpis3"/>
        <w:spacing w:before="120"/>
        <w:jc w:val="both"/>
      </w:pPr>
      <w:bookmarkStart w:id="33" w:name="_Toc385310692"/>
      <w:r>
        <w:t>Súhrn plánovaného využitia technickej pomoci vrátane, ak je to vhodné, akcií na posilnenie administratívnej kapacity orgánov zapojených do riadenia a kontroly programu a prijímateľov (ak je to vhodné)</w:t>
      </w:r>
      <w:bookmarkEnd w:id="33"/>
    </w:p>
    <w:p w:rsidR="006B762B" w:rsidRDefault="006B762B" w:rsidP="006B762B">
      <w:pPr>
        <w:rPr>
          <w:sz w:val="22"/>
          <w:szCs w:val="22"/>
        </w:rPr>
      </w:pPr>
      <w:r w:rsidRPr="008C1732">
        <w:rPr>
          <w:sz w:val="22"/>
          <w:szCs w:val="22"/>
        </w:rPr>
        <w:t>N/A</w:t>
      </w:r>
    </w:p>
    <w:p w:rsidR="00266DA8" w:rsidRDefault="00266DA8" w:rsidP="006B762B">
      <w:pPr>
        <w:rPr>
          <w:sz w:val="22"/>
          <w:szCs w:val="22"/>
        </w:rPr>
        <w:sectPr w:rsidR="00266DA8" w:rsidSect="00D1658B">
          <w:headerReference w:type="default" r:id="rId20"/>
          <w:pgSz w:w="11906" w:h="16838"/>
          <w:pgMar w:top="1418" w:right="1361" w:bottom="1304" w:left="1474" w:header="709" w:footer="709" w:gutter="0"/>
          <w:cols w:space="708"/>
          <w:docGrid w:linePitch="360"/>
        </w:sectPr>
      </w:pPr>
    </w:p>
    <w:p w:rsidR="00266DA8" w:rsidRDefault="00373F09" w:rsidP="00266DA8">
      <w:pPr>
        <w:pStyle w:val="Nadpis2"/>
      </w:pPr>
      <w:bookmarkStart w:id="34" w:name="_Toc385310693"/>
      <w:r>
        <w:lastRenderedPageBreak/>
        <w:t>PRIORITNÁ OS 3</w:t>
      </w:r>
      <w:r w:rsidR="00266DA8">
        <w:t xml:space="preserve">: </w:t>
      </w:r>
      <w:r>
        <w:t>VEREJNÁ OSOBNÁ DOPRAVA</w:t>
      </w:r>
      <w:bookmarkEnd w:id="34"/>
    </w:p>
    <w:tbl>
      <w:tblPr>
        <w:tblStyle w:val="Mriekatabuky"/>
        <w:tblW w:w="793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404"/>
        <w:gridCol w:w="3534"/>
      </w:tblGrid>
      <w:tr w:rsidR="00997578" w:rsidTr="0095191D">
        <w:trPr>
          <w:trHeight w:hRule="exact" w:val="284"/>
          <w:jc w:val="center"/>
        </w:trPr>
        <w:tc>
          <w:tcPr>
            <w:tcW w:w="4404" w:type="dxa"/>
            <w:shd w:val="clear" w:color="auto" w:fill="DBE5F1" w:themeFill="accent1" w:themeFillTint="33"/>
            <w:vAlign w:val="center"/>
          </w:tcPr>
          <w:p w:rsidR="00997578" w:rsidRDefault="00997578" w:rsidP="005139F6">
            <w:pPr>
              <w:ind w:left="0"/>
            </w:pPr>
            <w:r w:rsidRPr="00863337">
              <w:rPr>
                <w:b/>
                <w:i/>
                <w:sz w:val="20"/>
                <w:szCs w:val="20"/>
              </w:rPr>
              <w:t>ID prioritnej osi</w:t>
            </w:r>
          </w:p>
        </w:tc>
        <w:tc>
          <w:tcPr>
            <w:tcW w:w="3534" w:type="dxa"/>
            <w:vAlign w:val="center"/>
          </w:tcPr>
          <w:p w:rsidR="00997578" w:rsidRDefault="00997578" w:rsidP="00D83282">
            <w:pPr>
              <w:pStyle w:val="PRIORITNA"/>
              <w:numPr>
                <w:ilvl w:val="0"/>
                <w:numId w:val="0"/>
              </w:numPr>
              <w:jc w:val="left"/>
            </w:pPr>
          </w:p>
        </w:tc>
      </w:tr>
      <w:tr w:rsidR="00997578" w:rsidTr="0095191D">
        <w:trPr>
          <w:trHeight w:hRule="exact" w:val="284"/>
          <w:jc w:val="center"/>
        </w:trPr>
        <w:tc>
          <w:tcPr>
            <w:tcW w:w="4404" w:type="dxa"/>
            <w:shd w:val="clear" w:color="auto" w:fill="DBE5F1" w:themeFill="accent1" w:themeFillTint="33"/>
            <w:vAlign w:val="center"/>
          </w:tcPr>
          <w:p w:rsidR="00997578" w:rsidRPr="003D6170" w:rsidRDefault="00997578" w:rsidP="003D6170">
            <w:pPr>
              <w:ind w:left="0"/>
            </w:pPr>
            <w:r w:rsidRPr="003D6170">
              <w:rPr>
                <w:b/>
                <w:i/>
                <w:sz w:val="20"/>
                <w:szCs w:val="20"/>
              </w:rPr>
              <w:t>Názov prioritnej osi</w:t>
            </w:r>
          </w:p>
        </w:tc>
        <w:tc>
          <w:tcPr>
            <w:tcW w:w="3534" w:type="dxa"/>
            <w:vAlign w:val="center"/>
          </w:tcPr>
          <w:p w:rsidR="00997578" w:rsidRPr="00750A42" w:rsidRDefault="00997578" w:rsidP="00D83282">
            <w:pPr>
              <w:ind w:left="0"/>
              <w:rPr>
                <w:sz w:val="20"/>
                <w:szCs w:val="20"/>
              </w:rPr>
            </w:pPr>
            <w:r>
              <w:rPr>
                <w:sz w:val="20"/>
                <w:szCs w:val="20"/>
              </w:rPr>
              <w:t>Verejná osobná doprava</w:t>
            </w:r>
          </w:p>
        </w:tc>
      </w:tr>
    </w:tbl>
    <w:p w:rsidR="00997578" w:rsidRDefault="00997578" w:rsidP="00E01D5B">
      <w:pPr>
        <w:pStyle w:val="PRIORITNA"/>
        <w:numPr>
          <w:ilvl w:val="0"/>
          <w:numId w:val="0"/>
        </w:numPr>
        <w:spacing w:after="0"/>
      </w:pPr>
    </w:p>
    <w:tbl>
      <w:tblPr>
        <w:tblStyle w:val="Mriekatabuky"/>
        <w:tblW w:w="793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396"/>
        <w:gridCol w:w="3542"/>
      </w:tblGrid>
      <w:tr w:rsidR="00997578" w:rsidRPr="00765DFA" w:rsidTr="0095191D">
        <w:trPr>
          <w:trHeight w:val="255"/>
          <w:jc w:val="center"/>
        </w:trPr>
        <w:tc>
          <w:tcPr>
            <w:tcW w:w="4396" w:type="dxa"/>
            <w:shd w:val="clear" w:color="auto" w:fill="DBE5F1" w:themeFill="accent1" w:themeFillTint="33"/>
            <w:vAlign w:val="center"/>
          </w:tcPr>
          <w:p w:rsidR="00997578" w:rsidRPr="00765DFA" w:rsidRDefault="00997578" w:rsidP="005139F6">
            <w:pPr>
              <w:ind w:left="0"/>
              <w:rPr>
                <w:b/>
                <w:i/>
                <w:sz w:val="20"/>
                <w:szCs w:val="20"/>
              </w:rPr>
            </w:pPr>
            <w:r>
              <w:rPr>
                <w:b/>
                <w:i/>
                <w:sz w:val="20"/>
                <w:szCs w:val="20"/>
              </w:rPr>
              <w:t xml:space="preserve">Celá prioritná os bude realizovaná výhradne prostredníctvom finančných nástrojov </w:t>
            </w:r>
          </w:p>
        </w:tc>
        <w:tc>
          <w:tcPr>
            <w:tcW w:w="3542" w:type="dxa"/>
            <w:vAlign w:val="center"/>
          </w:tcPr>
          <w:p w:rsidR="00997578" w:rsidRPr="00765DFA" w:rsidRDefault="00997578" w:rsidP="005139F6">
            <w:pPr>
              <w:ind w:left="0"/>
              <w:rPr>
                <w:sz w:val="20"/>
                <w:szCs w:val="20"/>
              </w:rPr>
            </w:pPr>
            <w:r>
              <w:rPr>
                <w:sz w:val="20"/>
                <w:szCs w:val="20"/>
              </w:rPr>
              <w:t>Nie</w:t>
            </w:r>
          </w:p>
        </w:tc>
      </w:tr>
      <w:tr w:rsidR="00997578" w:rsidRPr="00765DFA" w:rsidTr="0095191D">
        <w:trPr>
          <w:trHeight w:val="255"/>
          <w:jc w:val="center"/>
        </w:trPr>
        <w:tc>
          <w:tcPr>
            <w:tcW w:w="4396" w:type="dxa"/>
            <w:shd w:val="clear" w:color="auto" w:fill="DBE5F1" w:themeFill="accent1" w:themeFillTint="33"/>
            <w:vAlign w:val="center"/>
          </w:tcPr>
          <w:p w:rsidR="00997578" w:rsidRPr="00765DFA" w:rsidRDefault="00997578" w:rsidP="005139F6">
            <w:pPr>
              <w:ind w:left="0"/>
              <w:rPr>
                <w:b/>
                <w:i/>
                <w:sz w:val="20"/>
                <w:szCs w:val="20"/>
              </w:rPr>
            </w:pPr>
            <w:r>
              <w:rPr>
                <w:b/>
                <w:i/>
                <w:sz w:val="20"/>
                <w:szCs w:val="20"/>
              </w:rPr>
              <w:t>Celá prioritná os bude realizovaná výhradne prostredníctvom finančných nástrojov vytvorených na úrovni Únie</w:t>
            </w:r>
          </w:p>
        </w:tc>
        <w:tc>
          <w:tcPr>
            <w:tcW w:w="3542" w:type="dxa"/>
            <w:vAlign w:val="center"/>
          </w:tcPr>
          <w:p w:rsidR="00997578" w:rsidRPr="00765DFA" w:rsidRDefault="00997578" w:rsidP="005139F6">
            <w:pPr>
              <w:ind w:left="0"/>
              <w:rPr>
                <w:sz w:val="20"/>
                <w:szCs w:val="20"/>
              </w:rPr>
            </w:pPr>
            <w:r>
              <w:rPr>
                <w:sz w:val="20"/>
                <w:szCs w:val="20"/>
              </w:rPr>
              <w:t>Nie</w:t>
            </w:r>
          </w:p>
        </w:tc>
      </w:tr>
      <w:tr w:rsidR="00997578" w:rsidRPr="00750A42" w:rsidTr="0095191D">
        <w:trPr>
          <w:trHeight w:val="70"/>
          <w:jc w:val="center"/>
        </w:trPr>
        <w:tc>
          <w:tcPr>
            <w:tcW w:w="4396" w:type="dxa"/>
            <w:shd w:val="clear" w:color="auto" w:fill="DBE5F1" w:themeFill="accent1" w:themeFillTint="33"/>
            <w:vAlign w:val="center"/>
          </w:tcPr>
          <w:p w:rsidR="00997578" w:rsidRPr="00765DFA" w:rsidRDefault="00997578" w:rsidP="005139F6">
            <w:pPr>
              <w:ind w:left="0"/>
              <w:rPr>
                <w:b/>
                <w:i/>
                <w:sz w:val="20"/>
                <w:szCs w:val="20"/>
              </w:rPr>
            </w:pPr>
            <w:r>
              <w:rPr>
                <w:b/>
                <w:i/>
                <w:sz w:val="20"/>
                <w:szCs w:val="20"/>
              </w:rPr>
              <w:t>Celá prioritná os bude realizovaná prostredníctvom komunitne vedeného miestneho rozvoja</w:t>
            </w:r>
          </w:p>
        </w:tc>
        <w:tc>
          <w:tcPr>
            <w:tcW w:w="3542" w:type="dxa"/>
            <w:vAlign w:val="center"/>
          </w:tcPr>
          <w:p w:rsidR="00997578" w:rsidRPr="00750A42" w:rsidRDefault="00997578" w:rsidP="005139F6">
            <w:pPr>
              <w:ind w:left="0"/>
              <w:rPr>
                <w:sz w:val="20"/>
                <w:szCs w:val="20"/>
              </w:rPr>
            </w:pPr>
            <w:r>
              <w:rPr>
                <w:sz w:val="20"/>
                <w:szCs w:val="20"/>
              </w:rPr>
              <w:t>Nie</w:t>
            </w:r>
          </w:p>
        </w:tc>
      </w:tr>
      <w:tr w:rsidR="00997578" w:rsidRPr="00765DFA" w:rsidTr="0095191D">
        <w:trPr>
          <w:jc w:val="center"/>
        </w:trPr>
        <w:tc>
          <w:tcPr>
            <w:tcW w:w="4396" w:type="dxa"/>
            <w:shd w:val="clear" w:color="auto" w:fill="DBE5F1" w:themeFill="accent1" w:themeFillTint="33"/>
          </w:tcPr>
          <w:p w:rsidR="00997578" w:rsidRPr="00765DFA" w:rsidRDefault="00997578" w:rsidP="005139F6">
            <w:pPr>
              <w:ind w:left="0"/>
              <w:rPr>
                <w:b/>
                <w:i/>
                <w:sz w:val="20"/>
                <w:szCs w:val="20"/>
              </w:rPr>
            </w:pPr>
            <w:r>
              <w:rPr>
                <w:b/>
                <w:i/>
                <w:sz w:val="20"/>
                <w:szCs w:val="20"/>
              </w:rPr>
              <w:t>Pre ESF: Celá prioritná os je zameraná na sociálnu inováciu alebo nadnárodnú spoluprácu, alebo oboje</w:t>
            </w:r>
          </w:p>
        </w:tc>
        <w:tc>
          <w:tcPr>
            <w:tcW w:w="3542" w:type="dxa"/>
            <w:vAlign w:val="center"/>
          </w:tcPr>
          <w:p w:rsidR="00997578" w:rsidRPr="00765DFA" w:rsidRDefault="00997578" w:rsidP="005139F6">
            <w:pPr>
              <w:ind w:left="0"/>
              <w:rPr>
                <w:sz w:val="20"/>
                <w:szCs w:val="20"/>
              </w:rPr>
            </w:pPr>
            <w:r>
              <w:rPr>
                <w:sz w:val="20"/>
                <w:szCs w:val="20"/>
              </w:rPr>
              <w:t>N/A</w:t>
            </w:r>
          </w:p>
        </w:tc>
      </w:tr>
    </w:tbl>
    <w:p w:rsidR="00266DA8" w:rsidRDefault="00266DA8" w:rsidP="00266DA8">
      <w:pPr>
        <w:pStyle w:val="Nadpis3"/>
      </w:pPr>
      <w:bookmarkStart w:id="35" w:name="_Toc385310694"/>
      <w:r>
        <w:t>Fond, kategória regiónu a základ pre výpočet podpory Únie</w:t>
      </w:r>
      <w:bookmarkEnd w:id="35"/>
    </w:p>
    <w:tbl>
      <w:tblPr>
        <w:tblStyle w:val="Mriekatabuky"/>
        <w:tblW w:w="793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334"/>
        <w:gridCol w:w="3604"/>
      </w:tblGrid>
      <w:tr w:rsidR="00266DA8" w:rsidTr="0095191D">
        <w:trPr>
          <w:trHeight w:val="255"/>
          <w:jc w:val="center"/>
        </w:trPr>
        <w:tc>
          <w:tcPr>
            <w:tcW w:w="4042" w:type="dxa"/>
            <w:shd w:val="clear" w:color="auto" w:fill="DBE5F1" w:themeFill="accent1" w:themeFillTint="33"/>
            <w:vAlign w:val="center"/>
          </w:tcPr>
          <w:p w:rsidR="00266DA8" w:rsidRPr="007A461E" w:rsidRDefault="00266DA8" w:rsidP="007A461E">
            <w:pPr>
              <w:ind w:left="0"/>
              <w:rPr>
                <w:b/>
                <w:i/>
                <w:sz w:val="20"/>
                <w:szCs w:val="20"/>
              </w:rPr>
            </w:pPr>
            <w:r w:rsidRPr="007A461E">
              <w:rPr>
                <w:b/>
                <w:i/>
                <w:sz w:val="20"/>
                <w:szCs w:val="20"/>
              </w:rPr>
              <w:t>Fond</w:t>
            </w:r>
          </w:p>
        </w:tc>
        <w:tc>
          <w:tcPr>
            <w:tcW w:w="3361" w:type="dxa"/>
            <w:vAlign w:val="center"/>
          </w:tcPr>
          <w:p w:rsidR="00266DA8" w:rsidRPr="007A461E" w:rsidRDefault="00266DA8" w:rsidP="007A461E">
            <w:pPr>
              <w:ind w:left="0"/>
              <w:rPr>
                <w:sz w:val="20"/>
                <w:szCs w:val="20"/>
              </w:rPr>
            </w:pPr>
            <w:r w:rsidRPr="007A461E">
              <w:rPr>
                <w:sz w:val="20"/>
                <w:szCs w:val="20"/>
              </w:rPr>
              <w:t>Kohézny fond</w:t>
            </w:r>
          </w:p>
        </w:tc>
      </w:tr>
      <w:tr w:rsidR="00266DA8" w:rsidTr="0095191D">
        <w:trPr>
          <w:trHeight w:val="255"/>
          <w:jc w:val="center"/>
        </w:trPr>
        <w:tc>
          <w:tcPr>
            <w:tcW w:w="4042" w:type="dxa"/>
            <w:shd w:val="clear" w:color="auto" w:fill="DBE5F1" w:themeFill="accent1" w:themeFillTint="33"/>
            <w:vAlign w:val="center"/>
          </w:tcPr>
          <w:p w:rsidR="00266DA8" w:rsidRPr="007A461E" w:rsidRDefault="00266DA8" w:rsidP="007A461E">
            <w:pPr>
              <w:ind w:left="0"/>
              <w:rPr>
                <w:b/>
                <w:i/>
                <w:sz w:val="20"/>
                <w:szCs w:val="20"/>
              </w:rPr>
            </w:pPr>
            <w:r w:rsidRPr="007A461E">
              <w:rPr>
                <w:b/>
                <w:i/>
                <w:sz w:val="20"/>
                <w:szCs w:val="20"/>
              </w:rPr>
              <w:t>Kategória regiónu</w:t>
            </w:r>
          </w:p>
        </w:tc>
        <w:tc>
          <w:tcPr>
            <w:tcW w:w="3361" w:type="dxa"/>
            <w:vAlign w:val="center"/>
          </w:tcPr>
          <w:p w:rsidR="00266DA8" w:rsidRPr="007A461E" w:rsidRDefault="00266DA8" w:rsidP="007A461E">
            <w:pPr>
              <w:ind w:left="0"/>
              <w:rPr>
                <w:sz w:val="20"/>
                <w:szCs w:val="20"/>
              </w:rPr>
            </w:pPr>
            <w:r w:rsidRPr="007A461E">
              <w:rPr>
                <w:sz w:val="20"/>
                <w:szCs w:val="20"/>
              </w:rPr>
              <w:t>N/A</w:t>
            </w:r>
          </w:p>
        </w:tc>
      </w:tr>
      <w:tr w:rsidR="00266DA8" w:rsidTr="0095191D">
        <w:trPr>
          <w:trHeight w:val="255"/>
          <w:jc w:val="center"/>
        </w:trPr>
        <w:tc>
          <w:tcPr>
            <w:tcW w:w="4042" w:type="dxa"/>
            <w:shd w:val="clear" w:color="auto" w:fill="DBE5F1" w:themeFill="accent1" w:themeFillTint="33"/>
            <w:vAlign w:val="center"/>
          </w:tcPr>
          <w:p w:rsidR="00266DA8" w:rsidRPr="007A461E" w:rsidRDefault="00266DA8" w:rsidP="007A461E">
            <w:pPr>
              <w:ind w:left="0"/>
              <w:rPr>
                <w:b/>
                <w:i/>
                <w:sz w:val="20"/>
                <w:szCs w:val="20"/>
              </w:rPr>
            </w:pPr>
            <w:r w:rsidRPr="007A461E">
              <w:rPr>
                <w:b/>
                <w:i/>
                <w:sz w:val="20"/>
                <w:szCs w:val="20"/>
              </w:rPr>
              <w:t>Základ pre výpočet (celkový príspevok)</w:t>
            </w:r>
          </w:p>
        </w:tc>
        <w:tc>
          <w:tcPr>
            <w:tcW w:w="3361" w:type="dxa"/>
            <w:vAlign w:val="center"/>
          </w:tcPr>
          <w:p w:rsidR="00266DA8" w:rsidRPr="007A461E" w:rsidRDefault="00373F09" w:rsidP="007A461E">
            <w:pPr>
              <w:ind w:left="0"/>
              <w:rPr>
                <w:sz w:val="20"/>
                <w:szCs w:val="20"/>
                <w:lang w:val="en-US"/>
              </w:rPr>
            </w:pPr>
            <w:r>
              <w:rPr>
                <w:sz w:val="20"/>
                <w:szCs w:val="20"/>
                <w:lang w:val="en-US"/>
              </w:rPr>
              <w:t>379 235</w:t>
            </w:r>
            <w:r w:rsidR="00662EB4">
              <w:rPr>
                <w:sz w:val="20"/>
                <w:szCs w:val="20"/>
                <w:lang w:val="en-US"/>
              </w:rPr>
              <w:t> </w:t>
            </w:r>
            <w:r>
              <w:rPr>
                <w:sz w:val="20"/>
                <w:szCs w:val="20"/>
                <w:lang w:val="en-US"/>
              </w:rPr>
              <w:t>295</w:t>
            </w:r>
            <w:r w:rsidR="00662EB4">
              <w:rPr>
                <w:sz w:val="20"/>
                <w:szCs w:val="20"/>
                <w:lang w:val="en-US"/>
              </w:rPr>
              <w:t xml:space="preserve"> EUR</w:t>
            </w:r>
          </w:p>
        </w:tc>
      </w:tr>
      <w:tr w:rsidR="00266DA8" w:rsidTr="0095191D">
        <w:trPr>
          <w:trHeight w:val="255"/>
          <w:jc w:val="center"/>
        </w:trPr>
        <w:tc>
          <w:tcPr>
            <w:tcW w:w="4042" w:type="dxa"/>
            <w:shd w:val="clear" w:color="auto" w:fill="DBE5F1" w:themeFill="accent1" w:themeFillTint="33"/>
          </w:tcPr>
          <w:p w:rsidR="00266DA8" w:rsidRPr="007A461E" w:rsidRDefault="00266DA8" w:rsidP="00017B79">
            <w:pPr>
              <w:ind w:left="0"/>
              <w:rPr>
                <w:b/>
                <w:i/>
                <w:sz w:val="20"/>
                <w:szCs w:val="20"/>
              </w:rPr>
            </w:pPr>
            <w:r w:rsidRPr="007A461E">
              <w:rPr>
                <w:b/>
                <w:i/>
                <w:sz w:val="20"/>
                <w:szCs w:val="20"/>
              </w:rPr>
              <w:t>Kategória regiónu pre najvzdialenejšie a severné riedko osídlené regióny (ak je to vhodné)</w:t>
            </w:r>
          </w:p>
        </w:tc>
        <w:tc>
          <w:tcPr>
            <w:tcW w:w="3361" w:type="dxa"/>
          </w:tcPr>
          <w:p w:rsidR="00266DA8" w:rsidRPr="007A461E" w:rsidRDefault="00266DA8" w:rsidP="00017B79">
            <w:pPr>
              <w:ind w:left="0"/>
              <w:rPr>
                <w:sz w:val="20"/>
                <w:szCs w:val="20"/>
              </w:rPr>
            </w:pPr>
            <w:r w:rsidRPr="007A461E">
              <w:rPr>
                <w:sz w:val="20"/>
                <w:szCs w:val="20"/>
              </w:rPr>
              <w:t>N/A</w:t>
            </w:r>
          </w:p>
        </w:tc>
      </w:tr>
    </w:tbl>
    <w:p w:rsidR="00266DA8" w:rsidRDefault="00266DA8" w:rsidP="00266DA8">
      <w:pPr>
        <w:pStyle w:val="Nadpis3"/>
        <w:jc w:val="both"/>
      </w:pPr>
      <w:bookmarkStart w:id="36" w:name="_Toc385310695"/>
      <w:r>
        <w:t>INVEST</w:t>
      </w:r>
      <w:r w:rsidR="00E9201F">
        <w:t xml:space="preserve">IČNÁ PRIORITA </w:t>
      </w:r>
      <w:r w:rsidR="00997578">
        <w:t>7c)</w:t>
      </w:r>
      <w:r>
        <w:t xml:space="preserve">: </w:t>
      </w:r>
      <w:r w:rsidR="00373F09" w:rsidRPr="00373F09">
        <w:t>Vývoj a zlepšovanie ekologicky priaznivých, vrátane nízkohlukových, a nízkouhlíkových dopravných systémov vrátane vnútrozemských vodných ciest a námornej dopravy, prístavov, multimodálnych prepojen</w:t>
      </w:r>
      <w:r w:rsidR="00373F09">
        <w:t>í a letiskovej infraštruktúry v </w:t>
      </w:r>
      <w:r w:rsidR="00373F09" w:rsidRPr="00373F09">
        <w:t>záujme podpory udržateľnej regionálnej a miestnej mobility</w:t>
      </w:r>
      <w:bookmarkEnd w:id="36"/>
    </w:p>
    <w:p w:rsidR="00266DA8" w:rsidRDefault="00266DA8" w:rsidP="00740654">
      <w:pPr>
        <w:pStyle w:val="Nadpis4"/>
      </w:pPr>
      <w:r>
        <w:t>Špecifické ciele investičnej priority a očakávané výsledky</w:t>
      </w:r>
    </w:p>
    <w:p w:rsidR="00266DA8" w:rsidRPr="006B762B" w:rsidRDefault="00266DA8" w:rsidP="002E1021">
      <w:pPr>
        <w:shd w:val="clear" w:color="auto" w:fill="FFFFCC"/>
        <w:jc w:val="both"/>
        <w:rPr>
          <w:b/>
          <w:i/>
        </w:rPr>
      </w:pPr>
      <w:r w:rsidRPr="004F0234">
        <w:rPr>
          <w:i/>
        </w:rPr>
        <w:t xml:space="preserve">ŠPECIFICKÝ CIEĽ </w:t>
      </w:r>
      <w:r w:rsidR="00E87153">
        <w:rPr>
          <w:i/>
        </w:rPr>
        <w:t>3.</w:t>
      </w:r>
      <w:r>
        <w:rPr>
          <w:i/>
        </w:rPr>
        <w:t>1</w:t>
      </w:r>
      <w:r w:rsidRPr="004F0234">
        <w:rPr>
          <w:i/>
        </w:rPr>
        <w:t>:</w:t>
      </w:r>
      <w:r>
        <w:rPr>
          <w:i/>
        </w:rPr>
        <w:t xml:space="preserve"> </w:t>
      </w:r>
      <w:r w:rsidR="00225C2F" w:rsidRPr="00225C2F">
        <w:rPr>
          <w:b/>
          <w:i/>
        </w:rPr>
        <w:t>Zvýšenie atraktivity verejnej osobnej dopravy prostredníctvom zlepšenia kvality infraštruktúr</w:t>
      </w:r>
      <w:r w:rsidR="00225C2F">
        <w:rPr>
          <w:b/>
          <w:i/>
        </w:rPr>
        <w:t>y pre</w:t>
      </w:r>
      <w:r w:rsidR="005B631E" w:rsidRPr="005B631E">
        <w:rPr>
          <w:b/>
          <w:i/>
        </w:rPr>
        <w:t xml:space="preserve"> IDS a</w:t>
      </w:r>
      <w:r w:rsidR="00225C2F">
        <w:rPr>
          <w:b/>
          <w:i/>
        </w:rPr>
        <w:t> mestskú dráhovú dopravu</w:t>
      </w:r>
    </w:p>
    <w:p w:rsidR="00675F10" w:rsidRDefault="003B2472" w:rsidP="00675F10">
      <w:pPr>
        <w:spacing w:before="180"/>
        <w:jc w:val="both"/>
        <w:rPr>
          <w:sz w:val="22"/>
          <w:szCs w:val="22"/>
        </w:rPr>
      </w:pPr>
      <w:r w:rsidRPr="003B2472">
        <w:rPr>
          <w:sz w:val="22"/>
          <w:szCs w:val="22"/>
        </w:rPr>
        <w:t>Vízia pre infraštruktúru verejnej osobnej dopravy</w:t>
      </w:r>
      <w:r>
        <w:rPr>
          <w:sz w:val="22"/>
          <w:szCs w:val="22"/>
        </w:rPr>
        <w:t xml:space="preserve"> bola stanovená na úrovni Stratégie</w:t>
      </w:r>
      <w:r w:rsidR="00675F10">
        <w:rPr>
          <w:sz w:val="22"/>
          <w:szCs w:val="22"/>
        </w:rPr>
        <w:t xml:space="preserve"> rozvoja verejnej osobnej a nemotorovej dopravy</w:t>
      </w:r>
      <w:r w:rsidR="007464B3">
        <w:rPr>
          <w:sz w:val="22"/>
          <w:szCs w:val="22"/>
        </w:rPr>
        <w:t xml:space="preserve"> SR</w:t>
      </w:r>
      <w:r>
        <w:rPr>
          <w:sz w:val="22"/>
          <w:szCs w:val="22"/>
        </w:rPr>
        <w:t xml:space="preserve"> do roku 2020, ktorá predstavuje základný strategický dokument pre túto oblasť. Vízia je definovaná ako „</w:t>
      </w:r>
      <w:r>
        <w:rPr>
          <w:i/>
          <w:sz w:val="22"/>
          <w:szCs w:val="22"/>
        </w:rPr>
        <w:t>i</w:t>
      </w:r>
      <w:r w:rsidR="00675F10" w:rsidRPr="00675F10">
        <w:rPr>
          <w:i/>
          <w:sz w:val="22"/>
          <w:szCs w:val="22"/>
        </w:rPr>
        <w:t>nfraštruktúra umožňujúca prevádzku kvalitnej integrovanej verejnej osobnej dopravy a nemotorovej dopravy</w:t>
      </w:r>
      <w:r w:rsidR="00675F10">
        <w:rPr>
          <w:sz w:val="22"/>
          <w:szCs w:val="22"/>
        </w:rPr>
        <w:t xml:space="preserve">“. </w:t>
      </w:r>
      <w:r>
        <w:rPr>
          <w:sz w:val="22"/>
          <w:szCs w:val="22"/>
        </w:rPr>
        <w:t>Aktivity, ktoré navrhuje RO OPII významným spôsobom prispejú k naplneniu tejto vízie.</w:t>
      </w:r>
    </w:p>
    <w:p w:rsidR="00507A88" w:rsidRDefault="00AB58F5" w:rsidP="005B631E">
      <w:pPr>
        <w:autoSpaceDE w:val="0"/>
        <w:autoSpaceDN w:val="0"/>
        <w:adjustRightInd w:val="0"/>
        <w:spacing w:before="180"/>
        <w:jc w:val="both"/>
        <w:rPr>
          <w:sz w:val="22"/>
          <w:szCs w:val="22"/>
        </w:rPr>
      </w:pPr>
      <w:r>
        <w:rPr>
          <w:b/>
          <w:sz w:val="22"/>
          <w:szCs w:val="22"/>
        </w:rPr>
        <w:t>Zaradením tohto š</w:t>
      </w:r>
      <w:r w:rsidR="0019490B">
        <w:rPr>
          <w:b/>
          <w:sz w:val="22"/>
          <w:szCs w:val="22"/>
        </w:rPr>
        <w:t>pecifického</w:t>
      </w:r>
      <w:r w:rsidR="005B631E" w:rsidRPr="00742C4B">
        <w:rPr>
          <w:b/>
          <w:sz w:val="22"/>
          <w:szCs w:val="22"/>
        </w:rPr>
        <w:t xml:space="preserve"> cieľ</w:t>
      </w:r>
      <w:r w:rsidR="0019490B">
        <w:rPr>
          <w:b/>
          <w:sz w:val="22"/>
          <w:szCs w:val="22"/>
        </w:rPr>
        <w:t>a do programu</w:t>
      </w:r>
      <w:r w:rsidR="005B631E" w:rsidRPr="00742C4B">
        <w:rPr>
          <w:b/>
          <w:sz w:val="22"/>
          <w:szCs w:val="22"/>
        </w:rPr>
        <w:t xml:space="preserve"> reaguje</w:t>
      </w:r>
      <w:r w:rsidR="0019490B">
        <w:rPr>
          <w:b/>
          <w:sz w:val="22"/>
          <w:szCs w:val="22"/>
        </w:rPr>
        <w:t xml:space="preserve"> MDVRR SR na skutočnosť, že na </w:t>
      </w:r>
      <w:r w:rsidR="005B631E" w:rsidRPr="00742C4B">
        <w:rPr>
          <w:b/>
          <w:sz w:val="22"/>
          <w:szCs w:val="22"/>
        </w:rPr>
        <w:t>rozšírenie integrovaných dopravných systémov chýba nielen realizácia zmien v organizovaní a prevádzke verejnej o</w:t>
      </w:r>
      <w:r w:rsidR="0019490B">
        <w:rPr>
          <w:b/>
          <w:sz w:val="22"/>
          <w:szCs w:val="22"/>
        </w:rPr>
        <w:t>sobnej dopravy, ale aj adekvátny stav dopravnej infraštruktúry</w:t>
      </w:r>
      <w:r w:rsidR="005B631E" w:rsidRPr="00771652">
        <w:rPr>
          <w:sz w:val="22"/>
          <w:szCs w:val="22"/>
        </w:rPr>
        <w:t>. Aktivity v oblasti mestskej dráhovej doprav</w:t>
      </w:r>
      <w:r w:rsidR="005B631E" w:rsidRPr="00E47460">
        <w:rPr>
          <w:sz w:val="22"/>
          <w:szCs w:val="22"/>
        </w:rPr>
        <w:t>y</w:t>
      </w:r>
      <w:r w:rsidR="005B631E" w:rsidRPr="00771652">
        <w:rPr>
          <w:sz w:val="22"/>
          <w:szCs w:val="22"/>
        </w:rPr>
        <w:t xml:space="preserve"> </w:t>
      </w:r>
      <w:r w:rsidR="00507A88">
        <w:rPr>
          <w:sz w:val="22"/>
          <w:szCs w:val="22"/>
        </w:rPr>
        <w:t>vychádzajú</w:t>
      </w:r>
      <w:r w:rsidR="005B631E" w:rsidRPr="00771652">
        <w:rPr>
          <w:sz w:val="22"/>
          <w:szCs w:val="22"/>
        </w:rPr>
        <w:t xml:space="preserve"> z nedostatkov identifikovaných v Stratégii </w:t>
      </w:r>
      <w:r w:rsidR="0079404A">
        <w:rPr>
          <w:sz w:val="22"/>
          <w:szCs w:val="22"/>
        </w:rPr>
        <w:t>VOD</w:t>
      </w:r>
      <w:r w:rsidR="005B631E" w:rsidRPr="00771652">
        <w:rPr>
          <w:sz w:val="22"/>
          <w:szCs w:val="22"/>
        </w:rPr>
        <w:t xml:space="preserve">. </w:t>
      </w:r>
      <w:r w:rsidR="00B64495">
        <w:rPr>
          <w:sz w:val="22"/>
          <w:szCs w:val="22"/>
        </w:rPr>
        <w:t xml:space="preserve">Dráhovou dopravou sa </w:t>
      </w:r>
      <w:r w:rsidR="008F3D6B">
        <w:rPr>
          <w:sz w:val="22"/>
          <w:szCs w:val="22"/>
        </w:rPr>
        <w:t xml:space="preserve">pritom </w:t>
      </w:r>
      <w:r w:rsidR="00B64495">
        <w:rPr>
          <w:sz w:val="22"/>
          <w:szCs w:val="22"/>
        </w:rPr>
        <w:t xml:space="preserve">rozumie električková a trolejbusová </w:t>
      </w:r>
      <w:r w:rsidR="008F3D6B">
        <w:rPr>
          <w:sz w:val="22"/>
          <w:szCs w:val="22"/>
        </w:rPr>
        <w:t>doprava.</w:t>
      </w:r>
    </w:p>
    <w:p w:rsidR="00717D0E" w:rsidRDefault="005B631E" w:rsidP="005B631E">
      <w:pPr>
        <w:autoSpaceDE w:val="0"/>
        <w:autoSpaceDN w:val="0"/>
        <w:adjustRightInd w:val="0"/>
        <w:spacing w:before="180"/>
        <w:jc w:val="both"/>
        <w:rPr>
          <w:sz w:val="22"/>
          <w:szCs w:val="22"/>
        </w:rPr>
      </w:pPr>
      <w:r w:rsidRPr="00771652">
        <w:rPr>
          <w:sz w:val="22"/>
          <w:szCs w:val="22"/>
        </w:rPr>
        <w:t>Značná časť existujúcich električkových tratí v Bratislave a Košiciac</w:t>
      </w:r>
      <w:r w:rsidR="00507A88">
        <w:rPr>
          <w:sz w:val="22"/>
          <w:szCs w:val="22"/>
        </w:rPr>
        <w:t>h je v zlom technickom stave, s </w:t>
      </w:r>
      <w:r w:rsidRPr="00771652">
        <w:rPr>
          <w:sz w:val="22"/>
          <w:szCs w:val="22"/>
        </w:rPr>
        <w:t>obmedzeniami traťovej rýchlosti, vysokou hlučnosťou a bariérami. Na električkových tratiach chýba k</w:t>
      </w:r>
      <w:r>
        <w:rPr>
          <w:sz w:val="22"/>
          <w:szCs w:val="22"/>
        </w:rPr>
        <w:t>omplexné riešenie preferencie a </w:t>
      </w:r>
      <w:r w:rsidRPr="00771652">
        <w:rPr>
          <w:sz w:val="22"/>
          <w:szCs w:val="22"/>
        </w:rPr>
        <w:t xml:space="preserve">automatického stavania vlakovej cesty. </w:t>
      </w:r>
      <w:r w:rsidR="00717D0E" w:rsidRPr="00771652">
        <w:rPr>
          <w:sz w:val="22"/>
          <w:szCs w:val="22"/>
        </w:rPr>
        <w:t xml:space="preserve">Niektoré úseky neumožňujú bezpečnú prevádzku moderných vozidiel. </w:t>
      </w:r>
      <w:r w:rsidR="008F3D6B">
        <w:rPr>
          <w:sz w:val="22"/>
          <w:szCs w:val="22"/>
        </w:rPr>
        <w:t xml:space="preserve">Zároveň nie je možné zabezpečiť </w:t>
      </w:r>
      <w:r w:rsidR="008F3D6B" w:rsidRPr="00771652">
        <w:rPr>
          <w:sz w:val="22"/>
          <w:szCs w:val="22"/>
        </w:rPr>
        <w:t>adekvátnu údržbu</w:t>
      </w:r>
      <w:r w:rsidR="008F3D6B" w:rsidRPr="008F3D6B">
        <w:rPr>
          <w:sz w:val="22"/>
          <w:szCs w:val="22"/>
        </w:rPr>
        <w:t xml:space="preserve"> </w:t>
      </w:r>
      <w:r w:rsidR="008F3D6B">
        <w:rPr>
          <w:sz w:val="22"/>
          <w:szCs w:val="22"/>
        </w:rPr>
        <w:t>nízkopodlažných vozidiel, keďže s</w:t>
      </w:r>
      <w:r w:rsidR="00717D0E" w:rsidRPr="00771652">
        <w:rPr>
          <w:sz w:val="22"/>
          <w:szCs w:val="22"/>
        </w:rPr>
        <w:t>účas</w:t>
      </w:r>
      <w:r w:rsidR="008F3D6B">
        <w:rPr>
          <w:sz w:val="22"/>
          <w:szCs w:val="22"/>
        </w:rPr>
        <w:t xml:space="preserve">né technické </w:t>
      </w:r>
      <w:r w:rsidR="00A95966">
        <w:rPr>
          <w:sz w:val="22"/>
          <w:szCs w:val="22"/>
        </w:rPr>
        <w:t>vybavenie nie je vo väčšine prípadov</w:t>
      </w:r>
      <w:r w:rsidR="008F3D6B">
        <w:rPr>
          <w:sz w:val="22"/>
          <w:szCs w:val="22"/>
        </w:rPr>
        <w:t xml:space="preserve"> na takéto výkony prispôsobené.</w:t>
      </w:r>
    </w:p>
    <w:p w:rsidR="005B631E" w:rsidRPr="00771652" w:rsidRDefault="005B631E" w:rsidP="005B631E">
      <w:pPr>
        <w:autoSpaceDE w:val="0"/>
        <w:autoSpaceDN w:val="0"/>
        <w:adjustRightInd w:val="0"/>
        <w:spacing w:before="180"/>
        <w:jc w:val="both"/>
        <w:rPr>
          <w:sz w:val="22"/>
          <w:szCs w:val="22"/>
        </w:rPr>
      </w:pPr>
      <w:r w:rsidRPr="00771652">
        <w:rPr>
          <w:sz w:val="22"/>
          <w:szCs w:val="22"/>
        </w:rPr>
        <w:t>Popri súčasných nedostatkoch existuje potenciál na náhradu husto premávajúcich autobusových liniek kapacitnou elek</w:t>
      </w:r>
      <w:r w:rsidR="00717D0E">
        <w:rPr>
          <w:sz w:val="22"/>
          <w:szCs w:val="22"/>
        </w:rPr>
        <w:t>tričkovou dopravou a taktiež na </w:t>
      </w:r>
      <w:r w:rsidRPr="00771652">
        <w:rPr>
          <w:sz w:val="22"/>
          <w:szCs w:val="22"/>
        </w:rPr>
        <w:t>rozšírenie trolejbusovej siete o predĺženia</w:t>
      </w:r>
      <w:r w:rsidR="00616002">
        <w:rPr>
          <w:sz w:val="22"/>
          <w:szCs w:val="22"/>
        </w:rPr>
        <w:t xml:space="preserve"> a </w:t>
      </w:r>
      <w:r w:rsidRPr="00771652">
        <w:rPr>
          <w:sz w:val="22"/>
          <w:szCs w:val="22"/>
        </w:rPr>
        <w:t xml:space="preserve">prepojenia traťových úsekov alebo o obratiská, čo by umožnilo efektívnejšiu dopravnú obsluhu a náhradu autobusovej dopravy trolejbusmi. </w:t>
      </w:r>
    </w:p>
    <w:p w:rsidR="005B631E" w:rsidRDefault="005B631E" w:rsidP="005B631E">
      <w:pPr>
        <w:autoSpaceDE w:val="0"/>
        <w:autoSpaceDN w:val="0"/>
        <w:adjustRightInd w:val="0"/>
        <w:spacing w:before="180"/>
        <w:jc w:val="both"/>
        <w:rPr>
          <w:sz w:val="22"/>
          <w:szCs w:val="22"/>
        </w:rPr>
      </w:pPr>
      <w:r w:rsidRPr="00771652">
        <w:rPr>
          <w:sz w:val="22"/>
          <w:szCs w:val="22"/>
        </w:rPr>
        <w:lastRenderedPageBreak/>
        <w:t>Navrhované intervencie do infraštruktúry sú zamerané na zlepšenie existujúceho stavu modernizáciou a výstavbou nových tratí</w:t>
      </w:r>
      <w:r w:rsidR="00616002">
        <w:rPr>
          <w:sz w:val="22"/>
          <w:szCs w:val="22"/>
        </w:rPr>
        <w:t>,</w:t>
      </w:r>
      <w:r w:rsidRPr="00771652">
        <w:rPr>
          <w:sz w:val="22"/>
          <w:szCs w:val="22"/>
        </w:rPr>
        <w:t xml:space="preserve"> a</w:t>
      </w:r>
      <w:r w:rsidR="00616002">
        <w:rPr>
          <w:sz w:val="22"/>
          <w:szCs w:val="22"/>
        </w:rPr>
        <w:t>ko aj</w:t>
      </w:r>
      <w:r w:rsidRPr="00771652">
        <w:rPr>
          <w:sz w:val="22"/>
          <w:szCs w:val="22"/>
        </w:rPr>
        <w:t xml:space="preserve"> zlepšení</w:t>
      </w:r>
      <w:r w:rsidR="008A66A2">
        <w:rPr>
          <w:sz w:val="22"/>
          <w:szCs w:val="22"/>
        </w:rPr>
        <w:t>m podmienok na údržbu vozidiel.</w:t>
      </w:r>
    </w:p>
    <w:p w:rsidR="006272CE" w:rsidRDefault="006272CE" w:rsidP="006272CE">
      <w:pPr>
        <w:spacing w:before="180"/>
        <w:jc w:val="both"/>
        <w:rPr>
          <w:b/>
          <w:sz w:val="22"/>
          <w:szCs w:val="22"/>
        </w:rPr>
      </w:pPr>
      <w:r w:rsidRPr="00A676D0">
        <w:rPr>
          <w:b/>
          <w:sz w:val="22"/>
          <w:szCs w:val="22"/>
        </w:rPr>
        <w:t xml:space="preserve">Podpora potenciálnych projektov bude podmienená existenciou komplexného strategického plánu </w:t>
      </w:r>
      <w:r>
        <w:rPr>
          <w:b/>
          <w:sz w:val="22"/>
          <w:szCs w:val="22"/>
        </w:rPr>
        <w:t xml:space="preserve">udržateľného </w:t>
      </w:r>
      <w:r w:rsidRPr="00A676D0">
        <w:rPr>
          <w:b/>
          <w:sz w:val="22"/>
          <w:szCs w:val="22"/>
        </w:rPr>
        <w:t xml:space="preserve">rozvoja </w:t>
      </w:r>
      <w:r>
        <w:rPr>
          <w:b/>
          <w:sz w:val="22"/>
          <w:szCs w:val="22"/>
        </w:rPr>
        <w:t xml:space="preserve">dopravy </w:t>
      </w:r>
      <w:r w:rsidRPr="00A676D0">
        <w:rPr>
          <w:b/>
          <w:sz w:val="22"/>
          <w:szCs w:val="22"/>
        </w:rPr>
        <w:t>v</w:t>
      </w:r>
      <w:r>
        <w:rPr>
          <w:b/>
          <w:sz w:val="22"/>
          <w:szCs w:val="22"/>
        </w:rPr>
        <w:t> </w:t>
      </w:r>
      <w:r w:rsidRPr="00A676D0">
        <w:rPr>
          <w:b/>
          <w:sz w:val="22"/>
          <w:szCs w:val="22"/>
        </w:rPr>
        <w:t xml:space="preserve">jednotlivých </w:t>
      </w:r>
      <w:r w:rsidRPr="00DA54CE">
        <w:rPr>
          <w:b/>
          <w:sz w:val="22"/>
          <w:szCs w:val="22"/>
        </w:rPr>
        <w:t>mestách</w:t>
      </w:r>
      <w:r>
        <w:rPr>
          <w:b/>
          <w:sz w:val="22"/>
          <w:szCs w:val="22"/>
        </w:rPr>
        <w:t>,</w:t>
      </w:r>
      <w:r w:rsidRPr="00DA54CE">
        <w:rPr>
          <w:b/>
          <w:sz w:val="22"/>
          <w:szCs w:val="22"/>
        </w:rPr>
        <w:t xml:space="preserve"> </w:t>
      </w:r>
      <w:r>
        <w:rPr>
          <w:b/>
          <w:sz w:val="22"/>
          <w:szCs w:val="22"/>
        </w:rPr>
        <w:t>resp.</w:t>
      </w:r>
      <w:r w:rsidRPr="00DA54CE">
        <w:rPr>
          <w:b/>
          <w:sz w:val="22"/>
          <w:szCs w:val="22"/>
        </w:rPr>
        <w:t xml:space="preserve"> </w:t>
      </w:r>
      <w:r>
        <w:rPr>
          <w:b/>
          <w:sz w:val="22"/>
          <w:szCs w:val="22"/>
        </w:rPr>
        <w:t>regiónoch (generel dopravy, plán udržateľnej mestskej mobility), čím sa </w:t>
      </w:r>
      <w:r w:rsidRPr="00A676D0">
        <w:rPr>
          <w:b/>
          <w:sz w:val="22"/>
          <w:szCs w:val="22"/>
        </w:rPr>
        <w:t>sleduje vhodnosť dopravného riešenia, ekonomická opodstatnenosť a</w:t>
      </w:r>
      <w:r>
        <w:rPr>
          <w:b/>
          <w:sz w:val="22"/>
          <w:szCs w:val="22"/>
        </w:rPr>
        <w:t> </w:t>
      </w:r>
      <w:r w:rsidRPr="00A676D0">
        <w:rPr>
          <w:b/>
          <w:sz w:val="22"/>
          <w:szCs w:val="22"/>
        </w:rPr>
        <w:t>trvalá udržateľnosť jednotlivých projektov, ako i</w:t>
      </w:r>
      <w:r>
        <w:rPr>
          <w:b/>
          <w:sz w:val="22"/>
          <w:szCs w:val="22"/>
        </w:rPr>
        <w:t xml:space="preserve"> MHD </w:t>
      </w:r>
      <w:r w:rsidRPr="00A676D0">
        <w:rPr>
          <w:b/>
          <w:sz w:val="22"/>
          <w:szCs w:val="22"/>
        </w:rPr>
        <w:t>ako celku.</w:t>
      </w:r>
    </w:p>
    <w:p w:rsidR="00266DA8" w:rsidRPr="001B2070" w:rsidRDefault="00266DA8" w:rsidP="001B2070">
      <w:pPr>
        <w:spacing w:before="180" w:after="120"/>
        <w:rPr>
          <w:rFonts w:ascii="Arial Narrow" w:hAnsi="Arial Narrow"/>
          <w:b/>
          <w:i/>
          <w:color w:val="548DD4" w:themeColor="text2" w:themeTint="99"/>
          <w:sz w:val="22"/>
          <w:szCs w:val="22"/>
        </w:rPr>
      </w:pPr>
      <w:r w:rsidRPr="001B2070">
        <w:rPr>
          <w:rFonts w:ascii="Arial Narrow" w:hAnsi="Arial Narrow"/>
          <w:b/>
          <w:i/>
          <w:color w:val="548DD4" w:themeColor="text2" w:themeTint="99"/>
          <w:sz w:val="22"/>
          <w:szCs w:val="22"/>
        </w:rPr>
        <w:t>VÝSLEDKY</w:t>
      </w:r>
    </w:p>
    <w:p w:rsidR="000D7807" w:rsidRDefault="000D7807" w:rsidP="00FE6025">
      <w:pPr>
        <w:pStyle w:val="Odsekzoznamu"/>
        <w:numPr>
          <w:ilvl w:val="0"/>
          <w:numId w:val="46"/>
        </w:numPr>
        <w:autoSpaceDE w:val="0"/>
        <w:autoSpaceDN w:val="0"/>
        <w:adjustRightInd w:val="0"/>
        <w:ind w:left="851" w:hanging="425"/>
        <w:jc w:val="both"/>
        <w:rPr>
          <w:color w:val="000000" w:themeColor="text1"/>
          <w:sz w:val="22"/>
          <w:szCs w:val="22"/>
        </w:rPr>
      </w:pPr>
      <w:r>
        <w:rPr>
          <w:color w:val="000000" w:themeColor="text1"/>
          <w:sz w:val="22"/>
          <w:szCs w:val="22"/>
        </w:rPr>
        <w:t>zvýšenie atraktívnosti verejnej osobnej dopravy,</w:t>
      </w:r>
    </w:p>
    <w:p w:rsidR="008A66A2" w:rsidRPr="008A66A2" w:rsidRDefault="008A66A2" w:rsidP="00FE6025">
      <w:pPr>
        <w:pStyle w:val="Odsekzoznamu"/>
        <w:numPr>
          <w:ilvl w:val="0"/>
          <w:numId w:val="46"/>
        </w:numPr>
        <w:autoSpaceDE w:val="0"/>
        <w:autoSpaceDN w:val="0"/>
        <w:adjustRightInd w:val="0"/>
        <w:ind w:left="851" w:hanging="425"/>
        <w:jc w:val="both"/>
        <w:rPr>
          <w:color w:val="000000" w:themeColor="text1"/>
          <w:sz w:val="22"/>
          <w:szCs w:val="22"/>
        </w:rPr>
      </w:pPr>
      <w:r>
        <w:rPr>
          <w:color w:val="000000" w:themeColor="text1"/>
          <w:sz w:val="22"/>
          <w:szCs w:val="22"/>
        </w:rPr>
        <w:t>zlepšenie kvality služieb poskytovaných v MHD vo veľkých aglomeráciách (úspora času, rozšírenie ponuky služieb, zvýšenie komfortu a spoľahlivosti a pod.),</w:t>
      </w:r>
    </w:p>
    <w:p w:rsidR="007E1F87" w:rsidRDefault="008A66A2" w:rsidP="00FE6025">
      <w:pPr>
        <w:pStyle w:val="Odsekzoznamu"/>
        <w:numPr>
          <w:ilvl w:val="0"/>
          <w:numId w:val="46"/>
        </w:numPr>
        <w:autoSpaceDE w:val="0"/>
        <w:autoSpaceDN w:val="0"/>
        <w:adjustRightInd w:val="0"/>
        <w:spacing w:before="120"/>
        <w:ind w:left="851" w:hanging="425"/>
        <w:jc w:val="both"/>
        <w:rPr>
          <w:sz w:val="22"/>
          <w:szCs w:val="22"/>
        </w:rPr>
      </w:pPr>
      <w:r>
        <w:rPr>
          <w:sz w:val="22"/>
          <w:szCs w:val="22"/>
        </w:rPr>
        <w:t xml:space="preserve">infraštruktúra </w:t>
      </w:r>
      <w:r w:rsidRPr="008A66A2">
        <w:rPr>
          <w:sz w:val="22"/>
          <w:szCs w:val="22"/>
        </w:rPr>
        <w:t>umožňujúca zvýšenie podielu cestujúcich verejnej osobnej dopravy na deľbe prepravnej prác</w:t>
      </w:r>
      <w:r>
        <w:rPr>
          <w:sz w:val="22"/>
          <w:szCs w:val="22"/>
        </w:rPr>
        <w:t>e,</w:t>
      </w:r>
    </w:p>
    <w:p w:rsidR="006272CE" w:rsidRPr="000D7807" w:rsidRDefault="008A66A2" w:rsidP="00FE6025">
      <w:pPr>
        <w:pStyle w:val="Odsekzoznamu"/>
        <w:numPr>
          <w:ilvl w:val="0"/>
          <w:numId w:val="46"/>
        </w:numPr>
        <w:autoSpaceDE w:val="0"/>
        <w:autoSpaceDN w:val="0"/>
        <w:adjustRightInd w:val="0"/>
        <w:spacing w:before="180"/>
        <w:ind w:left="851" w:hanging="425"/>
        <w:jc w:val="both"/>
        <w:rPr>
          <w:sz w:val="22"/>
          <w:szCs w:val="22"/>
        </w:rPr>
      </w:pPr>
      <w:r>
        <w:rPr>
          <w:sz w:val="22"/>
          <w:szCs w:val="22"/>
        </w:rPr>
        <w:t>zníženie negatívnych vplyvov na životné prostredie (zníženie hlukovej a emisnej záťaže)</w:t>
      </w:r>
      <w:r w:rsidR="000D7807">
        <w:rPr>
          <w:sz w:val="22"/>
          <w:szCs w:val="22"/>
        </w:rPr>
        <w:t>.</w:t>
      </w:r>
    </w:p>
    <w:p w:rsidR="007E1F87" w:rsidRDefault="00BB2B1D" w:rsidP="00C837C9">
      <w:pPr>
        <w:pStyle w:val="Tab"/>
      </w:pPr>
      <w:r w:rsidRPr="004F0234">
        <w:t>Výsledkové ukazovatele zodpovedajúce špecifickému cieľu</w:t>
      </w:r>
      <w:r w:rsidR="00350B96">
        <w:t xml:space="preserve"> 3.1</w:t>
      </w:r>
    </w:p>
    <w:tbl>
      <w:tblPr>
        <w:tblStyle w:val="Mriekatabuky"/>
        <w:tblW w:w="928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tblPr>
      <w:tblGrid>
        <w:gridCol w:w="598"/>
        <w:gridCol w:w="1391"/>
        <w:gridCol w:w="897"/>
        <w:gridCol w:w="997"/>
        <w:gridCol w:w="1297"/>
        <w:gridCol w:w="1297"/>
        <w:gridCol w:w="865"/>
        <w:gridCol w:w="759"/>
        <w:gridCol w:w="1186"/>
      </w:tblGrid>
      <w:tr w:rsidR="00C837C9" w:rsidRPr="008C1732" w:rsidTr="0095191D">
        <w:trPr>
          <w:trHeight w:val="487"/>
          <w:jc w:val="center"/>
        </w:trPr>
        <w:tc>
          <w:tcPr>
            <w:tcW w:w="598" w:type="dxa"/>
            <w:shd w:val="clear" w:color="auto" w:fill="C6D9F1" w:themeFill="text2" w:themeFillTint="33"/>
            <w:vAlign w:val="center"/>
          </w:tcPr>
          <w:p w:rsidR="00C837C9" w:rsidRPr="008C1732" w:rsidRDefault="00C837C9" w:rsidP="00816B1A">
            <w:pPr>
              <w:ind w:left="0"/>
              <w:jc w:val="center"/>
              <w:rPr>
                <w:b/>
                <w:sz w:val="18"/>
                <w:szCs w:val="18"/>
              </w:rPr>
            </w:pPr>
            <w:r>
              <w:rPr>
                <w:b/>
                <w:sz w:val="18"/>
                <w:szCs w:val="18"/>
              </w:rPr>
              <w:t>P. č.</w:t>
            </w:r>
          </w:p>
        </w:tc>
        <w:tc>
          <w:tcPr>
            <w:tcW w:w="1391" w:type="dxa"/>
            <w:shd w:val="clear" w:color="auto" w:fill="C6D9F1" w:themeFill="text2" w:themeFillTint="33"/>
            <w:vAlign w:val="center"/>
          </w:tcPr>
          <w:p w:rsidR="00C837C9" w:rsidRPr="008C1732" w:rsidRDefault="00C837C9" w:rsidP="00816B1A">
            <w:pPr>
              <w:ind w:left="0"/>
              <w:jc w:val="center"/>
              <w:rPr>
                <w:b/>
                <w:sz w:val="18"/>
                <w:szCs w:val="18"/>
              </w:rPr>
            </w:pPr>
            <w:r w:rsidRPr="008C1732">
              <w:rPr>
                <w:b/>
                <w:sz w:val="18"/>
                <w:szCs w:val="18"/>
              </w:rPr>
              <w:t>Ukazovateľ</w:t>
            </w:r>
          </w:p>
        </w:tc>
        <w:tc>
          <w:tcPr>
            <w:tcW w:w="897" w:type="dxa"/>
            <w:shd w:val="clear" w:color="auto" w:fill="C6D9F1" w:themeFill="text2" w:themeFillTint="33"/>
            <w:vAlign w:val="center"/>
          </w:tcPr>
          <w:p w:rsidR="00C837C9" w:rsidRPr="008C1732" w:rsidRDefault="00C837C9" w:rsidP="00816B1A">
            <w:pPr>
              <w:ind w:left="0"/>
              <w:jc w:val="center"/>
              <w:rPr>
                <w:b/>
                <w:sz w:val="18"/>
                <w:szCs w:val="18"/>
              </w:rPr>
            </w:pPr>
            <w:r w:rsidRPr="008C1732">
              <w:rPr>
                <w:b/>
                <w:sz w:val="18"/>
                <w:szCs w:val="18"/>
              </w:rPr>
              <w:t>Merná jednotka</w:t>
            </w:r>
          </w:p>
        </w:tc>
        <w:tc>
          <w:tcPr>
            <w:tcW w:w="997" w:type="dxa"/>
            <w:shd w:val="clear" w:color="auto" w:fill="C6D9F1" w:themeFill="text2" w:themeFillTint="33"/>
            <w:vAlign w:val="center"/>
          </w:tcPr>
          <w:p w:rsidR="00C837C9" w:rsidRPr="008C1732" w:rsidRDefault="00C837C9" w:rsidP="00816B1A">
            <w:pPr>
              <w:ind w:left="0"/>
              <w:jc w:val="center"/>
              <w:rPr>
                <w:b/>
                <w:sz w:val="18"/>
                <w:szCs w:val="18"/>
              </w:rPr>
            </w:pPr>
            <w:r w:rsidRPr="008C1732">
              <w:rPr>
                <w:b/>
                <w:sz w:val="18"/>
                <w:szCs w:val="18"/>
              </w:rPr>
              <w:t>Kategória regiónu</w:t>
            </w:r>
          </w:p>
        </w:tc>
        <w:tc>
          <w:tcPr>
            <w:tcW w:w="1297" w:type="dxa"/>
            <w:shd w:val="clear" w:color="auto" w:fill="C6D9F1" w:themeFill="text2" w:themeFillTint="33"/>
            <w:vAlign w:val="center"/>
          </w:tcPr>
          <w:p w:rsidR="00C837C9" w:rsidRPr="008C1732" w:rsidRDefault="00C837C9" w:rsidP="00816B1A">
            <w:pPr>
              <w:ind w:left="0"/>
              <w:jc w:val="center"/>
              <w:rPr>
                <w:b/>
                <w:sz w:val="18"/>
                <w:szCs w:val="18"/>
              </w:rPr>
            </w:pPr>
            <w:r>
              <w:rPr>
                <w:b/>
                <w:sz w:val="18"/>
                <w:szCs w:val="18"/>
              </w:rPr>
              <w:t>Východisková hodnota</w:t>
            </w:r>
          </w:p>
        </w:tc>
        <w:tc>
          <w:tcPr>
            <w:tcW w:w="1297" w:type="dxa"/>
            <w:shd w:val="clear" w:color="auto" w:fill="C6D9F1" w:themeFill="text2" w:themeFillTint="33"/>
            <w:vAlign w:val="center"/>
          </w:tcPr>
          <w:p w:rsidR="00C837C9" w:rsidRPr="008C1732" w:rsidRDefault="00C837C9" w:rsidP="00816B1A">
            <w:pPr>
              <w:ind w:left="0"/>
              <w:jc w:val="center"/>
              <w:rPr>
                <w:b/>
                <w:sz w:val="18"/>
                <w:szCs w:val="18"/>
              </w:rPr>
            </w:pPr>
            <w:r>
              <w:rPr>
                <w:b/>
                <w:sz w:val="18"/>
                <w:szCs w:val="18"/>
              </w:rPr>
              <w:t>Východiskový rok</w:t>
            </w:r>
          </w:p>
        </w:tc>
        <w:tc>
          <w:tcPr>
            <w:tcW w:w="865" w:type="dxa"/>
            <w:shd w:val="clear" w:color="auto" w:fill="C6D9F1" w:themeFill="text2" w:themeFillTint="33"/>
            <w:vAlign w:val="center"/>
          </w:tcPr>
          <w:p w:rsidR="00C837C9" w:rsidRPr="008C1732" w:rsidRDefault="00C837C9" w:rsidP="00816B1A">
            <w:pPr>
              <w:ind w:left="0"/>
              <w:jc w:val="center"/>
              <w:rPr>
                <w:b/>
                <w:sz w:val="18"/>
                <w:szCs w:val="18"/>
              </w:rPr>
            </w:pPr>
            <w:r w:rsidRPr="008C1732">
              <w:rPr>
                <w:b/>
                <w:sz w:val="18"/>
                <w:szCs w:val="18"/>
              </w:rPr>
              <w:t>Cieľová hodnota (2023)</w:t>
            </w:r>
          </w:p>
        </w:tc>
        <w:tc>
          <w:tcPr>
            <w:tcW w:w="759" w:type="dxa"/>
            <w:shd w:val="clear" w:color="auto" w:fill="C6D9F1" w:themeFill="text2" w:themeFillTint="33"/>
            <w:vAlign w:val="center"/>
          </w:tcPr>
          <w:p w:rsidR="00C837C9" w:rsidRPr="008C1732" w:rsidRDefault="00C837C9" w:rsidP="00816B1A">
            <w:pPr>
              <w:ind w:left="0"/>
              <w:jc w:val="center"/>
              <w:rPr>
                <w:b/>
                <w:sz w:val="18"/>
                <w:szCs w:val="18"/>
              </w:rPr>
            </w:pPr>
            <w:r w:rsidRPr="008C1732">
              <w:rPr>
                <w:b/>
                <w:sz w:val="18"/>
                <w:szCs w:val="18"/>
              </w:rPr>
              <w:t>Zdroj údajov</w:t>
            </w:r>
          </w:p>
        </w:tc>
        <w:tc>
          <w:tcPr>
            <w:tcW w:w="1186" w:type="dxa"/>
            <w:shd w:val="clear" w:color="auto" w:fill="C6D9F1" w:themeFill="text2" w:themeFillTint="33"/>
            <w:vAlign w:val="center"/>
          </w:tcPr>
          <w:p w:rsidR="00C837C9" w:rsidRPr="008C1732" w:rsidRDefault="00C837C9" w:rsidP="00816B1A">
            <w:pPr>
              <w:ind w:left="0"/>
              <w:jc w:val="center"/>
              <w:rPr>
                <w:b/>
                <w:sz w:val="18"/>
                <w:szCs w:val="18"/>
              </w:rPr>
            </w:pPr>
            <w:r w:rsidRPr="008C1732">
              <w:rPr>
                <w:b/>
                <w:sz w:val="18"/>
                <w:szCs w:val="18"/>
              </w:rPr>
              <w:t>Frekvencia vykazovania</w:t>
            </w:r>
          </w:p>
        </w:tc>
      </w:tr>
      <w:tr w:rsidR="00C837C9" w:rsidRPr="00DA54A1" w:rsidTr="0095191D">
        <w:trPr>
          <w:trHeight w:val="680"/>
          <w:jc w:val="center"/>
        </w:trPr>
        <w:tc>
          <w:tcPr>
            <w:tcW w:w="598" w:type="dxa"/>
            <w:shd w:val="clear" w:color="auto" w:fill="auto"/>
            <w:vAlign w:val="center"/>
          </w:tcPr>
          <w:p w:rsidR="00C837C9" w:rsidRPr="00336C1F" w:rsidRDefault="00C837C9" w:rsidP="00816B1A">
            <w:pPr>
              <w:ind w:left="0"/>
              <w:jc w:val="center"/>
              <w:rPr>
                <w:sz w:val="20"/>
                <w:szCs w:val="20"/>
              </w:rPr>
            </w:pPr>
            <w:r>
              <w:rPr>
                <w:sz w:val="20"/>
                <w:szCs w:val="20"/>
              </w:rPr>
              <w:t>1.</w:t>
            </w:r>
          </w:p>
        </w:tc>
        <w:tc>
          <w:tcPr>
            <w:tcW w:w="1391" w:type="dxa"/>
            <w:shd w:val="clear" w:color="auto" w:fill="auto"/>
            <w:vAlign w:val="center"/>
          </w:tcPr>
          <w:p w:rsidR="00C837C9" w:rsidRPr="00AB18C1" w:rsidRDefault="00C837C9" w:rsidP="00225C2F">
            <w:pPr>
              <w:ind w:left="0"/>
              <w:rPr>
                <w:sz w:val="20"/>
                <w:szCs w:val="20"/>
              </w:rPr>
            </w:pPr>
            <w:r>
              <w:rPr>
                <w:sz w:val="20"/>
                <w:szCs w:val="20"/>
              </w:rPr>
              <w:t xml:space="preserve">Úspora času </w:t>
            </w:r>
            <w:r>
              <w:rPr>
                <w:sz w:val="20"/>
                <w:szCs w:val="20"/>
              </w:rPr>
              <w:br/>
              <w:t>v</w:t>
            </w:r>
            <w:r w:rsidR="00225C2F">
              <w:rPr>
                <w:sz w:val="20"/>
                <w:szCs w:val="20"/>
              </w:rPr>
              <w:t>o verejnej osobnej doprave</w:t>
            </w:r>
          </w:p>
        </w:tc>
        <w:tc>
          <w:tcPr>
            <w:tcW w:w="897" w:type="dxa"/>
            <w:shd w:val="clear" w:color="auto" w:fill="auto"/>
            <w:vAlign w:val="center"/>
          </w:tcPr>
          <w:p w:rsidR="00C837C9" w:rsidRPr="00DA54A1" w:rsidRDefault="00C837C9" w:rsidP="00816B1A">
            <w:pPr>
              <w:ind w:left="0"/>
              <w:jc w:val="center"/>
              <w:rPr>
                <w:i/>
                <w:sz w:val="20"/>
                <w:szCs w:val="20"/>
              </w:rPr>
            </w:pPr>
            <w:r>
              <w:rPr>
                <w:i/>
                <w:sz w:val="20"/>
                <w:szCs w:val="20"/>
              </w:rPr>
              <w:t>EUR</w:t>
            </w:r>
          </w:p>
        </w:tc>
        <w:tc>
          <w:tcPr>
            <w:tcW w:w="997" w:type="dxa"/>
            <w:shd w:val="clear" w:color="auto" w:fill="auto"/>
            <w:vAlign w:val="center"/>
          </w:tcPr>
          <w:p w:rsidR="00C837C9" w:rsidRPr="00DA54A1" w:rsidRDefault="00C837C9" w:rsidP="00816B1A">
            <w:pPr>
              <w:ind w:left="0"/>
              <w:jc w:val="center"/>
              <w:rPr>
                <w:i/>
                <w:sz w:val="20"/>
                <w:szCs w:val="20"/>
              </w:rPr>
            </w:pPr>
            <w:r w:rsidRPr="00DA54A1">
              <w:rPr>
                <w:i/>
                <w:sz w:val="20"/>
                <w:szCs w:val="20"/>
              </w:rPr>
              <w:t>N/A</w:t>
            </w:r>
          </w:p>
        </w:tc>
        <w:tc>
          <w:tcPr>
            <w:tcW w:w="1297" w:type="dxa"/>
            <w:vAlign w:val="center"/>
          </w:tcPr>
          <w:p w:rsidR="00C837C9" w:rsidRPr="00DA54A1" w:rsidRDefault="00C837C9" w:rsidP="00816B1A">
            <w:pPr>
              <w:ind w:left="0"/>
              <w:jc w:val="center"/>
              <w:rPr>
                <w:i/>
                <w:sz w:val="20"/>
                <w:szCs w:val="20"/>
              </w:rPr>
            </w:pPr>
          </w:p>
        </w:tc>
        <w:tc>
          <w:tcPr>
            <w:tcW w:w="1297" w:type="dxa"/>
            <w:vAlign w:val="center"/>
          </w:tcPr>
          <w:p w:rsidR="00C837C9" w:rsidRPr="00DA54A1" w:rsidRDefault="00C837C9" w:rsidP="00816B1A">
            <w:pPr>
              <w:ind w:left="0"/>
              <w:jc w:val="center"/>
              <w:rPr>
                <w:i/>
                <w:sz w:val="20"/>
                <w:szCs w:val="20"/>
              </w:rPr>
            </w:pPr>
            <w:r w:rsidRPr="00DA54A1">
              <w:rPr>
                <w:i/>
                <w:sz w:val="20"/>
                <w:szCs w:val="20"/>
              </w:rPr>
              <w:t>2013</w:t>
            </w:r>
          </w:p>
        </w:tc>
        <w:tc>
          <w:tcPr>
            <w:tcW w:w="865" w:type="dxa"/>
            <w:shd w:val="clear" w:color="auto" w:fill="auto"/>
            <w:vAlign w:val="center"/>
          </w:tcPr>
          <w:p w:rsidR="00C837C9" w:rsidRPr="00DA54A1" w:rsidRDefault="00C837C9" w:rsidP="00816B1A">
            <w:pPr>
              <w:ind w:left="0"/>
              <w:jc w:val="center"/>
              <w:rPr>
                <w:i/>
                <w:sz w:val="20"/>
                <w:szCs w:val="20"/>
              </w:rPr>
            </w:pPr>
          </w:p>
        </w:tc>
        <w:tc>
          <w:tcPr>
            <w:tcW w:w="759" w:type="dxa"/>
            <w:vAlign w:val="center"/>
          </w:tcPr>
          <w:p w:rsidR="00C837C9" w:rsidRPr="00DA54A1" w:rsidRDefault="00C837C9" w:rsidP="00816B1A">
            <w:pPr>
              <w:ind w:left="0"/>
              <w:jc w:val="center"/>
              <w:rPr>
                <w:i/>
                <w:sz w:val="20"/>
                <w:szCs w:val="20"/>
              </w:rPr>
            </w:pPr>
            <w:r w:rsidRPr="00DA54A1">
              <w:rPr>
                <w:i/>
                <w:sz w:val="20"/>
                <w:szCs w:val="20"/>
              </w:rPr>
              <w:t>RO OPII</w:t>
            </w:r>
          </w:p>
        </w:tc>
        <w:tc>
          <w:tcPr>
            <w:tcW w:w="1186" w:type="dxa"/>
            <w:vAlign w:val="center"/>
          </w:tcPr>
          <w:p w:rsidR="00C837C9" w:rsidRPr="00DA54A1" w:rsidRDefault="00C837C9" w:rsidP="00816B1A">
            <w:pPr>
              <w:ind w:left="0"/>
              <w:jc w:val="center"/>
              <w:rPr>
                <w:i/>
                <w:sz w:val="20"/>
                <w:szCs w:val="20"/>
              </w:rPr>
            </w:pPr>
            <w:r w:rsidRPr="00DA54A1">
              <w:rPr>
                <w:i/>
                <w:sz w:val="20"/>
                <w:szCs w:val="20"/>
              </w:rPr>
              <w:t>Ročne</w:t>
            </w:r>
          </w:p>
        </w:tc>
      </w:tr>
    </w:tbl>
    <w:p w:rsidR="00816B1A" w:rsidRPr="000C1600" w:rsidRDefault="00816B1A" w:rsidP="000C1600">
      <w:pPr>
        <w:rPr>
          <w:sz w:val="20"/>
          <w:szCs w:val="20"/>
        </w:rPr>
      </w:pPr>
      <w:r w:rsidRPr="000C1600">
        <w:rPr>
          <w:sz w:val="20"/>
          <w:szCs w:val="20"/>
          <w:u w:val="single"/>
        </w:rPr>
        <w:t>Pozn</w:t>
      </w:r>
      <w:r w:rsidRPr="000C1600">
        <w:rPr>
          <w:sz w:val="20"/>
          <w:szCs w:val="20"/>
        </w:rPr>
        <w:t xml:space="preserve">.: Hodnoty ukazovateľov budú doplnené v ďalšom štádiu prípravy dokumentu. </w:t>
      </w:r>
    </w:p>
    <w:p w:rsidR="00C837C9" w:rsidRDefault="00C837C9" w:rsidP="007E1F87">
      <w:pPr>
        <w:autoSpaceDE w:val="0"/>
        <w:autoSpaceDN w:val="0"/>
        <w:adjustRightInd w:val="0"/>
        <w:jc w:val="both"/>
      </w:pPr>
    </w:p>
    <w:p w:rsidR="007E1F87" w:rsidRPr="006B762B" w:rsidRDefault="007E1F87" w:rsidP="002E1021">
      <w:pPr>
        <w:shd w:val="clear" w:color="auto" w:fill="FFFFCC"/>
        <w:jc w:val="both"/>
        <w:rPr>
          <w:b/>
          <w:i/>
        </w:rPr>
      </w:pPr>
      <w:r w:rsidRPr="004F0234">
        <w:rPr>
          <w:i/>
        </w:rPr>
        <w:t xml:space="preserve">ŠPECIFICKÝ CIEĽ </w:t>
      </w:r>
      <w:r w:rsidR="00E87153">
        <w:rPr>
          <w:i/>
        </w:rPr>
        <w:t>3.</w:t>
      </w:r>
      <w:r>
        <w:rPr>
          <w:i/>
        </w:rPr>
        <w:t>2</w:t>
      </w:r>
      <w:r w:rsidRPr="004F0234">
        <w:rPr>
          <w:i/>
        </w:rPr>
        <w:t>:</w:t>
      </w:r>
      <w:r>
        <w:rPr>
          <w:i/>
        </w:rPr>
        <w:t xml:space="preserve"> </w:t>
      </w:r>
      <w:r w:rsidR="00225C2F" w:rsidRPr="00225C2F">
        <w:rPr>
          <w:b/>
          <w:i/>
        </w:rPr>
        <w:t>Zvýšenie atraktivity</w:t>
      </w:r>
      <w:r w:rsidR="005E7C00">
        <w:rPr>
          <w:b/>
          <w:i/>
        </w:rPr>
        <w:t xml:space="preserve"> a prístupnosti</w:t>
      </w:r>
      <w:r w:rsidR="00225C2F" w:rsidRPr="00225C2F">
        <w:rPr>
          <w:b/>
          <w:i/>
        </w:rPr>
        <w:t xml:space="preserve"> verejnej osobnej dopravy prostredníctvom </w:t>
      </w:r>
      <w:r w:rsidR="00225C2F">
        <w:rPr>
          <w:b/>
          <w:i/>
        </w:rPr>
        <w:t>obnovy</w:t>
      </w:r>
      <w:r w:rsidRPr="007E1F87">
        <w:rPr>
          <w:b/>
          <w:i/>
        </w:rPr>
        <w:t xml:space="preserve"> mobilných prostriedkov dráhovej MHD</w:t>
      </w:r>
    </w:p>
    <w:p w:rsidR="007E1F87" w:rsidRDefault="007E1F87" w:rsidP="007E1F87">
      <w:pPr>
        <w:autoSpaceDE w:val="0"/>
        <w:autoSpaceDN w:val="0"/>
        <w:adjustRightInd w:val="0"/>
        <w:spacing w:before="180"/>
        <w:jc w:val="both"/>
        <w:rPr>
          <w:sz w:val="22"/>
          <w:szCs w:val="22"/>
        </w:rPr>
      </w:pPr>
      <w:r w:rsidRPr="00885C6A">
        <w:rPr>
          <w:color w:val="000000" w:themeColor="text1"/>
          <w:sz w:val="22"/>
          <w:szCs w:val="22"/>
        </w:rPr>
        <w:t xml:space="preserve">Dopravné prostriedky sú jedným zo základných </w:t>
      </w:r>
      <w:r w:rsidR="00CA00A9">
        <w:rPr>
          <w:color w:val="000000" w:themeColor="text1"/>
          <w:sz w:val="22"/>
          <w:szCs w:val="22"/>
        </w:rPr>
        <w:t>prvkov</w:t>
      </w:r>
      <w:r w:rsidRPr="00885C6A">
        <w:rPr>
          <w:color w:val="000000" w:themeColor="text1"/>
          <w:sz w:val="22"/>
          <w:szCs w:val="22"/>
        </w:rPr>
        <w:t xml:space="preserve"> dopravného systému a</w:t>
      </w:r>
      <w:r>
        <w:rPr>
          <w:color w:val="000000" w:themeColor="text1"/>
          <w:sz w:val="22"/>
          <w:szCs w:val="22"/>
        </w:rPr>
        <w:t> </w:t>
      </w:r>
      <w:r w:rsidRPr="00885C6A">
        <w:rPr>
          <w:color w:val="000000" w:themeColor="text1"/>
          <w:sz w:val="22"/>
          <w:szCs w:val="22"/>
        </w:rPr>
        <w:t>predurčujú jeho kvalitatívne i</w:t>
      </w:r>
      <w:r>
        <w:rPr>
          <w:color w:val="000000" w:themeColor="text1"/>
          <w:sz w:val="22"/>
          <w:szCs w:val="22"/>
        </w:rPr>
        <w:t> </w:t>
      </w:r>
      <w:r w:rsidRPr="00885C6A">
        <w:rPr>
          <w:color w:val="000000" w:themeColor="text1"/>
          <w:sz w:val="22"/>
          <w:szCs w:val="22"/>
        </w:rPr>
        <w:t>kvantitatívne parametre. Zároveň predstavujú prvý kontakt cestujúcich s</w:t>
      </w:r>
      <w:r>
        <w:rPr>
          <w:color w:val="000000" w:themeColor="text1"/>
          <w:sz w:val="22"/>
          <w:szCs w:val="22"/>
        </w:rPr>
        <w:t> </w:t>
      </w:r>
      <w:r w:rsidRPr="00885C6A">
        <w:rPr>
          <w:color w:val="000000" w:themeColor="text1"/>
          <w:sz w:val="22"/>
          <w:szCs w:val="22"/>
        </w:rPr>
        <w:t>verejnou osobnou dopravu a</w:t>
      </w:r>
      <w:r>
        <w:rPr>
          <w:color w:val="000000" w:themeColor="text1"/>
          <w:sz w:val="22"/>
          <w:szCs w:val="22"/>
        </w:rPr>
        <w:t> </w:t>
      </w:r>
      <w:r w:rsidRPr="00885C6A">
        <w:rPr>
          <w:color w:val="000000" w:themeColor="text1"/>
          <w:sz w:val="22"/>
          <w:szCs w:val="22"/>
        </w:rPr>
        <w:t>preto môžu zásadným spôsobom ovplyvniť ich rozhodovanie pri výbere dopravného módu.</w:t>
      </w:r>
    </w:p>
    <w:p w:rsidR="007E1F87" w:rsidRPr="00771652" w:rsidRDefault="007E1F87" w:rsidP="007E1F87">
      <w:pPr>
        <w:autoSpaceDE w:val="0"/>
        <w:autoSpaceDN w:val="0"/>
        <w:adjustRightInd w:val="0"/>
        <w:spacing w:before="180"/>
        <w:jc w:val="both"/>
        <w:rPr>
          <w:color w:val="000000" w:themeColor="text1"/>
          <w:sz w:val="22"/>
          <w:szCs w:val="22"/>
        </w:rPr>
      </w:pPr>
      <w:r w:rsidRPr="00771652">
        <w:rPr>
          <w:color w:val="000000" w:themeColor="text1"/>
          <w:sz w:val="22"/>
          <w:szCs w:val="22"/>
        </w:rPr>
        <w:t>V tomto kontexte je nutné konštatovať, že súčasný stav je najmä v oblasti dráhových vozidiel MHD (električky, trolejbusy) nevyhovujúci nielen z hľadiska spotreby energií, ale aj z hľadiska spoľahlivosti</w:t>
      </w:r>
      <w:r w:rsidR="00495ECB">
        <w:rPr>
          <w:color w:val="000000" w:themeColor="text1"/>
          <w:sz w:val="22"/>
          <w:szCs w:val="22"/>
        </w:rPr>
        <w:t>, bezbariérovosti</w:t>
      </w:r>
      <w:r w:rsidRPr="00771652">
        <w:rPr>
          <w:color w:val="000000" w:themeColor="text1"/>
          <w:sz w:val="22"/>
          <w:szCs w:val="22"/>
        </w:rPr>
        <w:t xml:space="preserve"> a komfortu – a tým atraktívnosti pre cestujúcich. V súčasnosti majú Bratislava aj Košice k dispozícii minimálny počet električiek s nízkou podlahou a rekuperáciou elektrickej energie. Priemerný vek existujúcich vozidiel je viac ako 20 rokov.</w:t>
      </w:r>
    </w:p>
    <w:p w:rsidR="007E1F87" w:rsidRPr="00771652" w:rsidRDefault="007F0301" w:rsidP="007E1F87">
      <w:pPr>
        <w:autoSpaceDE w:val="0"/>
        <w:autoSpaceDN w:val="0"/>
        <w:adjustRightInd w:val="0"/>
        <w:spacing w:before="180"/>
        <w:jc w:val="both"/>
        <w:rPr>
          <w:color w:val="000000" w:themeColor="text1"/>
          <w:sz w:val="22"/>
          <w:szCs w:val="22"/>
        </w:rPr>
      </w:pPr>
      <w:r w:rsidRPr="00771652">
        <w:rPr>
          <w:color w:val="000000" w:themeColor="text1"/>
          <w:sz w:val="22"/>
          <w:szCs w:val="22"/>
        </w:rPr>
        <w:t xml:space="preserve">Existujúci vozidlový park </w:t>
      </w:r>
      <w:r w:rsidR="006C055B">
        <w:rPr>
          <w:color w:val="000000" w:themeColor="text1"/>
          <w:sz w:val="22"/>
          <w:szCs w:val="22"/>
        </w:rPr>
        <w:t>trolejbusovej dopravy je taktiež zastaraný, podiel nízkopodlažných trolejbusov je nízky a</w:t>
      </w:r>
      <w:r w:rsidR="007E1F87" w:rsidRPr="00771652">
        <w:rPr>
          <w:color w:val="000000" w:themeColor="text1"/>
          <w:sz w:val="22"/>
          <w:szCs w:val="22"/>
        </w:rPr>
        <w:t xml:space="preserve"> podobná situácia je aj v oblasti modernej elektrickej výzbroje s rekuperáciou energie. Priemerný vek vozidiel sa pohybuje od 12 do 19 rokov. Jedinou výnimkou je Banská Bystrica, kde v roku 2011 došlo k obnoveniu väčšiny vozidlového parku trolejbusov.</w:t>
      </w:r>
    </w:p>
    <w:p w:rsidR="007E1F87" w:rsidRDefault="007E1F87" w:rsidP="007E1F87">
      <w:pPr>
        <w:autoSpaceDE w:val="0"/>
        <w:autoSpaceDN w:val="0"/>
        <w:adjustRightInd w:val="0"/>
        <w:spacing w:before="180"/>
        <w:jc w:val="both"/>
        <w:rPr>
          <w:color w:val="000000" w:themeColor="text1"/>
          <w:sz w:val="22"/>
          <w:szCs w:val="22"/>
        </w:rPr>
      </w:pPr>
      <w:r w:rsidRPr="00771652">
        <w:rPr>
          <w:color w:val="000000" w:themeColor="text1"/>
          <w:sz w:val="22"/>
          <w:szCs w:val="22"/>
        </w:rPr>
        <w:t>Nasadením nových, nízkopodlažných a energeticky úsporných vozidiel pre prevádzku dráhovej MHD sa dosiahne nielen zvýšenie prístupnosti MHD pre zdravotne postihnutých cestujúcich, zvýšenie komfortu prepravy a úspora času cestujúcich, ale aj pokles spotreby trakčnej elekt</w:t>
      </w:r>
      <w:r>
        <w:rPr>
          <w:color w:val="000000" w:themeColor="text1"/>
          <w:sz w:val="22"/>
          <w:szCs w:val="22"/>
        </w:rPr>
        <w:t>rickej energie a s </w:t>
      </w:r>
      <w:r w:rsidRPr="00771652">
        <w:rPr>
          <w:color w:val="000000" w:themeColor="text1"/>
          <w:sz w:val="22"/>
          <w:szCs w:val="22"/>
        </w:rPr>
        <w:t>tým súvisiacich nákladov. Nové</w:t>
      </w:r>
      <w:r w:rsidR="00810558">
        <w:rPr>
          <w:color w:val="000000" w:themeColor="text1"/>
          <w:sz w:val="22"/>
          <w:szCs w:val="22"/>
        </w:rPr>
        <w:t>,</w:t>
      </w:r>
      <w:r w:rsidRPr="00771652">
        <w:rPr>
          <w:color w:val="000000" w:themeColor="text1"/>
          <w:sz w:val="22"/>
          <w:szCs w:val="22"/>
        </w:rPr>
        <w:t xml:space="preserve"> energeticky úsporné vozidlá dokážu vďaka modernej trakčnej výzbroji </w:t>
      </w:r>
      <w:r w:rsidR="00810558">
        <w:rPr>
          <w:color w:val="000000" w:themeColor="text1"/>
          <w:sz w:val="22"/>
          <w:szCs w:val="22"/>
        </w:rPr>
        <w:t>umožňujúcou</w:t>
      </w:r>
      <w:r w:rsidRPr="00771652">
        <w:rPr>
          <w:color w:val="000000" w:themeColor="text1"/>
          <w:sz w:val="22"/>
          <w:szCs w:val="22"/>
        </w:rPr>
        <w:t xml:space="preserve"> rekuperáciu energie ušetriť časť trakčnej energie v porovnaní so zastaranými vozidlami. Dôjde zároveň k zníženiu poruchovosti vozidiel, a tým aj k zvýšeniu spoľahlivosti a atraktívnosti verejnej osobnej dopravy.</w:t>
      </w:r>
    </w:p>
    <w:p w:rsidR="009879BD" w:rsidRDefault="009879BD" w:rsidP="009879BD">
      <w:pPr>
        <w:spacing w:before="180"/>
        <w:jc w:val="both"/>
        <w:rPr>
          <w:b/>
          <w:sz w:val="22"/>
          <w:szCs w:val="22"/>
        </w:rPr>
      </w:pPr>
      <w:r w:rsidRPr="005574FF">
        <w:rPr>
          <w:b/>
          <w:sz w:val="22"/>
          <w:szCs w:val="22"/>
        </w:rPr>
        <w:t>Podmienkou poskytnutia podpory na obnovu mobilných prostriedkov v MHD bude realizácia opatrení na zabezpečenie preferencie vozidiel na tratiach, pre ktoré budú určené. Pôjde najmä o opatrenia na zabezpečenie minimalizácie zdržaní na križovatkách a priechodoch riadených svetelnou signalizáciou a o zriaďovanie vyhradených jazdných pruhov pre MHD.</w:t>
      </w:r>
    </w:p>
    <w:p w:rsidR="007E1F87" w:rsidRPr="005B631E" w:rsidRDefault="007E1F87" w:rsidP="007E1F87">
      <w:pPr>
        <w:autoSpaceDE w:val="0"/>
        <w:autoSpaceDN w:val="0"/>
        <w:adjustRightInd w:val="0"/>
        <w:spacing w:before="180" w:after="120"/>
        <w:jc w:val="both"/>
        <w:rPr>
          <w:rFonts w:ascii="Arial Narrow" w:hAnsi="Arial Narrow"/>
          <w:b/>
          <w:i/>
          <w:color w:val="4F81BD" w:themeColor="accent1"/>
          <w:sz w:val="22"/>
          <w:szCs w:val="22"/>
        </w:rPr>
      </w:pPr>
      <w:r w:rsidRPr="005B631E">
        <w:rPr>
          <w:rFonts w:ascii="Arial Narrow" w:hAnsi="Arial Narrow"/>
          <w:b/>
          <w:i/>
          <w:color w:val="4F81BD" w:themeColor="accent1"/>
          <w:sz w:val="22"/>
          <w:szCs w:val="22"/>
        </w:rPr>
        <w:lastRenderedPageBreak/>
        <w:t>VÝSLEDKY</w:t>
      </w:r>
    </w:p>
    <w:p w:rsidR="00F86FFA" w:rsidRDefault="00F86FFA" w:rsidP="00FE6025">
      <w:pPr>
        <w:pStyle w:val="Odsekzoznamu"/>
        <w:numPr>
          <w:ilvl w:val="0"/>
          <w:numId w:val="47"/>
        </w:numPr>
        <w:autoSpaceDE w:val="0"/>
        <w:autoSpaceDN w:val="0"/>
        <w:adjustRightInd w:val="0"/>
        <w:jc w:val="both"/>
        <w:rPr>
          <w:color w:val="000000" w:themeColor="text1"/>
          <w:sz w:val="22"/>
          <w:szCs w:val="22"/>
        </w:rPr>
      </w:pPr>
      <w:r>
        <w:rPr>
          <w:color w:val="000000" w:themeColor="text1"/>
          <w:sz w:val="22"/>
          <w:szCs w:val="22"/>
        </w:rPr>
        <w:t>zvýšenie atraktívnosti verejnej osobnej dopravy,</w:t>
      </w:r>
    </w:p>
    <w:p w:rsidR="001053C0" w:rsidRDefault="001053C0" w:rsidP="00FE6025">
      <w:pPr>
        <w:pStyle w:val="Odsekzoznamu"/>
        <w:numPr>
          <w:ilvl w:val="0"/>
          <w:numId w:val="47"/>
        </w:numPr>
        <w:autoSpaceDE w:val="0"/>
        <w:autoSpaceDN w:val="0"/>
        <w:adjustRightInd w:val="0"/>
        <w:jc w:val="both"/>
        <w:rPr>
          <w:color w:val="000000" w:themeColor="text1"/>
          <w:sz w:val="22"/>
          <w:szCs w:val="22"/>
        </w:rPr>
      </w:pPr>
      <w:r>
        <w:rPr>
          <w:color w:val="000000" w:themeColor="text1"/>
          <w:sz w:val="22"/>
          <w:szCs w:val="22"/>
        </w:rPr>
        <w:t>zlepšenie kvality</w:t>
      </w:r>
      <w:r w:rsidR="00BB2B1D">
        <w:rPr>
          <w:color w:val="000000" w:themeColor="text1"/>
          <w:sz w:val="22"/>
          <w:szCs w:val="22"/>
        </w:rPr>
        <w:t xml:space="preserve"> služieb poskytovaných </w:t>
      </w:r>
      <w:r w:rsidR="00FB6AFD">
        <w:rPr>
          <w:color w:val="000000" w:themeColor="text1"/>
          <w:sz w:val="22"/>
          <w:szCs w:val="22"/>
        </w:rPr>
        <w:t>dráhovou</w:t>
      </w:r>
      <w:r w:rsidR="00BB2B1D">
        <w:rPr>
          <w:color w:val="000000" w:themeColor="text1"/>
          <w:sz w:val="22"/>
          <w:szCs w:val="22"/>
        </w:rPr>
        <w:t xml:space="preserve"> MHD vo veľkých aglomeráciách (úspora </w:t>
      </w:r>
      <w:r w:rsidR="00FB6AFD">
        <w:rPr>
          <w:color w:val="000000" w:themeColor="text1"/>
          <w:sz w:val="22"/>
          <w:szCs w:val="22"/>
        </w:rPr>
        <w:t xml:space="preserve">cestovného </w:t>
      </w:r>
      <w:r w:rsidR="00BB2B1D">
        <w:rPr>
          <w:color w:val="000000" w:themeColor="text1"/>
          <w:sz w:val="22"/>
          <w:szCs w:val="22"/>
        </w:rPr>
        <w:t>času, rozšírenie ponuky služieb, zvýšenie komfortu a spoľahlivosti a pod.),</w:t>
      </w:r>
    </w:p>
    <w:p w:rsidR="00BB2B1D" w:rsidRDefault="00BB2B1D" w:rsidP="00FE6025">
      <w:pPr>
        <w:pStyle w:val="Odsekzoznamu"/>
        <w:numPr>
          <w:ilvl w:val="0"/>
          <w:numId w:val="47"/>
        </w:numPr>
        <w:autoSpaceDE w:val="0"/>
        <w:autoSpaceDN w:val="0"/>
        <w:adjustRightInd w:val="0"/>
        <w:jc w:val="both"/>
        <w:rPr>
          <w:color w:val="000000" w:themeColor="text1"/>
          <w:sz w:val="22"/>
          <w:szCs w:val="22"/>
        </w:rPr>
      </w:pPr>
      <w:r>
        <w:rPr>
          <w:color w:val="000000" w:themeColor="text1"/>
          <w:sz w:val="22"/>
          <w:szCs w:val="22"/>
        </w:rPr>
        <w:t>zvýšenie prístupnosti vozidiel MHD,</w:t>
      </w:r>
    </w:p>
    <w:p w:rsidR="00BB2B1D" w:rsidRDefault="008A66A2" w:rsidP="00FE6025">
      <w:pPr>
        <w:pStyle w:val="Odsekzoznamu"/>
        <w:numPr>
          <w:ilvl w:val="0"/>
          <w:numId w:val="47"/>
        </w:numPr>
        <w:autoSpaceDE w:val="0"/>
        <w:autoSpaceDN w:val="0"/>
        <w:adjustRightInd w:val="0"/>
        <w:spacing w:before="180"/>
        <w:jc w:val="both"/>
        <w:rPr>
          <w:color w:val="000000" w:themeColor="text1"/>
          <w:sz w:val="22"/>
          <w:szCs w:val="22"/>
        </w:rPr>
      </w:pPr>
      <w:r>
        <w:rPr>
          <w:color w:val="000000" w:themeColor="text1"/>
          <w:sz w:val="22"/>
          <w:szCs w:val="22"/>
        </w:rPr>
        <w:t>zníženie negatívnych vplyvov na životné prostredie (</w:t>
      </w:r>
      <w:r w:rsidR="00BB2B1D">
        <w:rPr>
          <w:color w:val="000000" w:themeColor="text1"/>
          <w:sz w:val="22"/>
          <w:szCs w:val="22"/>
        </w:rPr>
        <w:t xml:space="preserve">zníženie </w:t>
      </w:r>
      <w:r w:rsidR="00FB6AFD">
        <w:rPr>
          <w:color w:val="000000" w:themeColor="text1"/>
          <w:sz w:val="22"/>
          <w:szCs w:val="22"/>
        </w:rPr>
        <w:t>hluku, emisií, vibrácií a pod.)</w:t>
      </w:r>
      <w:r w:rsidR="00382524">
        <w:rPr>
          <w:color w:val="000000" w:themeColor="text1"/>
          <w:sz w:val="22"/>
          <w:szCs w:val="22"/>
        </w:rPr>
        <w:t xml:space="preserve"> – čistá MHD</w:t>
      </w:r>
      <w:r w:rsidR="00FB6AFD">
        <w:rPr>
          <w:color w:val="000000" w:themeColor="text1"/>
          <w:sz w:val="22"/>
          <w:szCs w:val="22"/>
        </w:rPr>
        <w:t>,</w:t>
      </w:r>
    </w:p>
    <w:p w:rsidR="007E1F87" w:rsidRDefault="007E1F87" w:rsidP="00FE6025">
      <w:pPr>
        <w:pStyle w:val="Odsekzoznamu"/>
        <w:numPr>
          <w:ilvl w:val="0"/>
          <w:numId w:val="47"/>
        </w:numPr>
        <w:autoSpaceDE w:val="0"/>
        <w:autoSpaceDN w:val="0"/>
        <w:adjustRightInd w:val="0"/>
        <w:spacing w:before="180"/>
        <w:jc w:val="both"/>
        <w:rPr>
          <w:color w:val="000000" w:themeColor="text1"/>
          <w:sz w:val="22"/>
          <w:szCs w:val="22"/>
        </w:rPr>
      </w:pPr>
      <w:r w:rsidRPr="007E1F87">
        <w:rPr>
          <w:color w:val="000000" w:themeColor="text1"/>
          <w:sz w:val="22"/>
          <w:szCs w:val="22"/>
        </w:rPr>
        <w:t>zvýšenie podielu verejnej osobnej do</w:t>
      </w:r>
      <w:r w:rsidR="00BB2B1D">
        <w:rPr>
          <w:color w:val="000000" w:themeColor="text1"/>
          <w:sz w:val="22"/>
          <w:szCs w:val="22"/>
        </w:rPr>
        <w:t>pravy na deľbe prepravnej práce.</w:t>
      </w:r>
    </w:p>
    <w:p w:rsidR="00C837C9" w:rsidRDefault="00266DA8" w:rsidP="00C837C9">
      <w:pPr>
        <w:pStyle w:val="Tab"/>
      </w:pPr>
      <w:r w:rsidRPr="004F0234">
        <w:t>Výsledkové ukazovatele zodpovedajúce špecifickému cieľu</w:t>
      </w:r>
      <w:r w:rsidR="00350B96">
        <w:t xml:space="preserve"> 3.2</w:t>
      </w:r>
    </w:p>
    <w:tbl>
      <w:tblPr>
        <w:tblStyle w:val="Mriekatabuky"/>
        <w:tblW w:w="928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tblPr>
      <w:tblGrid>
        <w:gridCol w:w="598"/>
        <w:gridCol w:w="1391"/>
        <w:gridCol w:w="897"/>
        <w:gridCol w:w="997"/>
        <w:gridCol w:w="1297"/>
        <w:gridCol w:w="1297"/>
        <w:gridCol w:w="865"/>
        <w:gridCol w:w="759"/>
        <w:gridCol w:w="1186"/>
      </w:tblGrid>
      <w:tr w:rsidR="00C837C9" w:rsidRPr="008C1732" w:rsidTr="0095191D">
        <w:trPr>
          <w:trHeight w:val="487"/>
          <w:jc w:val="center"/>
        </w:trPr>
        <w:tc>
          <w:tcPr>
            <w:tcW w:w="598" w:type="dxa"/>
            <w:shd w:val="clear" w:color="auto" w:fill="C6D9F1" w:themeFill="text2" w:themeFillTint="33"/>
            <w:vAlign w:val="center"/>
          </w:tcPr>
          <w:p w:rsidR="00C837C9" w:rsidRPr="008C1732" w:rsidRDefault="00C837C9" w:rsidP="00816B1A">
            <w:pPr>
              <w:ind w:left="0"/>
              <w:jc w:val="center"/>
              <w:rPr>
                <w:b/>
                <w:sz w:val="18"/>
                <w:szCs w:val="18"/>
              </w:rPr>
            </w:pPr>
            <w:r>
              <w:rPr>
                <w:b/>
                <w:sz w:val="18"/>
                <w:szCs w:val="18"/>
              </w:rPr>
              <w:t>P. č.</w:t>
            </w:r>
          </w:p>
        </w:tc>
        <w:tc>
          <w:tcPr>
            <w:tcW w:w="1391" w:type="dxa"/>
            <w:shd w:val="clear" w:color="auto" w:fill="C6D9F1" w:themeFill="text2" w:themeFillTint="33"/>
            <w:vAlign w:val="center"/>
          </w:tcPr>
          <w:p w:rsidR="00C837C9" w:rsidRPr="008C1732" w:rsidRDefault="00C837C9" w:rsidP="00816B1A">
            <w:pPr>
              <w:ind w:left="0"/>
              <w:jc w:val="center"/>
              <w:rPr>
                <w:b/>
                <w:sz w:val="18"/>
                <w:szCs w:val="18"/>
              </w:rPr>
            </w:pPr>
            <w:r w:rsidRPr="008C1732">
              <w:rPr>
                <w:b/>
                <w:sz w:val="18"/>
                <w:szCs w:val="18"/>
              </w:rPr>
              <w:t>Ukazovateľ</w:t>
            </w:r>
          </w:p>
        </w:tc>
        <w:tc>
          <w:tcPr>
            <w:tcW w:w="897" w:type="dxa"/>
            <w:shd w:val="clear" w:color="auto" w:fill="C6D9F1" w:themeFill="text2" w:themeFillTint="33"/>
            <w:vAlign w:val="center"/>
          </w:tcPr>
          <w:p w:rsidR="00C837C9" w:rsidRPr="008C1732" w:rsidRDefault="00C837C9" w:rsidP="00816B1A">
            <w:pPr>
              <w:ind w:left="0"/>
              <w:jc w:val="center"/>
              <w:rPr>
                <w:b/>
                <w:sz w:val="18"/>
                <w:szCs w:val="18"/>
              </w:rPr>
            </w:pPr>
            <w:r w:rsidRPr="008C1732">
              <w:rPr>
                <w:b/>
                <w:sz w:val="18"/>
                <w:szCs w:val="18"/>
              </w:rPr>
              <w:t>Merná jednotka</w:t>
            </w:r>
          </w:p>
        </w:tc>
        <w:tc>
          <w:tcPr>
            <w:tcW w:w="997" w:type="dxa"/>
            <w:shd w:val="clear" w:color="auto" w:fill="C6D9F1" w:themeFill="text2" w:themeFillTint="33"/>
            <w:vAlign w:val="center"/>
          </w:tcPr>
          <w:p w:rsidR="00C837C9" w:rsidRPr="008C1732" w:rsidRDefault="00C837C9" w:rsidP="00816B1A">
            <w:pPr>
              <w:ind w:left="0"/>
              <w:jc w:val="center"/>
              <w:rPr>
                <w:b/>
                <w:sz w:val="18"/>
                <w:szCs w:val="18"/>
              </w:rPr>
            </w:pPr>
            <w:r w:rsidRPr="008C1732">
              <w:rPr>
                <w:b/>
                <w:sz w:val="18"/>
                <w:szCs w:val="18"/>
              </w:rPr>
              <w:t>Kategória regiónu</w:t>
            </w:r>
          </w:p>
        </w:tc>
        <w:tc>
          <w:tcPr>
            <w:tcW w:w="1297" w:type="dxa"/>
            <w:shd w:val="clear" w:color="auto" w:fill="C6D9F1" w:themeFill="text2" w:themeFillTint="33"/>
            <w:vAlign w:val="center"/>
          </w:tcPr>
          <w:p w:rsidR="00C837C9" w:rsidRPr="008C1732" w:rsidRDefault="00C837C9" w:rsidP="00816B1A">
            <w:pPr>
              <w:ind w:left="0"/>
              <w:jc w:val="center"/>
              <w:rPr>
                <w:b/>
                <w:sz w:val="18"/>
                <w:szCs w:val="18"/>
              </w:rPr>
            </w:pPr>
            <w:r>
              <w:rPr>
                <w:b/>
                <w:sz w:val="18"/>
                <w:szCs w:val="18"/>
              </w:rPr>
              <w:t>Východisková hodnota</w:t>
            </w:r>
          </w:p>
        </w:tc>
        <w:tc>
          <w:tcPr>
            <w:tcW w:w="1297" w:type="dxa"/>
            <w:shd w:val="clear" w:color="auto" w:fill="C6D9F1" w:themeFill="text2" w:themeFillTint="33"/>
            <w:vAlign w:val="center"/>
          </w:tcPr>
          <w:p w:rsidR="00C837C9" w:rsidRPr="008C1732" w:rsidRDefault="00C837C9" w:rsidP="00816B1A">
            <w:pPr>
              <w:ind w:left="0"/>
              <w:jc w:val="center"/>
              <w:rPr>
                <w:b/>
                <w:sz w:val="18"/>
                <w:szCs w:val="18"/>
              </w:rPr>
            </w:pPr>
            <w:r>
              <w:rPr>
                <w:b/>
                <w:sz w:val="18"/>
                <w:szCs w:val="18"/>
              </w:rPr>
              <w:t>Východiskový rok</w:t>
            </w:r>
          </w:p>
        </w:tc>
        <w:tc>
          <w:tcPr>
            <w:tcW w:w="865" w:type="dxa"/>
            <w:shd w:val="clear" w:color="auto" w:fill="C6D9F1" w:themeFill="text2" w:themeFillTint="33"/>
            <w:vAlign w:val="center"/>
          </w:tcPr>
          <w:p w:rsidR="00C837C9" w:rsidRPr="008C1732" w:rsidRDefault="00C837C9" w:rsidP="00816B1A">
            <w:pPr>
              <w:ind w:left="0"/>
              <w:jc w:val="center"/>
              <w:rPr>
                <w:b/>
                <w:sz w:val="18"/>
                <w:szCs w:val="18"/>
              </w:rPr>
            </w:pPr>
            <w:r w:rsidRPr="008C1732">
              <w:rPr>
                <w:b/>
                <w:sz w:val="18"/>
                <w:szCs w:val="18"/>
              </w:rPr>
              <w:t>Cieľová hodnota (2023)</w:t>
            </w:r>
          </w:p>
        </w:tc>
        <w:tc>
          <w:tcPr>
            <w:tcW w:w="759" w:type="dxa"/>
            <w:shd w:val="clear" w:color="auto" w:fill="C6D9F1" w:themeFill="text2" w:themeFillTint="33"/>
            <w:vAlign w:val="center"/>
          </w:tcPr>
          <w:p w:rsidR="00C837C9" w:rsidRPr="008C1732" w:rsidRDefault="00C837C9" w:rsidP="00816B1A">
            <w:pPr>
              <w:ind w:left="0"/>
              <w:jc w:val="center"/>
              <w:rPr>
                <w:b/>
                <w:sz w:val="18"/>
                <w:szCs w:val="18"/>
              </w:rPr>
            </w:pPr>
            <w:r w:rsidRPr="008C1732">
              <w:rPr>
                <w:b/>
                <w:sz w:val="18"/>
                <w:szCs w:val="18"/>
              </w:rPr>
              <w:t>Zdroj údajov</w:t>
            </w:r>
          </w:p>
        </w:tc>
        <w:tc>
          <w:tcPr>
            <w:tcW w:w="1186" w:type="dxa"/>
            <w:shd w:val="clear" w:color="auto" w:fill="C6D9F1" w:themeFill="text2" w:themeFillTint="33"/>
            <w:vAlign w:val="center"/>
          </w:tcPr>
          <w:p w:rsidR="00C837C9" w:rsidRPr="008C1732" w:rsidRDefault="00C837C9" w:rsidP="00816B1A">
            <w:pPr>
              <w:ind w:left="0"/>
              <w:jc w:val="center"/>
              <w:rPr>
                <w:b/>
                <w:sz w:val="18"/>
                <w:szCs w:val="18"/>
              </w:rPr>
            </w:pPr>
            <w:r w:rsidRPr="008C1732">
              <w:rPr>
                <w:b/>
                <w:sz w:val="18"/>
                <w:szCs w:val="18"/>
              </w:rPr>
              <w:t>Frekvencia vykazovania</w:t>
            </w:r>
          </w:p>
        </w:tc>
      </w:tr>
      <w:tr w:rsidR="00C837C9" w:rsidRPr="00DA54A1" w:rsidTr="0095191D">
        <w:trPr>
          <w:trHeight w:val="680"/>
          <w:jc w:val="center"/>
        </w:trPr>
        <w:tc>
          <w:tcPr>
            <w:tcW w:w="598" w:type="dxa"/>
            <w:shd w:val="clear" w:color="auto" w:fill="auto"/>
            <w:vAlign w:val="center"/>
          </w:tcPr>
          <w:p w:rsidR="00C837C9" w:rsidRPr="00336C1F" w:rsidRDefault="00C837C9" w:rsidP="00816B1A">
            <w:pPr>
              <w:ind w:left="0"/>
              <w:jc w:val="center"/>
              <w:rPr>
                <w:sz w:val="20"/>
                <w:szCs w:val="20"/>
              </w:rPr>
            </w:pPr>
            <w:r>
              <w:rPr>
                <w:sz w:val="20"/>
                <w:szCs w:val="20"/>
              </w:rPr>
              <w:t>1.</w:t>
            </w:r>
          </w:p>
        </w:tc>
        <w:tc>
          <w:tcPr>
            <w:tcW w:w="1391" w:type="dxa"/>
            <w:shd w:val="clear" w:color="auto" w:fill="auto"/>
            <w:vAlign w:val="center"/>
          </w:tcPr>
          <w:p w:rsidR="00C837C9" w:rsidRPr="00AB18C1" w:rsidRDefault="00225C2F" w:rsidP="00225C2F">
            <w:pPr>
              <w:ind w:left="0"/>
              <w:rPr>
                <w:sz w:val="20"/>
                <w:szCs w:val="20"/>
              </w:rPr>
            </w:pPr>
            <w:r>
              <w:rPr>
                <w:sz w:val="20"/>
                <w:szCs w:val="20"/>
              </w:rPr>
              <w:t>Počet</w:t>
            </w:r>
            <w:r w:rsidR="00C837C9" w:rsidRPr="00854EA5">
              <w:rPr>
                <w:sz w:val="20"/>
                <w:szCs w:val="20"/>
              </w:rPr>
              <w:t xml:space="preserve"> cestujúcich</w:t>
            </w:r>
            <w:r>
              <w:rPr>
                <w:sz w:val="20"/>
                <w:szCs w:val="20"/>
              </w:rPr>
              <w:t xml:space="preserve"> </w:t>
            </w:r>
            <w:r w:rsidRPr="00854EA5">
              <w:rPr>
                <w:sz w:val="20"/>
                <w:szCs w:val="20"/>
              </w:rPr>
              <w:t>prepravených</w:t>
            </w:r>
            <w:r>
              <w:rPr>
                <w:sz w:val="20"/>
                <w:szCs w:val="20"/>
              </w:rPr>
              <w:t xml:space="preserve"> dráhovou MHD v </w:t>
            </w:r>
            <w:r w:rsidR="00C837C9" w:rsidRPr="00854EA5">
              <w:rPr>
                <w:sz w:val="20"/>
                <w:szCs w:val="20"/>
              </w:rPr>
              <w:t>mestách</w:t>
            </w:r>
            <w:r>
              <w:rPr>
                <w:sz w:val="20"/>
                <w:szCs w:val="20"/>
              </w:rPr>
              <w:t xml:space="preserve"> Bratislava, Košice, Žilina</w:t>
            </w:r>
            <w:r w:rsidR="007B50AC">
              <w:rPr>
                <w:sz w:val="20"/>
                <w:szCs w:val="20"/>
              </w:rPr>
              <w:t>,</w:t>
            </w:r>
            <w:r>
              <w:rPr>
                <w:sz w:val="20"/>
                <w:szCs w:val="20"/>
              </w:rPr>
              <w:t xml:space="preserve"> </w:t>
            </w:r>
            <w:r w:rsidR="007B50AC">
              <w:rPr>
                <w:sz w:val="20"/>
                <w:szCs w:val="20"/>
              </w:rPr>
              <w:t> </w:t>
            </w:r>
            <w:r>
              <w:rPr>
                <w:sz w:val="20"/>
                <w:szCs w:val="20"/>
              </w:rPr>
              <w:t>Prešov</w:t>
            </w:r>
            <w:r w:rsidR="007B50AC">
              <w:rPr>
                <w:sz w:val="20"/>
                <w:szCs w:val="20"/>
              </w:rPr>
              <w:t xml:space="preserve"> a Banská Bystrica</w:t>
            </w:r>
          </w:p>
        </w:tc>
        <w:tc>
          <w:tcPr>
            <w:tcW w:w="897" w:type="dxa"/>
            <w:shd w:val="clear" w:color="auto" w:fill="auto"/>
            <w:vAlign w:val="center"/>
          </w:tcPr>
          <w:p w:rsidR="00C837C9" w:rsidRPr="00DA54A1" w:rsidRDefault="00034834" w:rsidP="00816B1A">
            <w:pPr>
              <w:ind w:left="0"/>
              <w:jc w:val="center"/>
              <w:rPr>
                <w:i/>
                <w:sz w:val="20"/>
                <w:szCs w:val="20"/>
              </w:rPr>
            </w:pPr>
            <w:r>
              <w:rPr>
                <w:i/>
                <w:sz w:val="20"/>
                <w:szCs w:val="20"/>
              </w:rPr>
              <w:t>počet</w:t>
            </w:r>
          </w:p>
        </w:tc>
        <w:tc>
          <w:tcPr>
            <w:tcW w:w="997" w:type="dxa"/>
            <w:shd w:val="clear" w:color="auto" w:fill="auto"/>
            <w:vAlign w:val="center"/>
          </w:tcPr>
          <w:p w:rsidR="00C837C9" w:rsidRPr="00DA54A1" w:rsidRDefault="00C837C9" w:rsidP="00816B1A">
            <w:pPr>
              <w:ind w:left="0"/>
              <w:jc w:val="center"/>
              <w:rPr>
                <w:i/>
                <w:sz w:val="20"/>
                <w:szCs w:val="20"/>
              </w:rPr>
            </w:pPr>
            <w:r w:rsidRPr="00DA54A1">
              <w:rPr>
                <w:i/>
                <w:sz w:val="20"/>
                <w:szCs w:val="20"/>
              </w:rPr>
              <w:t>N/A</w:t>
            </w:r>
          </w:p>
        </w:tc>
        <w:tc>
          <w:tcPr>
            <w:tcW w:w="1297" w:type="dxa"/>
            <w:vAlign w:val="center"/>
          </w:tcPr>
          <w:p w:rsidR="00C837C9" w:rsidRPr="00DA54A1" w:rsidRDefault="00C837C9" w:rsidP="00816B1A">
            <w:pPr>
              <w:ind w:left="0"/>
              <w:jc w:val="center"/>
              <w:rPr>
                <w:i/>
                <w:sz w:val="20"/>
                <w:szCs w:val="20"/>
              </w:rPr>
            </w:pPr>
          </w:p>
        </w:tc>
        <w:tc>
          <w:tcPr>
            <w:tcW w:w="1297" w:type="dxa"/>
            <w:vAlign w:val="center"/>
          </w:tcPr>
          <w:p w:rsidR="00C837C9" w:rsidRPr="00DA54A1" w:rsidRDefault="00C837C9" w:rsidP="00816B1A">
            <w:pPr>
              <w:ind w:left="0"/>
              <w:jc w:val="center"/>
              <w:rPr>
                <w:i/>
                <w:sz w:val="20"/>
                <w:szCs w:val="20"/>
              </w:rPr>
            </w:pPr>
            <w:r w:rsidRPr="00DA54A1">
              <w:rPr>
                <w:i/>
                <w:sz w:val="20"/>
                <w:szCs w:val="20"/>
              </w:rPr>
              <w:t>2013</w:t>
            </w:r>
          </w:p>
        </w:tc>
        <w:tc>
          <w:tcPr>
            <w:tcW w:w="865" w:type="dxa"/>
            <w:shd w:val="clear" w:color="auto" w:fill="auto"/>
            <w:vAlign w:val="center"/>
          </w:tcPr>
          <w:p w:rsidR="00C837C9" w:rsidRPr="00DA54A1" w:rsidRDefault="00C837C9" w:rsidP="00816B1A">
            <w:pPr>
              <w:ind w:left="0"/>
              <w:jc w:val="center"/>
              <w:rPr>
                <w:i/>
                <w:sz w:val="20"/>
                <w:szCs w:val="20"/>
              </w:rPr>
            </w:pPr>
          </w:p>
        </w:tc>
        <w:tc>
          <w:tcPr>
            <w:tcW w:w="759" w:type="dxa"/>
            <w:vAlign w:val="center"/>
          </w:tcPr>
          <w:p w:rsidR="00C837C9" w:rsidRPr="00DA54A1" w:rsidRDefault="00C837C9" w:rsidP="00816B1A">
            <w:pPr>
              <w:ind w:left="0"/>
              <w:jc w:val="center"/>
              <w:rPr>
                <w:i/>
                <w:sz w:val="20"/>
                <w:szCs w:val="20"/>
              </w:rPr>
            </w:pPr>
            <w:r w:rsidRPr="00DA54A1">
              <w:rPr>
                <w:i/>
                <w:sz w:val="20"/>
                <w:szCs w:val="20"/>
              </w:rPr>
              <w:t>RO OPII</w:t>
            </w:r>
          </w:p>
        </w:tc>
        <w:tc>
          <w:tcPr>
            <w:tcW w:w="1186" w:type="dxa"/>
            <w:vAlign w:val="center"/>
          </w:tcPr>
          <w:p w:rsidR="00C837C9" w:rsidRPr="00DA54A1" w:rsidRDefault="00C837C9" w:rsidP="00816B1A">
            <w:pPr>
              <w:ind w:left="0"/>
              <w:jc w:val="center"/>
              <w:rPr>
                <w:i/>
                <w:sz w:val="20"/>
                <w:szCs w:val="20"/>
              </w:rPr>
            </w:pPr>
            <w:r w:rsidRPr="00DA54A1">
              <w:rPr>
                <w:i/>
                <w:sz w:val="20"/>
                <w:szCs w:val="20"/>
              </w:rPr>
              <w:t>Ročne</w:t>
            </w:r>
          </w:p>
        </w:tc>
      </w:tr>
      <w:tr w:rsidR="00C837C9" w:rsidRPr="00DA54A1" w:rsidTr="0095191D">
        <w:trPr>
          <w:trHeight w:val="680"/>
          <w:jc w:val="center"/>
        </w:trPr>
        <w:tc>
          <w:tcPr>
            <w:tcW w:w="598" w:type="dxa"/>
            <w:shd w:val="clear" w:color="auto" w:fill="auto"/>
            <w:vAlign w:val="center"/>
          </w:tcPr>
          <w:p w:rsidR="00C837C9" w:rsidRPr="00336C1F" w:rsidRDefault="00C837C9" w:rsidP="00816B1A">
            <w:pPr>
              <w:ind w:left="0"/>
              <w:jc w:val="center"/>
              <w:rPr>
                <w:sz w:val="20"/>
                <w:szCs w:val="20"/>
              </w:rPr>
            </w:pPr>
            <w:r>
              <w:rPr>
                <w:sz w:val="20"/>
                <w:szCs w:val="20"/>
              </w:rPr>
              <w:t>2.</w:t>
            </w:r>
          </w:p>
        </w:tc>
        <w:tc>
          <w:tcPr>
            <w:tcW w:w="1391" w:type="dxa"/>
            <w:shd w:val="clear" w:color="auto" w:fill="auto"/>
            <w:vAlign w:val="center"/>
          </w:tcPr>
          <w:p w:rsidR="00C837C9" w:rsidRPr="00854EA5" w:rsidRDefault="00225C2F" w:rsidP="00225C2F">
            <w:pPr>
              <w:ind w:left="0"/>
              <w:rPr>
                <w:sz w:val="20"/>
                <w:szCs w:val="20"/>
              </w:rPr>
            </w:pPr>
            <w:r>
              <w:rPr>
                <w:sz w:val="20"/>
                <w:szCs w:val="20"/>
              </w:rPr>
              <w:t>Podiel</w:t>
            </w:r>
            <w:r w:rsidR="00C837C9" w:rsidRPr="00854EA5">
              <w:rPr>
                <w:sz w:val="20"/>
                <w:szCs w:val="20"/>
              </w:rPr>
              <w:t xml:space="preserve"> nízkopodlažných vozidiel dráhovej MHD na celkovom počte dráhových vozidiel, vhodných aj</w:t>
            </w:r>
            <w:r w:rsidR="007B50AC">
              <w:rPr>
                <w:sz w:val="20"/>
                <w:szCs w:val="20"/>
              </w:rPr>
              <w:t xml:space="preserve"> pre</w:t>
            </w:r>
            <w:r w:rsidR="00C837C9" w:rsidRPr="00854EA5">
              <w:rPr>
                <w:sz w:val="20"/>
                <w:szCs w:val="20"/>
              </w:rPr>
              <w:t xml:space="preserve"> </w:t>
            </w:r>
            <w:r>
              <w:rPr>
                <w:sz w:val="20"/>
                <w:szCs w:val="20"/>
              </w:rPr>
              <w:t>c</w:t>
            </w:r>
            <w:r w:rsidR="00C837C9" w:rsidRPr="00854EA5">
              <w:rPr>
                <w:sz w:val="20"/>
                <w:szCs w:val="20"/>
              </w:rPr>
              <w:t>estujúcich</w:t>
            </w:r>
            <w:r>
              <w:rPr>
                <w:sz w:val="20"/>
                <w:szCs w:val="20"/>
              </w:rPr>
              <w:t xml:space="preserve"> s obmedzenou mobilitou</w:t>
            </w:r>
          </w:p>
        </w:tc>
        <w:tc>
          <w:tcPr>
            <w:tcW w:w="897" w:type="dxa"/>
            <w:shd w:val="clear" w:color="auto" w:fill="auto"/>
            <w:vAlign w:val="center"/>
          </w:tcPr>
          <w:p w:rsidR="00C837C9" w:rsidRPr="00DA54A1" w:rsidRDefault="00C837C9" w:rsidP="00C837C9">
            <w:pPr>
              <w:ind w:left="0"/>
              <w:jc w:val="center"/>
              <w:rPr>
                <w:i/>
                <w:sz w:val="20"/>
                <w:szCs w:val="20"/>
              </w:rPr>
            </w:pPr>
            <w:r>
              <w:rPr>
                <w:i/>
                <w:sz w:val="20"/>
                <w:szCs w:val="20"/>
              </w:rPr>
              <w:t>%</w:t>
            </w:r>
          </w:p>
        </w:tc>
        <w:tc>
          <w:tcPr>
            <w:tcW w:w="997" w:type="dxa"/>
            <w:shd w:val="clear" w:color="auto" w:fill="auto"/>
            <w:vAlign w:val="center"/>
          </w:tcPr>
          <w:p w:rsidR="00C837C9" w:rsidRPr="00DA54A1" w:rsidRDefault="00C837C9" w:rsidP="00816B1A">
            <w:pPr>
              <w:ind w:left="0"/>
              <w:jc w:val="center"/>
              <w:rPr>
                <w:i/>
                <w:sz w:val="20"/>
                <w:szCs w:val="20"/>
              </w:rPr>
            </w:pPr>
            <w:r w:rsidRPr="00DA54A1">
              <w:rPr>
                <w:i/>
                <w:sz w:val="20"/>
                <w:szCs w:val="20"/>
              </w:rPr>
              <w:t>N/A</w:t>
            </w:r>
          </w:p>
        </w:tc>
        <w:tc>
          <w:tcPr>
            <w:tcW w:w="1297" w:type="dxa"/>
            <w:vAlign w:val="center"/>
          </w:tcPr>
          <w:p w:rsidR="00C837C9" w:rsidRPr="00DA54A1" w:rsidRDefault="00C837C9" w:rsidP="00816B1A">
            <w:pPr>
              <w:ind w:left="0"/>
              <w:jc w:val="center"/>
              <w:rPr>
                <w:i/>
                <w:sz w:val="20"/>
                <w:szCs w:val="20"/>
              </w:rPr>
            </w:pPr>
          </w:p>
        </w:tc>
        <w:tc>
          <w:tcPr>
            <w:tcW w:w="1297" w:type="dxa"/>
            <w:vAlign w:val="center"/>
          </w:tcPr>
          <w:p w:rsidR="00C837C9" w:rsidRPr="00DA54A1" w:rsidRDefault="00C837C9" w:rsidP="00816B1A">
            <w:pPr>
              <w:ind w:left="0"/>
              <w:jc w:val="center"/>
              <w:rPr>
                <w:i/>
                <w:sz w:val="20"/>
                <w:szCs w:val="20"/>
              </w:rPr>
            </w:pPr>
            <w:r w:rsidRPr="00DA54A1">
              <w:rPr>
                <w:i/>
                <w:sz w:val="20"/>
                <w:szCs w:val="20"/>
              </w:rPr>
              <w:t>2013</w:t>
            </w:r>
          </w:p>
        </w:tc>
        <w:tc>
          <w:tcPr>
            <w:tcW w:w="865" w:type="dxa"/>
            <w:shd w:val="clear" w:color="auto" w:fill="auto"/>
            <w:vAlign w:val="center"/>
          </w:tcPr>
          <w:p w:rsidR="00C837C9" w:rsidRPr="00DA54A1" w:rsidRDefault="00C837C9" w:rsidP="00816B1A">
            <w:pPr>
              <w:ind w:left="0"/>
              <w:jc w:val="center"/>
              <w:rPr>
                <w:i/>
                <w:sz w:val="20"/>
                <w:szCs w:val="20"/>
              </w:rPr>
            </w:pPr>
          </w:p>
        </w:tc>
        <w:tc>
          <w:tcPr>
            <w:tcW w:w="759" w:type="dxa"/>
            <w:vAlign w:val="center"/>
          </w:tcPr>
          <w:p w:rsidR="00C837C9" w:rsidRPr="00DA54A1" w:rsidRDefault="00C837C9" w:rsidP="00816B1A">
            <w:pPr>
              <w:ind w:left="0"/>
              <w:jc w:val="center"/>
              <w:rPr>
                <w:i/>
                <w:sz w:val="20"/>
                <w:szCs w:val="20"/>
              </w:rPr>
            </w:pPr>
            <w:r w:rsidRPr="00DA54A1">
              <w:rPr>
                <w:i/>
                <w:sz w:val="20"/>
                <w:szCs w:val="20"/>
              </w:rPr>
              <w:t>RO OPII</w:t>
            </w:r>
          </w:p>
        </w:tc>
        <w:tc>
          <w:tcPr>
            <w:tcW w:w="1186" w:type="dxa"/>
            <w:vAlign w:val="center"/>
          </w:tcPr>
          <w:p w:rsidR="00C837C9" w:rsidRPr="00DA54A1" w:rsidRDefault="00C837C9" w:rsidP="00816B1A">
            <w:pPr>
              <w:ind w:left="0"/>
              <w:jc w:val="center"/>
              <w:rPr>
                <w:i/>
                <w:sz w:val="20"/>
                <w:szCs w:val="20"/>
              </w:rPr>
            </w:pPr>
            <w:r w:rsidRPr="00DA54A1">
              <w:rPr>
                <w:i/>
                <w:sz w:val="20"/>
                <w:szCs w:val="20"/>
              </w:rPr>
              <w:t>Ročne</w:t>
            </w:r>
          </w:p>
        </w:tc>
      </w:tr>
    </w:tbl>
    <w:p w:rsidR="00C837C9" w:rsidRPr="007746D2" w:rsidRDefault="00395D81" w:rsidP="007746D2">
      <w:pPr>
        <w:rPr>
          <w:sz w:val="20"/>
          <w:szCs w:val="20"/>
        </w:rPr>
      </w:pPr>
      <w:r w:rsidRPr="007746D2">
        <w:rPr>
          <w:sz w:val="20"/>
          <w:szCs w:val="20"/>
          <w:u w:val="single"/>
        </w:rPr>
        <w:t>Pozn</w:t>
      </w:r>
      <w:r w:rsidRPr="007746D2">
        <w:rPr>
          <w:sz w:val="20"/>
          <w:szCs w:val="20"/>
        </w:rPr>
        <w:t xml:space="preserve">.: Hodnoty ukazovateľov budú doplnené v ďalšom štádiu prípravy dokumentu. </w:t>
      </w:r>
    </w:p>
    <w:p w:rsidR="00266DA8" w:rsidRDefault="004A5562" w:rsidP="00997578">
      <w:pPr>
        <w:pStyle w:val="Nadpis3"/>
      </w:pPr>
      <w:bookmarkStart w:id="37" w:name="_Toc385310696"/>
      <w:r>
        <w:t>A</w:t>
      </w:r>
      <w:r w:rsidR="00266DA8">
        <w:t>ktivity</w:t>
      </w:r>
      <w:r>
        <w:t>, ktoré budú podporené v rámci investičnej priority</w:t>
      </w:r>
      <w:bookmarkEnd w:id="37"/>
    </w:p>
    <w:p w:rsidR="00997578" w:rsidRPr="00997578" w:rsidRDefault="000001AA" w:rsidP="00997578">
      <w:pPr>
        <w:pStyle w:val="Nadpis4"/>
      </w:pPr>
      <w:r>
        <w:t>Opis typu a príklady aktivít</w:t>
      </w:r>
    </w:p>
    <w:p w:rsidR="00266DA8" w:rsidRPr="00336C1F" w:rsidRDefault="00997578" w:rsidP="00266DA8">
      <w:pPr>
        <w:spacing w:before="180" w:after="120"/>
        <w:rPr>
          <w:sz w:val="22"/>
          <w:szCs w:val="22"/>
        </w:rPr>
      </w:pPr>
      <w:r>
        <w:rPr>
          <w:sz w:val="22"/>
          <w:szCs w:val="22"/>
          <w:u w:val="single"/>
        </w:rPr>
        <w:t>Investičná priorita 7c)</w:t>
      </w:r>
      <w:r w:rsidR="00266DA8" w:rsidRPr="00D1658B">
        <w:rPr>
          <w:sz w:val="22"/>
          <w:szCs w:val="22"/>
          <w:u w:val="single"/>
        </w:rPr>
        <w:t xml:space="preserve"> bude napĺňan</w:t>
      </w:r>
      <w:r>
        <w:rPr>
          <w:sz w:val="22"/>
          <w:szCs w:val="22"/>
          <w:u w:val="single"/>
        </w:rPr>
        <w:t>á</w:t>
      </w:r>
      <w:r w:rsidR="00266DA8" w:rsidRPr="00D1658B">
        <w:rPr>
          <w:sz w:val="22"/>
          <w:szCs w:val="22"/>
          <w:u w:val="single"/>
        </w:rPr>
        <w:t xml:space="preserve"> prostredníctvom nasledujúcich aktivít</w:t>
      </w:r>
      <w:r w:rsidR="00266DA8" w:rsidRPr="00336C1F">
        <w:rPr>
          <w:sz w:val="22"/>
          <w:szCs w:val="22"/>
        </w:rPr>
        <w:t>:</w:t>
      </w:r>
    </w:p>
    <w:p w:rsidR="00854EA5" w:rsidRDefault="00854EA5" w:rsidP="00FE6025">
      <w:pPr>
        <w:numPr>
          <w:ilvl w:val="2"/>
          <w:numId w:val="38"/>
        </w:numPr>
        <w:tabs>
          <w:tab w:val="clear" w:pos="360"/>
        </w:tabs>
        <w:ind w:left="426" w:hanging="426"/>
        <w:jc w:val="both"/>
        <w:rPr>
          <w:sz w:val="22"/>
          <w:szCs w:val="22"/>
        </w:rPr>
      </w:pPr>
      <w:r w:rsidRPr="00854EA5">
        <w:rPr>
          <w:sz w:val="22"/>
          <w:szCs w:val="22"/>
        </w:rPr>
        <w:t>M</w:t>
      </w:r>
      <w:r w:rsidR="003D4780" w:rsidRPr="00854EA5">
        <w:rPr>
          <w:sz w:val="22"/>
          <w:szCs w:val="22"/>
        </w:rPr>
        <w:t xml:space="preserve">odernizácia a výstavba električkových </w:t>
      </w:r>
      <w:r w:rsidRPr="00854EA5">
        <w:rPr>
          <w:sz w:val="22"/>
          <w:szCs w:val="22"/>
        </w:rPr>
        <w:t xml:space="preserve">a trolejbusových </w:t>
      </w:r>
      <w:r w:rsidR="003D4780" w:rsidRPr="00854EA5">
        <w:rPr>
          <w:sz w:val="22"/>
          <w:szCs w:val="22"/>
        </w:rPr>
        <w:t xml:space="preserve">tratí </w:t>
      </w:r>
      <w:r w:rsidRPr="00854EA5">
        <w:rPr>
          <w:sz w:val="22"/>
          <w:szCs w:val="22"/>
        </w:rPr>
        <w:t xml:space="preserve">vrátane </w:t>
      </w:r>
      <w:r w:rsidR="003D4780" w:rsidRPr="00854EA5">
        <w:rPr>
          <w:sz w:val="22"/>
          <w:szCs w:val="22"/>
        </w:rPr>
        <w:t xml:space="preserve">prvkov preferencie MHD a napojenia na ostatné druhy MHD a nemotorovú dopravu, </w:t>
      </w:r>
    </w:p>
    <w:p w:rsidR="00997578" w:rsidRDefault="003D4780" w:rsidP="00FE6025">
      <w:pPr>
        <w:numPr>
          <w:ilvl w:val="2"/>
          <w:numId w:val="38"/>
        </w:numPr>
        <w:tabs>
          <w:tab w:val="clear" w:pos="360"/>
        </w:tabs>
        <w:ind w:left="426" w:hanging="426"/>
        <w:jc w:val="both"/>
        <w:rPr>
          <w:sz w:val="22"/>
          <w:szCs w:val="22"/>
        </w:rPr>
      </w:pPr>
      <w:r w:rsidRPr="00854EA5">
        <w:rPr>
          <w:sz w:val="22"/>
          <w:szCs w:val="22"/>
        </w:rPr>
        <w:t>Obstaranie mobilných prostriedkov dráhovej MHD (električiek a trolejbusov (vrátane vozidiel s pomocným pohonom))</w:t>
      </w:r>
      <w:r w:rsidR="006E5486">
        <w:rPr>
          <w:sz w:val="22"/>
          <w:szCs w:val="22"/>
        </w:rPr>
        <w:t>,</w:t>
      </w:r>
    </w:p>
    <w:p w:rsidR="006E5486" w:rsidRPr="006E5486" w:rsidRDefault="006E5486" w:rsidP="006E5486">
      <w:pPr>
        <w:numPr>
          <w:ilvl w:val="2"/>
          <w:numId w:val="38"/>
        </w:numPr>
        <w:tabs>
          <w:tab w:val="clear" w:pos="360"/>
        </w:tabs>
        <w:ind w:left="426" w:hanging="426"/>
        <w:jc w:val="both"/>
        <w:rPr>
          <w:sz w:val="22"/>
          <w:szCs w:val="22"/>
        </w:rPr>
      </w:pPr>
      <w:r w:rsidRPr="00B42F79">
        <w:rPr>
          <w:sz w:val="22"/>
          <w:szCs w:val="22"/>
        </w:rPr>
        <w:t>Výstavba a moder</w:t>
      </w:r>
      <w:r>
        <w:rPr>
          <w:sz w:val="22"/>
          <w:szCs w:val="22"/>
        </w:rPr>
        <w:t>nizácia infraštruktúry pre IDS (modernizácia a výstavba prestupných terminálov so zásahom do železničnej infraštruktúry),</w:t>
      </w:r>
    </w:p>
    <w:p w:rsidR="00EF0B0D" w:rsidRDefault="003D4780" w:rsidP="00EF0B0D">
      <w:pPr>
        <w:numPr>
          <w:ilvl w:val="2"/>
          <w:numId w:val="38"/>
        </w:numPr>
        <w:tabs>
          <w:tab w:val="clear" w:pos="360"/>
        </w:tabs>
        <w:ind w:left="426" w:hanging="426"/>
        <w:jc w:val="both"/>
        <w:rPr>
          <w:sz w:val="22"/>
          <w:szCs w:val="22"/>
        </w:rPr>
      </w:pPr>
      <w:r w:rsidRPr="00B42F79">
        <w:rPr>
          <w:sz w:val="22"/>
          <w:szCs w:val="22"/>
        </w:rPr>
        <w:t>Vybudovanie a modernizácia technickej základne na opravu a údržbu vozidlového parku dráhovej MHD,</w:t>
      </w:r>
    </w:p>
    <w:p w:rsidR="00266DA8" w:rsidRPr="00EF0B0D" w:rsidRDefault="003D4780" w:rsidP="00EF0B0D">
      <w:pPr>
        <w:numPr>
          <w:ilvl w:val="2"/>
          <w:numId w:val="38"/>
        </w:numPr>
        <w:tabs>
          <w:tab w:val="clear" w:pos="360"/>
        </w:tabs>
        <w:ind w:left="426" w:hanging="426"/>
        <w:jc w:val="both"/>
        <w:rPr>
          <w:sz w:val="22"/>
          <w:szCs w:val="22"/>
        </w:rPr>
      </w:pPr>
      <w:r w:rsidRPr="00EF0B0D">
        <w:rPr>
          <w:sz w:val="22"/>
          <w:szCs w:val="22"/>
        </w:rPr>
        <w:t>Projektová príprava.</w:t>
      </w:r>
    </w:p>
    <w:p w:rsidR="00AE2A87" w:rsidRDefault="00AE2A87" w:rsidP="00AE2A87">
      <w:pPr>
        <w:jc w:val="both"/>
        <w:rPr>
          <w:sz w:val="22"/>
          <w:szCs w:val="22"/>
        </w:rPr>
      </w:pPr>
    </w:p>
    <w:p w:rsidR="00AE2A87" w:rsidRDefault="00AE2A87" w:rsidP="00AE2A87">
      <w:pPr>
        <w:jc w:val="both"/>
        <w:rPr>
          <w:sz w:val="22"/>
          <w:szCs w:val="22"/>
        </w:rPr>
      </w:pPr>
    </w:p>
    <w:p w:rsidR="00AE2A87" w:rsidRPr="0095191D" w:rsidRDefault="00AE2A87" w:rsidP="00AE2A87">
      <w:pPr>
        <w:jc w:val="both"/>
        <w:rPr>
          <w:sz w:val="22"/>
          <w:szCs w:val="22"/>
        </w:rPr>
      </w:pPr>
    </w:p>
    <w:p w:rsidR="00B548A5" w:rsidRPr="00B548A5" w:rsidRDefault="00B548A5" w:rsidP="00B548A5">
      <w:pPr>
        <w:numPr>
          <w:ilvl w:val="2"/>
          <w:numId w:val="39"/>
        </w:numPr>
        <w:tabs>
          <w:tab w:val="clear" w:pos="360"/>
        </w:tabs>
        <w:spacing w:before="180" w:after="120"/>
        <w:ind w:left="851" w:hanging="425"/>
        <w:jc w:val="both"/>
        <w:rPr>
          <w:b/>
          <w:i/>
          <w:color w:val="4F81BD" w:themeColor="accent1"/>
          <w:sz w:val="22"/>
          <w:szCs w:val="22"/>
        </w:rPr>
      </w:pPr>
      <w:r w:rsidRPr="00AF56C3">
        <w:rPr>
          <w:b/>
          <w:i/>
          <w:color w:val="4F81BD" w:themeColor="accent1"/>
          <w:sz w:val="22"/>
          <w:szCs w:val="22"/>
        </w:rPr>
        <w:lastRenderedPageBreak/>
        <w:t>Modernizácia a výstavba električkových a trolejbusových tratí vrátane prvkov preferencie MHD a napojenia na ostatné druhy MHD a nemotorov</w:t>
      </w:r>
      <w:r>
        <w:rPr>
          <w:b/>
          <w:i/>
          <w:color w:val="4F81BD" w:themeColor="accent1"/>
          <w:sz w:val="22"/>
          <w:szCs w:val="22"/>
        </w:rPr>
        <w:t>ú dopravu.</w:t>
      </w:r>
      <w:r w:rsidRPr="00AF56C3">
        <w:rPr>
          <w:b/>
          <w:i/>
          <w:color w:val="4F81BD" w:themeColor="accent1"/>
          <w:sz w:val="22"/>
          <w:szCs w:val="22"/>
        </w:rPr>
        <w:t xml:space="preserve"> </w:t>
      </w:r>
    </w:p>
    <w:p w:rsidR="006272CE" w:rsidRPr="005348B9" w:rsidRDefault="006272CE" w:rsidP="006272CE">
      <w:pPr>
        <w:autoSpaceDE w:val="0"/>
        <w:autoSpaceDN w:val="0"/>
        <w:adjustRightInd w:val="0"/>
        <w:spacing w:before="180"/>
        <w:jc w:val="both"/>
        <w:rPr>
          <w:sz w:val="22"/>
          <w:szCs w:val="22"/>
        </w:rPr>
      </w:pPr>
      <w:r w:rsidRPr="00743F53">
        <w:rPr>
          <w:sz w:val="22"/>
          <w:szCs w:val="22"/>
        </w:rPr>
        <w:t>V</w:t>
      </w:r>
      <w:r>
        <w:rPr>
          <w:sz w:val="22"/>
          <w:szCs w:val="22"/>
        </w:rPr>
        <w:t> súvislosti s neustále</w:t>
      </w:r>
      <w:r w:rsidRPr="00743F53">
        <w:rPr>
          <w:sz w:val="22"/>
          <w:szCs w:val="22"/>
        </w:rPr>
        <w:t xml:space="preserve"> </w:t>
      </w:r>
      <w:r>
        <w:rPr>
          <w:sz w:val="22"/>
          <w:szCs w:val="22"/>
        </w:rPr>
        <w:t xml:space="preserve">sa </w:t>
      </w:r>
      <w:r w:rsidRPr="00743F53">
        <w:rPr>
          <w:sz w:val="22"/>
          <w:szCs w:val="22"/>
        </w:rPr>
        <w:t>zvyšujúcimi prepravnými nárokmi obyvateľstva a</w:t>
      </w:r>
      <w:r>
        <w:rPr>
          <w:sz w:val="22"/>
          <w:szCs w:val="22"/>
        </w:rPr>
        <w:t> </w:t>
      </w:r>
      <w:r w:rsidRPr="00743F53">
        <w:rPr>
          <w:sz w:val="22"/>
          <w:szCs w:val="22"/>
        </w:rPr>
        <w:t xml:space="preserve">rastom individuálnej automobilovej dopravy je nevyhnutné vykonávať zásadné </w:t>
      </w:r>
      <w:r>
        <w:rPr>
          <w:sz w:val="22"/>
          <w:szCs w:val="22"/>
        </w:rPr>
        <w:t xml:space="preserve">systémové </w:t>
      </w:r>
      <w:r w:rsidRPr="00743F53">
        <w:rPr>
          <w:sz w:val="22"/>
          <w:szCs w:val="22"/>
        </w:rPr>
        <w:t>opatrenia na podporu rozvo</w:t>
      </w:r>
      <w:r>
        <w:rPr>
          <w:sz w:val="22"/>
          <w:szCs w:val="22"/>
        </w:rPr>
        <w:t>ja ekologických druhov dopravy.</w:t>
      </w:r>
      <w:r w:rsidRPr="00E92FE1">
        <w:rPr>
          <w:color w:val="FF0000"/>
          <w:sz w:val="22"/>
          <w:szCs w:val="22"/>
        </w:rPr>
        <w:t xml:space="preserve"> </w:t>
      </w:r>
      <w:r w:rsidRPr="005348B9">
        <w:rPr>
          <w:sz w:val="22"/>
          <w:szCs w:val="22"/>
        </w:rPr>
        <w:t>Veľké aglomerácie najv</w:t>
      </w:r>
      <w:r w:rsidR="00A95966">
        <w:rPr>
          <w:sz w:val="22"/>
          <w:szCs w:val="22"/>
        </w:rPr>
        <w:t>iac trpia preťaženosťou dopravy a</w:t>
      </w:r>
      <w:r w:rsidRPr="005348B9">
        <w:rPr>
          <w:sz w:val="22"/>
          <w:szCs w:val="22"/>
        </w:rPr>
        <w:t xml:space="preserve"> zlou kvalitou ovzdušia a</w:t>
      </w:r>
      <w:r w:rsidR="00A95966">
        <w:rPr>
          <w:sz w:val="22"/>
          <w:szCs w:val="22"/>
        </w:rPr>
        <w:t> sú vystavované nadmerným hladinám hluku a vibráciám.</w:t>
      </w:r>
    </w:p>
    <w:p w:rsidR="006272CE" w:rsidRDefault="006272CE" w:rsidP="006272CE">
      <w:pPr>
        <w:autoSpaceDE w:val="0"/>
        <w:autoSpaceDN w:val="0"/>
        <w:adjustRightInd w:val="0"/>
        <w:spacing w:before="180"/>
        <w:jc w:val="both"/>
        <w:rPr>
          <w:sz w:val="22"/>
          <w:szCs w:val="22"/>
        </w:rPr>
      </w:pPr>
      <w:r w:rsidRPr="00DE1E25">
        <w:rPr>
          <w:sz w:val="22"/>
          <w:szCs w:val="22"/>
        </w:rPr>
        <w:t xml:space="preserve">Súčasný trend </w:t>
      </w:r>
      <w:r>
        <w:rPr>
          <w:sz w:val="22"/>
          <w:szCs w:val="22"/>
        </w:rPr>
        <w:t xml:space="preserve">vývoja </w:t>
      </w:r>
      <w:r w:rsidRPr="00DE1E25">
        <w:rPr>
          <w:sz w:val="22"/>
          <w:szCs w:val="22"/>
        </w:rPr>
        <w:t>deľby prepravnej práce v</w:t>
      </w:r>
      <w:r>
        <w:rPr>
          <w:sz w:val="22"/>
          <w:szCs w:val="22"/>
        </w:rPr>
        <w:t> </w:t>
      </w:r>
      <w:r w:rsidRPr="00DE1E25">
        <w:rPr>
          <w:sz w:val="22"/>
          <w:szCs w:val="22"/>
        </w:rPr>
        <w:t xml:space="preserve">rámci osobnej prepravy na Slovensku </w:t>
      </w:r>
      <w:r>
        <w:rPr>
          <w:sz w:val="22"/>
          <w:szCs w:val="22"/>
        </w:rPr>
        <w:t>poukazuje na zvyšujúci sa podiel</w:t>
      </w:r>
      <w:r w:rsidRPr="00DE1E25">
        <w:rPr>
          <w:sz w:val="22"/>
          <w:szCs w:val="22"/>
        </w:rPr>
        <w:t xml:space="preserve"> individuálnej automobilovej </w:t>
      </w:r>
      <w:r>
        <w:rPr>
          <w:sz w:val="22"/>
          <w:szCs w:val="22"/>
        </w:rPr>
        <w:t>dopravy</w:t>
      </w:r>
      <w:r w:rsidRPr="00DE1E25">
        <w:rPr>
          <w:sz w:val="22"/>
          <w:szCs w:val="22"/>
        </w:rPr>
        <w:t xml:space="preserve">. </w:t>
      </w:r>
      <w:r w:rsidRPr="00885C6A">
        <w:rPr>
          <w:color w:val="000000" w:themeColor="text1"/>
          <w:sz w:val="22"/>
          <w:szCs w:val="22"/>
        </w:rPr>
        <w:t xml:space="preserve">Individuálna automobilová </w:t>
      </w:r>
      <w:r>
        <w:rPr>
          <w:color w:val="000000" w:themeColor="text1"/>
          <w:sz w:val="22"/>
          <w:szCs w:val="22"/>
        </w:rPr>
        <w:t>do</w:t>
      </w:r>
      <w:r w:rsidRPr="00885C6A">
        <w:rPr>
          <w:color w:val="000000" w:themeColor="text1"/>
          <w:sz w:val="22"/>
          <w:szCs w:val="22"/>
        </w:rPr>
        <w:t>prava tvorila v</w:t>
      </w:r>
      <w:r>
        <w:rPr>
          <w:color w:val="000000" w:themeColor="text1"/>
          <w:sz w:val="22"/>
          <w:szCs w:val="22"/>
        </w:rPr>
        <w:t> </w:t>
      </w:r>
      <w:r w:rsidRPr="00885C6A">
        <w:rPr>
          <w:color w:val="000000" w:themeColor="text1"/>
          <w:sz w:val="22"/>
          <w:szCs w:val="22"/>
        </w:rPr>
        <w:t xml:space="preserve">roku </w:t>
      </w:r>
      <w:r w:rsidR="003423B0">
        <w:rPr>
          <w:color w:val="000000" w:themeColor="text1"/>
          <w:sz w:val="22"/>
          <w:szCs w:val="22"/>
        </w:rPr>
        <w:t>2012</w:t>
      </w:r>
      <w:r w:rsidRPr="00885C6A">
        <w:rPr>
          <w:color w:val="000000" w:themeColor="text1"/>
          <w:sz w:val="22"/>
          <w:szCs w:val="22"/>
        </w:rPr>
        <w:t xml:space="preserve"> v</w:t>
      </w:r>
      <w:r>
        <w:rPr>
          <w:color w:val="000000" w:themeColor="text1"/>
          <w:sz w:val="22"/>
          <w:szCs w:val="22"/>
        </w:rPr>
        <w:t> </w:t>
      </w:r>
      <w:r w:rsidRPr="00885C6A">
        <w:rPr>
          <w:color w:val="000000" w:themeColor="text1"/>
          <w:sz w:val="22"/>
          <w:szCs w:val="22"/>
        </w:rPr>
        <w:t xml:space="preserve">rámci SR až </w:t>
      </w:r>
      <w:r w:rsidR="003423B0">
        <w:rPr>
          <w:color w:val="000000" w:themeColor="text1"/>
          <w:sz w:val="22"/>
          <w:szCs w:val="22"/>
        </w:rPr>
        <w:t>74,6</w:t>
      </w:r>
      <w:r w:rsidRPr="00885C6A">
        <w:rPr>
          <w:color w:val="000000" w:themeColor="text1"/>
          <w:sz w:val="22"/>
          <w:szCs w:val="22"/>
        </w:rPr>
        <w:t xml:space="preserve"> % celkových výkonov osobnej dopravy. </w:t>
      </w:r>
      <w:r w:rsidR="003423B0">
        <w:rPr>
          <w:color w:val="000000" w:themeColor="text1"/>
          <w:sz w:val="22"/>
          <w:szCs w:val="22"/>
        </w:rPr>
        <w:t>Dlhodobým c</w:t>
      </w:r>
      <w:r w:rsidRPr="00885C6A">
        <w:rPr>
          <w:color w:val="000000" w:themeColor="text1"/>
          <w:sz w:val="22"/>
          <w:szCs w:val="22"/>
        </w:rPr>
        <w:t>ieľom</w:t>
      </w:r>
      <w:r w:rsidRPr="00DE1E25">
        <w:rPr>
          <w:sz w:val="22"/>
          <w:szCs w:val="22"/>
        </w:rPr>
        <w:t xml:space="preserve"> </w:t>
      </w:r>
      <w:r>
        <w:rPr>
          <w:sz w:val="22"/>
          <w:szCs w:val="22"/>
        </w:rPr>
        <w:t>MDVRR SR je dosiahnuť zvrátenie</w:t>
      </w:r>
      <w:r w:rsidRPr="00DE1E25">
        <w:rPr>
          <w:sz w:val="22"/>
          <w:szCs w:val="22"/>
        </w:rPr>
        <w:t xml:space="preserve"> tohto pre životné prostredie negatívneho trendu a</w:t>
      </w:r>
      <w:r>
        <w:rPr>
          <w:sz w:val="22"/>
          <w:szCs w:val="22"/>
        </w:rPr>
        <w:t> </w:t>
      </w:r>
      <w:r w:rsidRPr="00DE1E25">
        <w:rPr>
          <w:sz w:val="22"/>
          <w:szCs w:val="22"/>
        </w:rPr>
        <w:t xml:space="preserve">podnietiť </w:t>
      </w:r>
      <w:r>
        <w:rPr>
          <w:sz w:val="22"/>
          <w:szCs w:val="22"/>
        </w:rPr>
        <w:t>organizačnými, prevádzkovými a infraštruktúrnymi opatreniami</w:t>
      </w:r>
      <w:r w:rsidRPr="00DE1E25">
        <w:rPr>
          <w:sz w:val="22"/>
          <w:szCs w:val="22"/>
        </w:rPr>
        <w:t xml:space="preserve"> prechod cestujúcich z</w:t>
      </w:r>
      <w:r>
        <w:rPr>
          <w:sz w:val="22"/>
          <w:szCs w:val="22"/>
        </w:rPr>
        <w:t> </w:t>
      </w:r>
      <w:r w:rsidRPr="00DE1E25">
        <w:rPr>
          <w:sz w:val="22"/>
          <w:szCs w:val="22"/>
        </w:rPr>
        <w:t xml:space="preserve">individuálnej automobilovej dopravy na environmentálne prijateľné módy verejnej osobnej </w:t>
      </w:r>
      <w:r>
        <w:rPr>
          <w:sz w:val="22"/>
          <w:szCs w:val="22"/>
        </w:rPr>
        <w:t xml:space="preserve">a nemotorovej </w:t>
      </w:r>
      <w:r w:rsidRPr="00DE1E25">
        <w:rPr>
          <w:sz w:val="22"/>
          <w:szCs w:val="22"/>
        </w:rPr>
        <w:t>dopravy. Negatívne vplyvy dopravy na životné prostredie sú primárne spojené</w:t>
      </w:r>
      <w:r>
        <w:rPr>
          <w:sz w:val="22"/>
          <w:szCs w:val="22"/>
        </w:rPr>
        <w:t xml:space="preserve"> so spotrebou energií, čo má za </w:t>
      </w:r>
      <w:r w:rsidRPr="00DE1E25">
        <w:rPr>
          <w:sz w:val="22"/>
          <w:szCs w:val="22"/>
        </w:rPr>
        <w:t>následok produkciu CO</w:t>
      </w:r>
      <w:r w:rsidRPr="00DE1E25">
        <w:rPr>
          <w:sz w:val="22"/>
          <w:szCs w:val="22"/>
          <w:vertAlign w:val="subscript"/>
        </w:rPr>
        <w:t>2</w:t>
      </w:r>
      <w:r w:rsidRPr="00DE1E25">
        <w:rPr>
          <w:sz w:val="22"/>
          <w:szCs w:val="22"/>
        </w:rPr>
        <w:t>, znečisten</w:t>
      </w:r>
      <w:r>
        <w:rPr>
          <w:sz w:val="22"/>
          <w:szCs w:val="22"/>
        </w:rPr>
        <w:t>ím</w:t>
      </w:r>
      <w:r w:rsidRPr="00DE1E25">
        <w:rPr>
          <w:sz w:val="22"/>
          <w:szCs w:val="22"/>
        </w:rPr>
        <w:t xml:space="preserve"> </w:t>
      </w:r>
      <w:r>
        <w:rPr>
          <w:sz w:val="22"/>
          <w:szCs w:val="22"/>
        </w:rPr>
        <w:t>ovzdušia</w:t>
      </w:r>
      <w:r w:rsidRPr="00DE1E25">
        <w:rPr>
          <w:sz w:val="22"/>
          <w:szCs w:val="22"/>
        </w:rPr>
        <w:t xml:space="preserve"> a</w:t>
      </w:r>
      <w:r>
        <w:rPr>
          <w:sz w:val="22"/>
          <w:szCs w:val="22"/>
        </w:rPr>
        <w:t> </w:t>
      </w:r>
      <w:r w:rsidRPr="00DE1E25">
        <w:rPr>
          <w:sz w:val="22"/>
          <w:szCs w:val="22"/>
        </w:rPr>
        <w:t>hluk</w:t>
      </w:r>
      <w:r>
        <w:rPr>
          <w:sz w:val="22"/>
          <w:szCs w:val="22"/>
        </w:rPr>
        <w:t>om</w:t>
      </w:r>
      <w:r w:rsidRPr="00DE1E25">
        <w:rPr>
          <w:sz w:val="22"/>
          <w:szCs w:val="22"/>
        </w:rPr>
        <w:t>. V</w:t>
      </w:r>
      <w:r>
        <w:rPr>
          <w:sz w:val="22"/>
          <w:szCs w:val="22"/>
        </w:rPr>
        <w:t> </w:t>
      </w:r>
      <w:r w:rsidRPr="00DE1E25">
        <w:rPr>
          <w:sz w:val="22"/>
          <w:szCs w:val="22"/>
        </w:rPr>
        <w:t xml:space="preserve">rámci </w:t>
      </w:r>
      <w:r>
        <w:rPr>
          <w:sz w:val="22"/>
          <w:szCs w:val="22"/>
        </w:rPr>
        <w:t>SR tvorí doprava až </w:t>
      </w:r>
      <w:r w:rsidRPr="00DE1E25">
        <w:rPr>
          <w:sz w:val="22"/>
          <w:szCs w:val="22"/>
        </w:rPr>
        <w:t>20% celkovej produkcie CO</w:t>
      </w:r>
      <w:r w:rsidRPr="00DE1E25">
        <w:rPr>
          <w:sz w:val="22"/>
          <w:szCs w:val="22"/>
          <w:vertAlign w:val="subscript"/>
        </w:rPr>
        <w:t>2</w:t>
      </w:r>
      <w:r w:rsidRPr="00DE1E25">
        <w:rPr>
          <w:sz w:val="22"/>
          <w:szCs w:val="22"/>
        </w:rPr>
        <w:t xml:space="preserve"> a</w:t>
      </w:r>
      <w:r>
        <w:rPr>
          <w:sz w:val="22"/>
          <w:szCs w:val="22"/>
        </w:rPr>
        <w:t> </w:t>
      </w:r>
      <w:r w:rsidRPr="00DE1E25">
        <w:rPr>
          <w:sz w:val="22"/>
          <w:szCs w:val="22"/>
        </w:rPr>
        <w:t>34</w:t>
      </w:r>
      <w:r>
        <w:rPr>
          <w:sz w:val="22"/>
          <w:szCs w:val="22"/>
        </w:rPr>
        <w:t xml:space="preserve"> </w:t>
      </w:r>
      <w:r w:rsidRPr="00DE1E25">
        <w:rPr>
          <w:sz w:val="22"/>
          <w:szCs w:val="22"/>
        </w:rPr>
        <w:t>% NO</w:t>
      </w:r>
      <w:r w:rsidRPr="00DE1E25">
        <w:rPr>
          <w:sz w:val="22"/>
          <w:szCs w:val="22"/>
          <w:vertAlign w:val="subscript"/>
        </w:rPr>
        <w:t>x</w:t>
      </w:r>
      <w:r w:rsidRPr="00DE1E25">
        <w:rPr>
          <w:sz w:val="22"/>
          <w:szCs w:val="22"/>
        </w:rPr>
        <w:t>.</w:t>
      </w:r>
    </w:p>
    <w:p w:rsidR="006272CE" w:rsidRDefault="006272CE" w:rsidP="006272CE">
      <w:pPr>
        <w:spacing w:before="180"/>
        <w:jc w:val="both"/>
        <w:rPr>
          <w:sz w:val="22"/>
          <w:szCs w:val="22"/>
        </w:rPr>
      </w:pPr>
      <w:r w:rsidRPr="00FE75AD">
        <w:rPr>
          <w:sz w:val="22"/>
          <w:szCs w:val="22"/>
        </w:rPr>
        <w:t>Za najvýznamnejšie slabé miesto verejnej osobnej dopravy na Slovensku je možné označiť absenciu funkčných integrovaných dopravných systémov, ktoré by boli infraštruktúrne a prevádzkovo optimalizované pre príslušné aglomerácie. Dôvod je potrebné hľadať predovšetkým v</w:t>
      </w:r>
      <w:r>
        <w:rPr>
          <w:sz w:val="22"/>
          <w:szCs w:val="22"/>
        </w:rPr>
        <w:t> </w:t>
      </w:r>
      <w:r w:rsidRPr="00FE75AD">
        <w:rPr>
          <w:sz w:val="22"/>
          <w:szCs w:val="22"/>
        </w:rPr>
        <w:t>nastavení systému</w:t>
      </w:r>
      <w:r>
        <w:rPr>
          <w:sz w:val="22"/>
          <w:szCs w:val="22"/>
        </w:rPr>
        <w:t xml:space="preserve"> objednávania a organizácie</w:t>
      </w:r>
      <w:r w:rsidRPr="00FE75AD">
        <w:rPr>
          <w:sz w:val="22"/>
          <w:szCs w:val="22"/>
        </w:rPr>
        <w:t xml:space="preserve"> dopravy a</w:t>
      </w:r>
      <w:r>
        <w:rPr>
          <w:sz w:val="22"/>
          <w:szCs w:val="22"/>
        </w:rPr>
        <w:t> </w:t>
      </w:r>
      <w:r w:rsidRPr="00FE75AD">
        <w:rPr>
          <w:sz w:val="22"/>
          <w:szCs w:val="22"/>
        </w:rPr>
        <w:t>z</w:t>
      </w:r>
      <w:r>
        <w:rPr>
          <w:sz w:val="22"/>
          <w:szCs w:val="22"/>
        </w:rPr>
        <w:t> </w:t>
      </w:r>
      <w:r w:rsidRPr="00FE75AD">
        <w:rPr>
          <w:sz w:val="22"/>
          <w:szCs w:val="22"/>
        </w:rPr>
        <w:t>toho vyplývajúceho spôsobu zabezpečenia výkonov vo verejnom záujme. V</w:t>
      </w:r>
      <w:r>
        <w:rPr>
          <w:sz w:val="22"/>
          <w:szCs w:val="22"/>
        </w:rPr>
        <w:t> </w:t>
      </w:r>
      <w:r w:rsidRPr="00FE75AD">
        <w:rPr>
          <w:sz w:val="22"/>
          <w:szCs w:val="22"/>
        </w:rPr>
        <w:t>súčasnosti je objednávateľom výkonov v</w:t>
      </w:r>
      <w:r>
        <w:rPr>
          <w:sz w:val="22"/>
          <w:szCs w:val="22"/>
        </w:rPr>
        <w:t> </w:t>
      </w:r>
      <w:r w:rsidRPr="00FE75AD">
        <w:rPr>
          <w:sz w:val="22"/>
          <w:szCs w:val="22"/>
        </w:rPr>
        <w:t>regionálnej železničnej doprave MDVRR SR, v</w:t>
      </w:r>
      <w:r>
        <w:rPr>
          <w:sz w:val="22"/>
          <w:szCs w:val="22"/>
        </w:rPr>
        <w:t> </w:t>
      </w:r>
      <w:r w:rsidRPr="00FE75AD">
        <w:rPr>
          <w:sz w:val="22"/>
          <w:szCs w:val="22"/>
        </w:rPr>
        <w:t>prímestskej autobusovej doprave sú objednávateľmi VÚC a</w:t>
      </w:r>
      <w:r>
        <w:rPr>
          <w:sz w:val="22"/>
          <w:szCs w:val="22"/>
        </w:rPr>
        <w:t> </w:t>
      </w:r>
      <w:r w:rsidRPr="00FE75AD">
        <w:rPr>
          <w:sz w:val="22"/>
          <w:szCs w:val="22"/>
        </w:rPr>
        <w:t>v</w:t>
      </w:r>
      <w:r>
        <w:rPr>
          <w:sz w:val="22"/>
          <w:szCs w:val="22"/>
        </w:rPr>
        <w:t> </w:t>
      </w:r>
      <w:r w:rsidRPr="00FE75AD">
        <w:rPr>
          <w:sz w:val="22"/>
          <w:szCs w:val="22"/>
        </w:rPr>
        <w:t xml:space="preserve">mestskej hromadnej doprave mestá, pričom </w:t>
      </w:r>
      <w:r w:rsidR="00BA677E">
        <w:rPr>
          <w:sz w:val="22"/>
          <w:szCs w:val="22"/>
        </w:rPr>
        <w:t xml:space="preserve">medzi nimi </w:t>
      </w:r>
      <w:r w:rsidRPr="00FE75AD">
        <w:rPr>
          <w:sz w:val="22"/>
          <w:szCs w:val="22"/>
        </w:rPr>
        <w:t>nie je zabezpečená vzájomná previazanosť a</w:t>
      </w:r>
      <w:r>
        <w:rPr>
          <w:sz w:val="22"/>
          <w:szCs w:val="22"/>
        </w:rPr>
        <w:t> </w:t>
      </w:r>
      <w:r w:rsidRPr="00FE75AD">
        <w:rPr>
          <w:sz w:val="22"/>
          <w:szCs w:val="22"/>
        </w:rPr>
        <w:t xml:space="preserve">koordinácia jednotlivých dopravných módov. </w:t>
      </w:r>
    </w:p>
    <w:p w:rsidR="006272CE" w:rsidRDefault="006272CE" w:rsidP="006272CE">
      <w:pPr>
        <w:spacing w:before="180"/>
        <w:jc w:val="both"/>
        <w:rPr>
          <w:sz w:val="22"/>
          <w:szCs w:val="22"/>
        </w:rPr>
      </w:pPr>
      <w:r>
        <w:rPr>
          <w:sz w:val="22"/>
          <w:szCs w:val="22"/>
        </w:rPr>
        <w:t xml:space="preserve">Územie SR je možné z hľadiska regionálnych dopravných väzieb rozdeliť na </w:t>
      </w:r>
      <w:r w:rsidRPr="00A108C9">
        <w:rPr>
          <w:b/>
          <w:sz w:val="22"/>
          <w:szCs w:val="22"/>
        </w:rPr>
        <w:t>štyri funkčné regióny</w:t>
      </w:r>
      <w:r>
        <w:rPr>
          <w:sz w:val="22"/>
          <w:szCs w:val="22"/>
        </w:rPr>
        <w:t>: Bratislava a juhozápadné Slovensko (BSK, TTSK, NSK), Severozápadné Slovensko (TSK, ŽSK), Stredné Slovensko (BBSK) a Východné Slovensko (KSK, PSK)</w:t>
      </w:r>
      <w:r w:rsidR="00BA677E">
        <w:rPr>
          <w:sz w:val="22"/>
          <w:szCs w:val="22"/>
        </w:rPr>
        <w:t xml:space="preserve"> (Obr. 1)</w:t>
      </w:r>
      <w:r>
        <w:rPr>
          <w:sz w:val="22"/>
          <w:szCs w:val="22"/>
        </w:rPr>
        <w:t>. Prirodzenými spádovými centrami uvedených regiónov sú mestá Bratislava, Trnava, Nitra, Trenčín, Žilina, Banská Bystrica, Košice a Prešov. Regionálne dopravné väzby spravidla presahujú územie jednotlivých vyšších územných celkov. Z hľadiska vnútorných dopravných väzieb uvedené funkčné regióny tvoria pomerne kompaktné celky, na území ktorých je možné efektívne organizovať a integrovať jednotlivé módy verejnej osobnej dopravy.</w:t>
      </w:r>
    </w:p>
    <w:p w:rsidR="006272CE" w:rsidRPr="000E0CE6" w:rsidRDefault="006272CE" w:rsidP="006272CE">
      <w:pPr>
        <w:pStyle w:val="Obr"/>
      </w:pPr>
      <w:r>
        <w:t>Funkčné regióny z hľadiska regionálnych dopravných väzieb</w:t>
      </w:r>
    </w:p>
    <w:p w:rsidR="006272CE" w:rsidRDefault="006272CE" w:rsidP="00C82CC0">
      <w:pPr>
        <w:spacing w:before="60"/>
        <w:jc w:val="center"/>
        <w:rPr>
          <w:sz w:val="22"/>
          <w:szCs w:val="22"/>
        </w:rPr>
      </w:pPr>
      <w:r>
        <w:rPr>
          <w:noProof/>
          <w:sz w:val="22"/>
          <w:szCs w:val="22"/>
        </w:rPr>
        <w:drawing>
          <wp:inline distT="0" distB="0" distL="0" distR="0">
            <wp:extent cx="4500000" cy="2164916"/>
            <wp:effectExtent l="19050" t="0" r="0" b="0"/>
            <wp:docPr id="1" name="Obrázok 2" descr="mapa funkčný regióno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 funkčný regiónov.png"/>
                    <pic:cNvPicPr/>
                  </pic:nvPicPr>
                  <pic:blipFill>
                    <a:blip r:embed="rId21" cstate="print"/>
                    <a:stretch>
                      <a:fillRect/>
                    </a:stretch>
                  </pic:blipFill>
                  <pic:spPr>
                    <a:xfrm>
                      <a:off x="0" y="0"/>
                      <a:ext cx="4500000" cy="2164916"/>
                    </a:xfrm>
                    <a:prstGeom prst="rect">
                      <a:avLst/>
                    </a:prstGeom>
                  </pic:spPr>
                </pic:pic>
              </a:graphicData>
            </a:graphic>
          </wp:inline>
        </w:drawing>
      </w:r>
    </w:p>
    <w:p w:rsidR="006272CE" w:rsidRDefault="006272CE" w:rsidP="00C82CC0">
      <w:pPr>
        <w:spacing w:before="240"/>
        <w:jc w:val="both"/>
        <w:rPr>
          <w:sz w:val="22"/>
          <w:szCs w:val="22"/>
        </w:rPr>
      </w:pPr>
      <w:r w:rsidRPr="00FE75AD">
        <w:rPr>
          <w:sz w:val="22"/>
          <w:szCs w:val="22"/>
        </w:rPr>
        <w:t>Železničná doprava má v</w:t>
      </w:r>
      <w:r>
        <w:rPr>
          <w:sz w:val="22"/>
          <w:szCs w:val="22"/>
        </w:rPr>
        <w:t> </w:t>
      </w:r>
      <w:r w:rsidRPr="00FE75AD">
        <w:rPr>
          <w:sz w:val="22"/>
          <w:szCs w:val="22"/>
        </w:rPr>
        <w:t xml:space="preserve">súčasnosti dostatočnú kapacitu na uspokojenie </w:t>
      </w:r>
      <w:r>
        <w:rPr>
          <w:sz w:val="22"/>
          <w:szCs w:val="22"/>
        </w:rPr>
        <w:t>súčasných aj prognózovaných</w:t>
      </w:r>
      <w:r w:rsidRPr="00FE75AD">
        <w:rPr>
          <w:sz w:val="22"/>
          <w:szCs w:val="22"/>
        </w:rPr>
        <w:t xml:space="preserve"> prepravných nárokov na celej sieti ŽSR. V</w:t>
      </w:r>
      <w:r>
        <w:rPr>
          <w:sz w:val="22"/>
          <w:szCs w:val="22"/>
        </w:rPr>
        <w:t> </w:t>
      </w:r>
      <w:r w:rsidRPr="00FE75AD">
        <w:rPr>
          <w:sz w:val="22"/>
          <w:szCs w:val="22"/>
        </w:rPr>
        <w:t xml:space="preserve">regionálnej </w:t>
      </w:r>
      <w:r>
        <w:rPr>
          <w:sz w:val="22"/>
          <w:szCs w:val="22"/>
        </w:rPr>
        <w:t xml:space="preserve">železničnej </w:t>
      </w:r>
      <w:r w:rsidRPr="00FE75AD">
        <w:rPr>
          <w:sz w:val="22"/>
          <w:szCs w:val="22"/>
        </w:rPr>
        <w:t xml:space="preserve">doprave došlo </w:t>
      </w:r>
      <w:r>
        <w:rPr>
          <w:sz w:val="22"/>
          <w:szCs w:val="22"/>
        </w:rPr>
        <w:t xml:space="preserve">v ostatných rokoch </w:t>
      </w:r>
      <w:r w:rsidRPr="00FE75AD">
        <w:rPr>
          <w:sz w:val="22"/>
          <w:szCs w:val="22"/>
        </w:rPr>
        <w:t>k</w:t>
      </w:r>
      <w:r>
        <w:rPr>
          <w:sz w:val="22"/>
          <w:szCs w:val="22"/>
        </w:rPr>
        <w:t> </w:t>
      </w:r>
      <w:r w:rsidRPr="00FE75AD">
        <w:rPr>
          <w:sz w:val="22"/>
          <w:szCs w:val="22"/>
        </w:rPr>
        <w:t xml:space="preserve">zrušeniu </w:t>
      </w:r>
      <w:r>
        <w:rPr>
          <w:sz w:val="22"/>
          <w:szCs w:val="22"/>
        </w:rPr>
        <w:t>prevádzky na </w:t>
      </w:r>
      <w:r w:rsidRPr="00FE75AD">
        <w:rPr>
          <w:sz w:val="22"/>
          <w:szCs w:val="22"/>
        </w:rPr>
        <w:t xml:space="preserve">niektorých regionálnych </w:t>
      </w:r>
      <w:r>
        <w:rPr>
          <w:sz w:val="22"/>
          <w:szCs w:val="22"/>
        </w:rPr>
        <w:t>tratiach z dôvodu ich nízkej konku</w:t>
      </w:r>
      <w:r w:rsidR="00197539">
        <w:rPr>
          <w:sz w:val="22"/>
          <w:szCs w:val="22"/>
        </w:rPr>
        <w:t xml:space="preserve">rencieschopnosti </w:t>
      </w:r>
      <w:r>
        <w:rPr>
          <w:sz w:val="22"/>
          <w:szCs w:val="22"/>
        </w:rPr>
        <w:t>a slabého prepravného prúdu</w:t>
      </w:r>
      <w:r w:rsidRPr="00FE75AD">
        <w:rPr>
          <w:sz w:val="22"/>
          <w:szCs w:val="22"/>
        </w:rPr>
        <w:t xml:space="preserve"> a</w:t>
      </w:r>
      <w:r>
        <w:rPr>
          <w:sz w:val="22"/>
          <w:szCs w:val="22"/>
        </w:rPr>
        <w:t> </w:t>
      </w:r>
      <w:r w:rsidRPr="00FE75AD">
        <w:rPr>
          <w:sz w:val="22"/>
          <w:szCs w:val="22"/>
        </w:rPr>
        <w:t>k</w:t>
      </w:r>
      <w:r>
        <w:rPr>
          <w:sz w:val="22"/>
          <w:szCs w:val="22"/>
        </w:rPr>
        <w:t xml:space="preserve"> následnému </w:t>
      </w:r>
      <w:r w:rsidRPr="00FE75AD">
        <w:rPr>
          <w:sz w:val="22"/>
          <w:szCs w:val="22"/>
        </w:rPr>
        <w:t>presunu cestujúcich na autobusovú dopravu.</w:t>
      </w:r>
    </w:p>
    <w:p w:rsidR="006272CE" w:rsidRPr="00DE6378" w:rsidRDefault="006272CE" w:rsidP="006272CE">
      <w:pPr>
        <w:spacing w:before="180"/>
        <w:jc w:val="both"/>
        <w:rPr>
          <w:sz w:val="22"/>
          <w:szCs w:val="22"/>
        </w:rPr>
      </w:pPr>
      <w:r w:rsidRPr="00DE6378">
        <w:rPr>
          <w:sz w:val="22"/>
          <w:szCs w:val="22"/>
        </w:rPr>
        <w:lastRenderedPageBreak/>
        <w:t xml:space="preserve">Identifikovanými infraštruktúrnymi problémami železničnej regionálnej </w:t>
      </w:r>
      <w:r w:rsidR="00595C25">
        <w:rPr>
          <w:sz w:val="22"/>
          <w:szCs w:val="22"/>
        </w:rPr>
        <w:t xml:space="preserve">osobnej </w:t>
      </w:r>
      <w:r w:rsidRPr="00DE6378">
        <w:rPr>
          <w:sz w:val="22"/>
          <w:szCs w:val="22"/>
        </w:rPr>
        <w:t xml:space="preserve">dopravy </w:t>
      </w:r>
      <w:r>
        <w:rPr>
          <w:sz w:val="22"/>
          <w:szCs w:val="22"/>
        </w:rPr>
        <w:t xml:space="preserve">sú </w:t>
      </w:r>
      <w:r w:rsidRPr="00DE6378">
        <w:rPr>
          <w:sz w:val="22"/>
          <w:szCs w:val="22"/>
        </w:rPr>
        <w:t>najmä nedostatočne udržiavaný, zanedbaný charakter železničných staníc a</w:t>
      </w:r>
      <w:r>
        <w:rPr>
          <w:sz w:val="22"/>
          <w:szCs w:val="22"/>
        </w:rPr>
        <w:t> </w:t>
      </w:r>
      <w:r w:rsidRPr="00DE6378">
        <w:rPr>
          <w:sz w:val="22"/>
          <w:szCs w:val="22"/>
        </w:rPr>
        <w:t>zastávok</w:t>
      </w:r>
      <w:r>
        <w:rPr>
          <w:sz w:val="22"/>
          <w:szCs w:val="22"/>
        </w:rPr>
        <w:t xml:space="preserve"> vrátane prestupných bodov,</w:t>
      </w:r>
      <w:r w:rsidRPr="00DE6378">
        <w:rPr>
          <w:sz w:val="22"/>
          <w:szCs w:val="22"/>
        </w:rPr>
        <w:t xml:space="preserve"> </w:t>
      </w:r>
      <w:r>
        <w:rPr>
          <w:sz w:val="22"/>
          <w:szCs w:val="22"/>
        </w:rPr>
        <w:t xml:space="preserve">rozmiestnenie tarifných bodov </w:t>
      </w:r>
      <w:r w:rsidR="00595C25">
        <w:rPr>
          <w:sz w:val="22"/>
          <w:szCs w:val="22"/>
        </w:rPr>
        <w:t>neprispôsobujúce sa</w:t>
      </w:r>
      <w:r w:rsidRPr="00DE6378">
        <w:rPr>
          <w:sz w:val="22"/>
          <w:szCs w:val="22"/>
        </w:rPr>
        <w:t xml:space="preserve"> vývoju osídlenia v</w:t>
      </w:r>
      <w:r>
        <w:rPr>
          <w:sz w:val="22"/>
          <w:szCs w:val="22"/>
        </w:rPr>
        <w:t> </w:t>
      </w:r>
      <w:r w:rsidRPr="00DE6378">
        <w:rPr>
          <w:sz w:val="22"/>
          <w:szCs w:val="22"/>
        </w:rPr>
        <w:t xml:space="preserve">ostatnom čase, nízke </w:t>
      </w:r>
      <w:r>
        <w:rPr>
          <w:sz w:val="22"/>
          <w:szCs w:val="22"/>
        </w:rPr>
        <w:t xml:space="preserve">prevádzkové </w:t>
      </w:r>
      <w:r w:rsidRPr="00DE6378">
        <w:rPr>
          <w:sz w:val="22"/>
          <w:szCs w:val="22"/>
        </w:rPr>
        <w:t>rýchlosti na perspektívnych tratiach</w:t>
      </w:r>
      <w:r w:rsidR="00AE2A87">
        <w:rPr>
          <w:sz w:val="22"/>
          <w:szCs w:val="22"/>
        </w:rPr>
        <w:t>,</w:t>
      </w:r>
      <w:r w:rsidRPr="00DE6378">
        <w:rPr>
          <w:sz w:val="22"/>
          <w:szCs w:val="22"/>
        </w:rPr>
        <w:t xml:space="preserve"> vhodných na prevzatie líniovej obsluhy územia (obmedzená traťová rýchlosť, jej prechodné a</w:t>
      </w:r>
      <w:r>
        <w:rPr>
          <w:sz w:val="22"/>
          <w:szCs w:val="22"/>
        </w:rPr>
        <w:t> </w:t>
      </w:r>
      <w:r w:rsidRPr="00DE6378">
        <w:rPr>
          <w:sz w:val="22"/>
          <w:szCs w:val="22"/>
        </w:rPr>
        <w:t>bodové obmedzenia).</w:t>
      </w:r>
    </w:p>
    <w:p w:rsidR="006272CE" w:rsidRPr="0048730E" w:rsidRDefault="006272CE" w:rsidP="006272CE">
      <w:pPr>
        <w:spacing w:before="180"/>
        <w:jc w:val="both"/>
        <w:rPr>
          <w:sz w:val="22"/>
          <w:szCs w:val="22"/>
        </w:rPr>
      </w:pPr>
      <w:r w:rsidRPr="0048730E">
        <w:rPr>
          <w:sz w:val="22"/>
          <w:szCs w:val="22"/>
        </w:rPr>
        <w:t>Prímestská a</w:t>
      </w:r>
      <w:r>
        <w:rPr>
          <w:sz w:val="22"/>
          <w:szCs w:val="22"/>
        </w:rPr>
        <w:t> </w:t>
      </w:r>
      <w:r w:rsidRPr="0048730E">
        <w:rPr>
          <w:sz w:val="22"/>
          <w:szCs w:val="22"/>
        </w:rPr>
        <w:t>regionálna autobusová doprava prevádzkovaná na objednávku samosprávnych krajov trpí úbytkom cestujúcich z</w:t>
      </w:r>
      <w:r>
        <w:rPr>
          <w:sz w:val="22"/>
          <w:szCs w:val="22"/>
        </w:rPr>
        <w:t> </w:t>
      </w:r>
      <w:r w:rsidRPr="0048730E">
        <w:rPr>
          <w:sz w:val="22"/>
          <w:szCs w:val="22"/>
        </w:rPr>
        <w:t xml:space="preserve">dôvodu nízkej miery konkurencieschopnosti voči individuálnej automobilovej doprave. </w:t>
      </w:r>
      <w:r>
        <w:rPr>
          <w:sz w:val="22"/>
          <w:szCs w:val="22"/>
        </w:rPr>
        <w:t>Dopravcom s</w:t>
      </w:r>
      <w:r w:rsidRPr="0048730E">
        <w:rPr>
          <w:sz w:val="22"/>
          <w:szCs w:val="22"/>
        </w:rPr>
        <w:t>účasne vzrástli náklady</w:t>
      </w:r>
      <w:r>
        <w:rPr>
          <w:sz w:val="22"/>
          <w:szCs w:val="22"/>
        </w:rPr>
        <w:t>, napr.</w:t>
      </w:r>
      <w:r w:rsidRPr="0048730E">
        <w:rPr>
          <w:sz w:val="22"/>
          <w:szCs w:val="22"/>
        </w:rPr>
        <w:t xml:space="preserve"> aj z</w:t>
      </w:r>
      <w:r>
        <w:rPr>
          <w:sz w:val="22"/>
          <w:szCs w:val="22"/>
        </w:rPr>
        <w:t> </w:t>
      </w:r>
      <w:r w:rsidRPr="0048730E">
        <w:rPr>
          <w:sz w:val="22"/>
          <w:szCs w:val="22"/>
        </w:rPr>
        <w:t>dôvodu potrebnej obnovy voz</w:t>
      </w:r>
      <w:r>
        <w:rPr>
          <w:sz w:val="22"/>
          <w:szCs w:val="22"/>
        </w:rPr>
        <w:t>ového</w:t>
      </w:r>
      <w:r w:rsidRPr="0048730E">
        <w:rPr>
          <w:sz w:val="22"/>
          <w:szCs w:val="22"/>
        </w:rPr>
        <w:t xml:space="preserve"> parku. Absencia harmonizácie a</w:t>
      </w:r>
      <w:r>
        <w:rPr>
          <w:sz w:val="22"/>
          <w:szCs w:val="22"/>
        </w:rPr>
        <w:t> </w:t>
      </w:r>
      <w:r w:rsidRPr="0048730E">
        <w:rPr>
          <w:sz w:val="22"/>
          <w:szCs w:val="22"/>
        </w:rPr>
        <w:t>integrácie regionálnej dopravy s</w:t>
      </w:r>
      <w:r>
        <w:rPr>
          <w:sz w:val="22"/>
          <w:szCs w:val="22"/>
        </w:rPr>
        <w:t> </w:t>
      </w:r>
      <w:r w:rsidRPr="0048730E">
        <w:rPr>
          <w:sz w:val="22"/>
          <w:szCs w:val="22"/>
        </w:rPr>
        <w:t>ostatnými druhmi verejnej osobnej dopravy vedie k</w:t>
      </w:r>
      <w:r>
        <w:rPr>
          <w:sz w:val="22"/>
          <w:szCs w:val="22"/>
        </w:rPr>
        <w:t> neefektívnej dopravnej obsluhe</w:t>
      </w:r>
      <w:r w:rsidRPr="0048730E">
        <w:rPr>
          <w:sz w:val="22"/>
          <w:szCs w:val="22"/>
        </w:rPr>
        <w:t xml:space="preserve"> </w:t>
      </w:r>
      <w:r>
        <w:rPr>
          <w:sz w:val="22"/>
          <w:szCs w:val="22"/>
        </w:rPr>
        <w:t>a </w:t>
      </w:r>
      <w:r w:rsidRPr="0048730E">
        <w:rPr>
          <w:sz w:val="22"/>
          <w:szCs w:val="22"/>
        </w:rPr>
        <w:t>vysokým prevádzkovým nákladom, pričom časť nákladov je vy</w:t>
      </w:r>
      <w:r>
        <w:rPr>
          <w:sz w:val="22"/>
          <w:szCs w:val="22"/>
        </w:rPr>
        <w:t>nakladaná na prepravu, ktorá je </w:t>
      </w:r>
      <w:r w:rsidRPr="0048730E">
        <w:rPr>
          <w:sz w:val="22"/>
          <w:szCs w:val="22"/>
        </w:rPr>
        <w:t>konkurenčná k</w:t>
      </w:r>
      <w:r>
        <w:rPr>
          <w:sz w:val="22"/>
          <w:szCs w:val="22"/>
        </w:rPr>
        <w:t> osobnej železničnej doprave. Na</w:t>
      </w:r>
      <w:r w:rsidRPr="0048730E">
        <w:rPr>
          <w:sz w:val="22"/>
          <w:szCs w:val="22"/>
        </w:rPr>
        <w:t xml:space="preserve"> koordináciu železničnej a</w:t>
      </w:r>
      <w:r>
        <w:rPr>
          <w:sz w:val="22"/>
          <w:szCs w:val="22"/>
        </w:rPr>
        <w:t> </w:t>
      </w:r>
      <w:r w:rsidRPr="0048730E">
        <w:rPr>
          <w:sz w:val="22"/>
          <w:szCs w:val="22"/>
        </w:rPr>
        <w:t xml:space="preserve">autobusovej dopravy chýbajú </w:t>
      </w:r>
      <w:r>
        <w:rPr>
          <w:sz w:val="22"/>
          <w:szCs w:val="22"/>
        </w:rPr>
        <w:t xml:space="preserve">adekvátne </w:t>
      </w:r>
      <w:r w:rsidRPr="0048730E">
        <w:rPr>
          <w:sz w:val="22"/>
          <w:szCs w:val="22"/>
        </w:rPr>
        <w:t>prestupné body medzi jednotlivými druhmi dopravy, moderné komunikačné zariadenia medzi vozidlami a</w:t>
      </w:r>
      <w:r>
        <w:rPr>
          <w:sz w:val="22"/>
          <w:szCs w:val="22"/>
        </w:rPr>
        <w:t> </w:t>
      </w:r>
      <w:r w:rsidRPr="0048730E">
        <w:rPr>
          <w:sz w:val="22"/>
          <w:szCs w:val="22"/>
        </w:rPr>
        <w:t>dispečingami a</w:t>
      </w:r>
      <w:r>
        <w:rPr>
          <w:sz w:val="22"/>
          <w:szCs w:val="22"/>
        </w:rPr>
        <w:t xml:space="preserve"> ďalšie </w:t>
      </w:r>
      <w:r w:rsidRPr="0048730E">
        <w:rPr>
          <w:sz w:val="22"/>
          <w:szCs w:val="22"/>
        </w:rPr>
        <w:t>prvky integrácie dopravných systémov.</w:t>
      </w:r>
    </w:p>
    <w:p w:rsidR="006272CE" w:rsidRPr="00FE75AD" w:rsidRDefault="006272CE" w:rsidP="006272CE">
      <w:pPr>
        <w:spacing w:before="180"/>
        <w:jc w:val="both"/>
        <w:rPr>
          <w:sz w:val="22"/>
          <w:szCs w:val="22"/>
        </w:rPr>
      </w:pPr>
      <w:r w:rsidRPr="00FE75AD">
        <w:rPr>
          <w:sz w:val="22"/>
          <w:szCs w:val="22"/>
        </w:rPr>
        <w:t>V</w:t>
      </w:r>
      <w:r>
        <w:rPr>
          <w:sz w:val="22"/>
          <w:szCs w:val="22"/>
        </w:rPr>
        <w:t> </w:t>
      </w:r>
      <w:r w:rsidRPr="00FE75AD">
        <w:rPr>
          <w:sz w:val="22"/>
          <w:szCs w:val="22"/>
        </w:rPr>
        <w:t xml:space="preserve">autobusovej doprave je nedostatkom okrem nevhodnej organizácie najmä nízka </w:t>
      </w:r>
      <w:r>
        <w:rPr>
          <w:sz w:val="22"/>
          <w:szCs w:val="22"/>
        </w:rPr>
        <w:t>úroveň kvality zastávok</w:t>
      </w:r>
      <w:r w:rsidRPr="00FE75AD">
        <w:rPr>
          <w:sz w:val="22"/>
          <w:szCs w:val="22"/>
        </w:rPr>
        <w:t>, nízky rozsah doplnkových služieb a</w:t>
      </w:r>
      <w:r>
        <w:rPr>
          <w:sz w:val="22"/>
          <w:szCs w:val="22"/>
        </w:rPr>
        <w:t> </w:t>
      </w:r>
      <w:r w:rsidRPr="00FE75AD">
        <w:rPr>
          <w:sz w:val="22"/>
          <w:szCs w:val="22"/>
        </w:rPr>
        <w:t xml:space="preserve">absencia </w:t>
      </w:r>
      <w:r>
        <w:rPr>
          <w:sz w:val="22"/>
          <w:szCs w:val="22"/>
        </w:rPr>
        <w:t xml:space="preserve">súvisiacej </w:t>
      </w:r>
      <w:r w:rsidRPr="00FE75AD">
        <w:rPr>
          <w:sz w:val="22"/>
          <w:szCs w:val="22"/>
        </w:rPr>
        <w:t xml:space="preserve">infraštruktúry – </w:t>
      </w:r>
      <w:r>
        <w:rPr>
          <w:sz w:val="22"/>
          <w:szCs w:val="22"/>
        </w:rPr>
        <w:t xml:space="preserve">záchytných </w:t>
      </w:r>
      <w:r w:rsidRPr="00FE75AD">
        <w:rPr>
          <w:sz w:val="22"/>
          <w:szCs w:val="22"/>
        </w:rPr>
        <w:t>parkovísk a</w:t>
      </w:r>
      <w:r>
        <w:rPr>
          <w:sz w:val="22"/>
          <w:szCs w:val="22"/>
        </w:rPr>
        <w:t> </w:t>
      </w:r>
      <w:r w:rsidRPr="00FE75AD">
        <w:rPr>
          <w:sz w:val="22"/>
          <w:szCs w:val="22"/>
        </w:rPr>
        <w:t>odstavn</w:t>
      </w:r>
      <w:r>
        <w:rPr>
          <w:sz w:val="22"/>
          <w:szCs w:val="22"/>
        </w:rPr>
        <w:t>ých</w:t>
      </w:r>
      <w:r w:rsidRPr="00FE75AD">
        <w:rPr>
          <w:sz w:val="22"/>
          <w:szCs w:val="22"/>
        </w:rPr>
        <w:t xml:space="preserve"> pl</w:t>
      </w:r>
      <w:r>
        <w:rPr>
          <w:sz w:val="22"/>
          <w:szCs w:val="22"/>
        </w:rPr>
        <w:t>ô</w:t>
      </w:r>
      <w:r w:rsidRPr="00FE75AD">
        <w:rPr>
          <w:sz w:val="22"/>
          <w:szCs w:val="22"/>
        </w:rPr>
        <w:t>ch pre bicykle a</w:t>
      </w:r>
      <w:r>
        <w:rPr>
          <w:sz w:val="22"/>
          <w:szCs w:val="22"/>
        </w:rPr>
        <w:t> </w:t>
      </w:r>
      <w:r w:rsidRPr="00FE75AD">
        <w:rPr>
          <w:sz w:val="22"/>
          <w:szCs w:val="22"/>
        </w:rPr>
        <w:t>motocykle, ako aj absentuj</w:t>
      </w:r>
      <w:r>
        <w:rPr>
          <w:sz w:val="22"/>
          <w:szCs w:val="22"/>
        </w:rPr>
        <w:t>úca nadväzná infraštruktúra pre </w:t>
      </w:r>
      <w:r w:rsidRPr="00FE75AD">
        <w:rPr>
          <w:sz w:val="22"/>
          <w:szCs w:val="22"/>
        </w:rPr>
        <w:t xml:space="preserve">ekologické </w:t>
      </w:r>
      <w:r>
        <w:rPr>
          <w:sz w:val="22"/>
          <w:szCs w:val="22"/>
        </w:rPr>
        <w:t>druhy</w:t>
      </w:r>
      <w:r w:rsidRPr="00FE75AD">
        <w:rPr>
          <w:sz w:val="22"/>
          <w:szCs w:val="22"/>
        </w:rPr>
        <w:t xml:space="preserve"> dopravy </w:t>
      </w:r>
      <w:r>
        <w:rPr>
          <w:sz w:val="22"/>
          <w:szCs w:val="22"/>
        </w:rPr>
        <w:t>(</w:t>
      </w:r>
      <w:r w:rsidRPr="00FE75AD">
        <w:rPr>
          <w:sz w:val="22"/>
          <w:szCs w:val="22"/>
        </w:rPr>
        <w:t>napr. cyklotrasy, cyklistick</w:t>
      </w:r>
      <w:r>
        <w:rPr>
          <w:sz w:val="22"/>
          <w:szCs w:val="22"/>
        </w:rPr>
        <w:t>é chodníky), ktoré by umožnili lepšiu prístupnosť zastávok verejnej osobnej dopravy.</w:t>
      </w:r>
    </w:p>
    <w:p w:rsidR="006272CE" w:rsidRPr="0048730E" w:rsidRDefault="006272CE" w:rsidP="006272CE">
      <w:pPr>
        <w:spacing w:before="180"/>
        <w:jc w:val="both"/>
        <w:rPr>
          <w:sz w:val="22"/>
          <w:szCs w:val="22"/>
        </w:rPr>
      </w:pPr>
      <w:r w:rsidRPr="0048730E">
        <w:rPr>
          <w:sz w:val="22"/>
          <w:szCs w:val="22"/>
        </w:rPr>
        <w:t>V</w:t>
      </w:r>
      <w:r>
        <w:rPr>
          <w:sz w:val="22"/>
          <w:szCs w:val="22"/>
        </w:rPr>
        <w:t> </w:t>
      </w:r>
      <w:r w:rsidRPr="0048730E">
        <w:rPr>
          <w:sz w:val="22"/>
          <w:szCs w:val="22"/>
        </w:rPr>
        <w:t xml:space="preserve">MHD je </w:t>
      </w:r>
      <w:r w:rsidR="00595C25">
        <w:rPr>
          <w:sz w:val="22"/>
          <w:szCs w:val="22"/>
        </w:rPr>
        <w:t xml:space="preserve">problémovou oblasťou </w:t>
      </w:r>
      <w:r w:rsidRPr="0048730E">
        <w:rPr>
          <w:sz w:val="22"/>
          <w:szCs w:val="22"/>
        </w:rPr>
        <w:t>podfinancovanosť mestských dopravných podnikov a</w:t>
      </w:r>
      <w:r>
        <w:rPr>
          <w:sz w:val="22"/>
          <w:szCs w:val="22"/>
        </w:rPr>
        <w:t> </w:t>
      </w:r>
      <w:r w:rsidRPr="0048730E">
        <w:rPr>
          <w:sz w:val="22"/>
          <w:szCs w:val="22"/>
        </w:rPr>
        <w:t>z</w:t>
      </w:r>
      <w:r>
        <w:rPr>
          <w:sz w:val="22"/>
          <w:szCs w:val="22"/>
        </w:rPr>
        <w:t> </w:t>
      </w:r>
      <w:r w:rsidRPr="0048730E">
        <w:rPr>
          <w:sz w:val="22"/>
          <w:szCs w:val="22"/>
        </w:rPr>
        <w:t>nej vyplývajúci zlý stav koľajového zvršku električkových tratí, trolejbusových dráh a</w:t>
      </w:r>
      <w:r>
        <w:rPr>
          <w:sz w:val="22"/>
          <w:szCs w:val="22"/>
        </w:rPr>
        <w:t> </w:t>
      </w:r>
      <w:r w:rsidRPr="0048730E">
        <w:rPr>
          <w:sz w:val="22"/>
          <w:szCs w:val="22"/>
        </w:rPr>
        <w:t xml:space="preserve">meniarní, zastaraný </w:t>
      </w:r>
      <w:r>
        <w:rPr>
          <w:sz w:val="22"/>
          <w:szCs w:val="22"/>
        </w:rPr>
        <w:t>vozový</w:t>
      </w:r>
      <w:r w:rsidRPr="0048730E">
        <w:rPr>
          <w:sz w:val="22"/>
          <w:szCs w:val="22"/>
        </w:rPr>
        <w:t xml:space="preserve"> park s</w:t>
      </w:r>
      <w:r>
        <w:rPr>
          <w:sz w:val="22"/>
          <w:szCs w:val="22"/>
        </w:rPr>
        <w:t> </w:t>
      </w:r>
      <w:r w:rsidRPr="0048730E">
        <w:rPr>
          <w:sz w:val="22"/>
          <w:szCs w:val="22"/>
        </w:rPr>
        <w:t>vysokým počtom porúch a</w:t>
      </w:r>
      <w:r>
        <w:rPr>
          <w:sz w:val="22"/>
          <w:szCs w:val="22"/>
        </w:rPr>
        <w:t> </w:t>
      </w:r>
      <w:r w:rsidRPr="0048730E">
        <w:rPr>
          <w:sz w:val="22"/>
          <w:szCs w:val="22"/>
        </w:rPr>
        <w:t>výpadko</w:t>
      </w:r>
      <w:r>
        <w:rPr>
          <w:sz w:val="22"/>
          <w:szCs w:val="22"/>
        </w:rPr>
        <w:t>v a </w:t>
      </w:r>
      <w:r w:rsidRPr="0048730E">
        <w:rPr>
          <w:sz w:val="22"/>
          <w:szCs w:val="22"/>
        </w:rPr>
        <w:t>v</w:t>
      </w:r>
      <w:r>
        <w:rPr>
          <w:sz w:val="22"/>
          <w:szCs w:val="22"/>
        </w:rPr>
        <w:t> </w:t>
      </w:r>
      <w:r w:rsidRPr="0048730E">
        <w:rPr>
          <w:sz w:val="22"/>
          <w:szCs w:val="22"/>
        </w:rPr>
        <w:t>rámci elektrickej trakcie</w:t>
      </w:r>
      <w:r>
        <w:rPr>
          <w:sz w:val="22"/>
          <w:szCs w:val="22"/>
        </w:rPr>
        <w:t xml:space="preserve"> aj </w:t>
      </w:r>
      <w:r w:rsidRPr="0048730E">
        <w:rPr>
          <w:sz w:val="22"/>
          <w:szCs w:val="22"/>
        </w:rPr>
        <w:t>nízke percento nízkopodlažných vozidiel.</w:t>
      </w:r>
      <w:r>
        <w:rPr>
          <w:sz w:val="22"/>
          <w:szCs w:val="22"/>
        </w:rPr>
        <w:t xml:space="preserve"> Najhoršia situácia je v mestách, ktoré prevádzkujú dráhovú MHD, kde je </w:t>
      </w:r>
      <w:r w:rsidRPr="007919B4">
        <w:rPr>
          <w:sz w:val="22"/>
          <w:szCs w:val="22"/>
        </w:rPr>
        <w:t>badateľný skrytý investičný dlh, keď sa priemerný vek električiek pohybuje nad hranicou 20 rokov, trolejbusov až do 19 rokov a autobusov až do 12 rokov. Väčši</w:t>
      </w:r>
      <w:r w:rsidR="00DA4B38">
        <w:rPr>
          <w:sz w:val="22"/>
          <w:szCs w:val="22"/>
        </w:rPr>
        <w:t>na električiek a trolejbusov neobsahuje moderné elektrické vybavenie</w:t>
      </w:r>
      <w:r w:rsidRPr="007919B4">
        <w:rPr>
          <w:sz w:val="22"/>
          <w:szCs w:val="22"/>
        </w:rPr>
        <w:t xml:space="preserve"> umožňujúc</w:t>
      </w:r>
      <w:r w:rsidR="00BE5936">
        <w:rPr>
          <w:sz w:val="22"/>
          <w:szCs w:val="22"/>
        </w:rPr>
        <w:t>e</w:t>
      </w:r>
      <w:r w:rsidRPr="007919B4">
        <w:rPr>
          <w:sz w:val="22"/>
          <w:szCs w:val="22"/>
        </w:rPr>
        <w:t xml:space="preserve"> rekuperáciu elektrickej energie, čím nie je dosiahnutá adekvátna hospodárnosť.</w:t>
      </w:r>
    </w:p>
    <w:p w:rsidR="006272CE" w:rsidRPr="0048730E" w:rsidRDefault="006272CE" w:rsidP="006272CE">
      <w:pPr>
        <w:spacing w:before="180"/>
        <w:jc w:val="both"/>
        <w:rPr>
          <w:sz w:val="22"/>
          <w:szCs w:val="22"/>
        </w:rPr>
      </w:pPr>
      <w:r w:rsidRPr="0048730E">
        <w:rPr>
          <w:sz w:val="22"/>
          <w:szCs w:val="22"/>
        </w:rPr>
        <w:t>Verejnej osobnej doprave tiež neprospieva nízka úroveň preferencie vozidiel v</w:t>
      </w:r>
      <w:r>
        <w:rPr>
          <w:sz w:val="22"/>
          <w:szCs w:val="22"/>
        </w:rPr>
        <w:t> </w:t>
      </w:r>
      <w:r w:rsidRPr="0048730E">
        <w:rPr>
          <w:sz w:val="22"/>
          <w:szCs w:val="22"/>
        </w:rPr>
        <w:t>dopravnej prevádzke</w:t>
      </w:r>
      <w:r>
        <w:rPr>
          <w:sz w:val="22"/>
          <w:szCs w:val="22"/>
        </w:rPr>
        <w:t xml:space="preserve"> </w:t>
      </w:r>
      <w:r w:rsidRPr="00921D8E">
        <w:rPr>
          <w:sz w:val="22"/>
          <w:szCs w:val="22"/>
        </w:rPr>
        <w:t>(chýbajúca prioritizácia na križovatkách a</w:t>
      </w:r>
      <w:r>
        <w:rPr>
          <w:sz w:val="22"/>
          <w:szCs w:val="22"/>
        </w:rPr>
        <w:t> </w:t>
      </w:r>
      <w:r w:rsidRPr="00921D8E">
        <w:rPr>
          <w:sz w:val="22"/>
          <w:szCs w:val="22"/>
        </w:rPr>
        <w:t>vyhradené pruhy pre MHD), nedostatočná</w:t>
      </w:r>
      <w:r w:rsidRPr="0048730E">
        <w:rPr>
          <w:sz w:val="22"/>
          <w:szCs w:val="22"/>
        </w:rPr>
        <w:t xml:space="preserve"> informovanosť cestujúcej verejnosti </w:t>
      </w:r>
      <w:r w:rsidR="00595C25">
        <w:rPr>
          <w:sz w:val="22"/>
          <w:szCs w:val="22"/>
        </w:rPr>
        <w:t xml:space="preserve">z dôvodu chýbajúcich moderných technológií, </w:t>
      </w:r>
      <w:r w:rsidRPr="0048730E">
        <w:rPr>
          <w:sz w:val="22"/>
          <w:szCs w:val="22"/>
        </w:rPr>
        <w:t>zastaraná infraštruktúra zázemia cestujúcej verejnosti</w:t>
      </w:r>
      <w:r w:rsidR="00595C25">
        <w:rPr>
          <w:sz w:val="22"/>
          <w:szCs w:val="22"/>
        </w:rPr>
        <w:t xml:space="preserve"> a pod.</w:t>
      </w:r>
    </w:p>
    <w:p w:rsidR="006272CE" w:rsidRDefault="006272CE" w:rsidP="006272CE">
      <w:pPr>
        <w:spacing w:before="180"/>
        <w:jc w:val="both"/>
        <w:rPr>
          <w:color w:val="000000" w:themeColor="text1"/>
          <w:sz w:val="22"/>
          <w:szCs w:val="22"/>
        </w:rPr>
      </w:pPr>
      <w:r w:rsidRPr="0048730E">
        <w:rPr>
          <w:b/>
          <w:sz w:val="22"/>
          <w:szCs w:val="22"/>
        </w:rPr>
        <w:t xml:space="preserve">Víziou stratégie rozvoja verejnej osobnej </w:t>
      </w:r>
      <w:r>
        <w:rPr>
          <w:b/>
          <w:sz w:val="22"/>
          <w:szCs w:val="22"/>
        </w:rPr>
        <w:t xml:space="preserve">a nemotorovej </w:t>
      </w:r>
      <w:r w:rsidRPr="0048730E">
        <w:rPr>
          <w:b/>
          <w:sz w:val="22"/>
          <w:szCs w:val="22"/>
        </w:rPr>
        <w:t>dopravy je</w:t>
      </w:r>
      <w:r w:rsidR="007579B8">
        <w:rPr>
          <w:b/>
          <w:sz w:val="22"/>
          <w:szCs w:val="22"/>
        </w:rPr>
        <w:t xml:space="preserve"> predovšetkým</w:t>
      </w:r>
      <w:r w:rsidRPr="0048730E">
        <w:rPr>
          <w:b/>
          <w:sz w:val="22"/>
          <w:szCs w:val="22"/>
        </w:rPr>
        <w:t xml:space="preserve"> zvrátiť doterajší nepriaznivý vývoj v</w:t>
      </w:r>
      <w:r>
        <w:rPr>
          <w:b/>
          <w:sz w:val="22"/>
          <w:szCs w:val="22"/>
        </w:rPr>
        <w:t> </w:t>
      </w:r>
      <w:r w:rsidRPr="0048730E">
        <w:rPr>
          <w:b/>
          <w:sz w:val="22"/>
          <w:szCs w:val="22"/>
        </w:rPr>
        <w:t>deľbe prepravnej práce</w:t>
      </w:r>
      <w:r>
        <w:rPr>
          <w:b/>
          <w:sz w:val="22"/>
          <w:szCs w:val="22"/>
        </w:rPr>
        <w:t xml:space="preserve"> v osobnej doprave. Cieľom je </w:t>
      </w:r>
      <w:r w:rsidR="00B5529D">
        <w:rPr>
          <w:b/>
          <w:sz w:val="22"/>
          <w:szCs w:val="22"/>
        </w:rPr>
        <w:t>systémovou integráciou</w:t>
      </w:r>
      <w:r>
        <w:rPr>
          <w:b/>
          <w:sz w:val="22"/>
          <w:szCs w:val="22"/>
        </w:rPr>
        <w:t xml:space="preserve"> jednotlivých dopravných systémov, ich lepšou</w:t>
      </w:r>
      <w:r w:rsidRPr="0048730E">
        <w:rPr>
          <w:b/>
          <w:sz w:val="22"/>
          <w:szCs w:val="22"/>
        </w:rPr>
        <w:t xml:space="preserve"> organizáciou </w:t>
      </w:r>
      <w:r>
        <w:rPr>
          <w:b/>
          <w:sz w:val="22"/>
          <w:szCs w:val="22"/>
        </w:rPr>
        <w:t xml:space="preserve">a vybavením </w:t>
      </w:r>
      <w:r w:rsidRPr="0048730E">
        <w:rPr>
          <w:b/>
          <w:sz w:val="22"/>
          <w:szCs w:val="22"/>
        </w:rPr>
        <w:t>vytvoriť podmienky pre trvalo udržateľnú regionálnu a</w:t>
      </w:r>
      <w:r>
        <w:rPr>
          <w:b/>
          <w:sz w:val="22"/>
          <w:szCs w:val="22"/>
        </w:rPr>
        <w:t> </w:t>
      </w:r>
      <w:r w:rsidRPr="0048730E">
        <w:rPr>
          <w:b/>
          <w:sz w:val="22"/>
          <w:szCs w:val="22"/>
        </w:rPr>
        <w:t>mestskú mobilitu.</w:t>
      </w:r>
      <w:r w:rsidR="00B5529D" w:rsidRPr="00B5529D">
        <w:rPr>
          <w:color w:val="000000" w:themeColor="text1"/>
          <w:sz w:val="22"/>
          <w:szCs w:val="22"/>
        </w:rPr>
        <w:t xml:space="preserve"> </w:t>
      </w:r>
      <w:r w:rsidR="00B5529D" w:rsidRPr="00885C6A">
        <w:rPr>
          <w:color w:val="000000" w:themeColor="text1"/>
          <w:sz w:val="22"/>
          <w:szCs w:val="22"/>
        </w:rPr>
        <w:t>Pojem trvalo udržateľnej mobility je chápaný ako rentabilný a</w:t>
      </w:r>
      <w:r w:rsidR="00B5529D">
        <w:rPr>
          <w:color w:val="000000" w:themeColor="text1"/>
          <w:sz w:val="22"/>
          <w:szCs w:val="22"/>
        </w:rPr>
        <w:t> </w:t>
      </w:r>
      <w:r w:rsidR="00B5529D" w:rsidRPr="00885C6A">
        <w:rPr>
          <w:color w:val="000000" w:themeColor="text1"/>
          <w:sz w:val="22"/>
          <w:szCs w:val="22"/>
        </w:rPr>
        <w:t xml:space="preserve">dostupný dopravný systém, ktorý uspokojuje </w:t>
      </w:r>
      <w:r w:rsidR="00B5529D">
        <w:rPr>
          <w:color w:val="000000" w:themeColor="text1"/>
          <w:sz w:val="22"/>
          <w:szCs w:val="22"/>
        </w:rPr>
        <w:t>prepravné</w:t>
      </w:r>
      <w:r w:rsidR="00B5529D" w:rsidRPr="00885C6A">
        <w:rPr>
          <w:color w:val="000000" w:themeColor="text1"/>
          <w:sz w:val="22"/>
          <w:szCs w:val="22"/>
        </w:rPr>
        <w:t xml:space="preserve"> potreby spoločnosti s</w:t>
      </w:r>
      <w:r w:rsidR="00B5529D">
        <w:rPr>
          <w:color w:val="000000" w:themeColor="text1"/>
          <w:sz w:val="22"/>
          <w:szCs w:val="22"/>
        </w:rPr>
        <w:t> </w:t>
      </w:r>
      <w:r w:rsidR="00B5529D" w:rsidRPr="00885C6A">
        <w:rPr>
          <w:color w:val="000000" w:themeColor="text1"/>
          <w:sz w:val="22"/>
          <w:szCs w:val="22"/>
        </w:rPr>
        <w:t>ohľadom na životné prostredie, zdravie, bezpečnosť a</w:t>
      </w:r>
      <w:r w:rsidR="00B5529D">
        <w:rPr>
          <w:color w:val="000000" w:themeColor="text1"/>
          <w:sz w:val="22"/>
          <w:szCs w:val="22"/>
        </w:rPr>
        <w:t> </w:t>
      </w:r>
      <w:r w:rsidR="00B5529D" w:rsidRPr="00885C6A">
        <w:rPr>
          <w:color w:val="000000" w:themeColor="text1"/>
          <w:sz w:val="22"/>
          <w:szCs w:val="22"/>
        </w:rPr>
        <w:t>možnosti ekonomiky a</w:t>
      </w:r>
      <w:r w:rsidR="00B5529D">
        <w:rPr>
          <w:color w:val="000000" w:themeColor="text1"/>
          <w:sz w:val="22"/>
          <w:szCs w:val="22"/>
        </w:rPr>
        <w:t> </w:t>
      </w:r>
      <w:r w:rsidR="00B5529D" w:rsidRPr="00885C6A">
        <w:rPr>
          <w:color w:val="000000" w:themeColor="text1"/>
          <w:sz w:val="22"/>
          <w:szCs w:val="22"/>
        </w:rPr>
        <w:t>zabezpečuje jeho dlhodobú životaschopnosť.</w:t>
      </w:r>
    </w:p>
    <w:p w:rsidR="00BA6A87" w:rsidRDefault="00BA6A87" w:rsidP="00BA6A87">
      <w:pPr>
        <w:spacing w:before="180"/>
        <w:jc w:val="both"/>
        <w:rPr>
          <w:sz w:val="22"/>
          <w:szCs w:val="22"/>
        </w:rPr>
      </w:pPr>
      <w:r w:rsidRPr="00A676D0">
        <w:rPr>
          <w:sz w:val="22"/>
          <w:szCs w:val="22"/>
        </w:rPr>
        <w:t>Keďže MHD je na Slovensku realizovaná rôznymi formami, najmä z</w:t>
      </w:r>
      <w:r>
        <w:rPr>
          <w:sz w:val="22"/>
          <w:szCs w:val="22"/>
        </w:rPr>
        <w:t> </w:t>
      </w:r>
      <w:r w:rsidRPr="00A676D0">
        <w:rPr>
          <w:sz w:val="22"/>
          <w:szCs w:val="22"/>
        </w:rPr>
        <w:t>pohľadu</w:t>
      </w:r>
      <w:r>
        <w:rPr>
          <w:sz w:val="22"/>
          <w:szCs w:val="22"/>
        </w:rPr>
        <w:t xml:space="preserve"> poskytovaných typov dopravy,</w:t>
      </w:r>
      <w:r w:rsidRPr="00A676D0">
        <w:rPr>
          <w:sz w:val="22"/>
          <w:szCs w:val="22"/>
        </w:rPr>
        <w:t xml:space="preserve"> organizačného zabezpečenia objednávania výkonov a</w:t>
      </w:r>
      <w:r>
        <w:rPr>
          <w:sz w:val="22"/>
          <w:szCs w:val="22"/>
        </w:rPr>
        <w:t> </w:t>
      </w:r>
      <w:r w:rsidRPr="00A676D0">
        <w:rPr>
          <w:sz w:val="22"/>
          <w:szCs w:val="22"/>
        </w:rPr>
        <w:t xml:space="preserve">zdrojov financovania, </w:t>
      </w:r>
      <w:r>
        <w:rPr>
          <w:sz w:val="22"/>
          <w:szCs w:val="22"/>
        </w:rPr>
        <w:t xml:space="preserve">MDVRR SR </w:t>
      </w:r>
      <w:r w:rsidRPr="00A676D0">
        <w:rPr>
          <w:sz w:val="22"/>
          <w:szCs w:val="22"/>
        </w:rPr>
        <w:t>p</w:t>
      </w:r>
      <w:r>
        <w:rPr>
          <w:sz w:val="22"/>
          <w:szCs w:val="22"/>
        </w:rPr>
        <w:t>lánuje zakomponovať do </w:t>
      </w:r>
      <w:r w:rsidRPr="00A676D0">
        <w:rPr>
          <w:sz w:val="22"/>
          <w:szCs w:val="22"/>
        </w:rPr>
        <w:t xml:space="preserve">systému čerpania </w:t>
      </w:r>
      <w:r>
        <w:rPr>
          <w:sz w:val="22"/>
          <w:szCs w:val="22"/>
        </w:rPr>
        <w:t xml:space="preserve">prostriedkov </w:t>
      </w:r>
      <w:r w:rsidRPr="00A676D0">
        <w:rPr>
          <w:sz w:val="22"/>
          <w:szCs w:val="22"/>
        </w:rPr>
        <w:t>len tie mestá, v</w:t>
      </w:r>
      <w:r>
        <w:rPr>
          <w:sz w:val="22"/>
          <w:szCs w:val="22"/>
        </w:rPr>
        <w:t> </w:t>
      </w:r>
      <w:r w:rsidRPr="00A676D0">
        <w:rPr>
          <w:sz w:val="22"/>
          <w:szCs w:val="22"/>
        </w:rPr>
        <w:t>ktorých</w:t>
      </w:r>
      <w:r>
        <w:rPr>
          <w:sz w:val="22"/>
          <w:szCs w:val="22"/>
        </w:rPr>
        <w:t xml:space="preserve"> je súčasťou</w:t>
      </w:r>
      <w:r w:rsidRPr="00A676D0">
        <w:rPr>
          <w:sz w:val="22"/>
          <w:szCs w:val="22"/>
        </w:rPr>
        <w:t xml:space="preserve"> MHD</w:t>
      </w:r>
      <w:r w:rsidR="00407075">
        <w:rPr>
          <w:sz w:val="22"/>
          <w:szCs w:val="22"/>
        </w:rPr>
        <w:t xml:space="preserve"> aj </w:t>
      </w:r>
      <w:r>
        <w:rPr>
          <w:sz w:val="22"/>
          <w:szCs w:val="22"/>
        </w:rPr>
        <w:t>dráhová doprava alebo MHD</w:t>
      </w:r>
      <w:r w:rsidRPr="00A676D0">
        <w:rPr>
          <w:sz w:val="22"/>
          <w:szCs w:val="22"/>
        </w:rPr>
        <w:t xml:space="preserve"> zabezpečujú špecializ</w:t>
      </w:r>
      <w:r>
        <w:rPr>
          <w:sz w:val="22"/>
          <w:szCs w:val="22"/>
        </w:rPr>
        <w:t>ované dopravné podniky so </w:t>
      </w:r>
      <w:r w:rsidRPr="00A676D0">
        <w:rPr>
          <w:sz w:val="22"/>
          <w:szCs w:val="22"/>
        </w:rPr>
        <w:t>100</w:t>
      </w:r>
      <w:r>
        <w:rPr>
          <w:sz w:val="22"/>
          <w:szCs w:val="22"/>
        </w:rPr>
        <w:t> </w:t>
      </w:r>
      <w:r w:rsidRPr="00A676D0">
        <w:rPr>
          <w:sz w:val="22"/>
          <w:szCs w:val="22"/>
        </w:rPr>
        <w:t xml:space="preserve">% účasťou mesta. </w:t>
      </w:r>
      <w:r w:rsidRPr="005348B9">
        <w:rPr>
          <w:sz w:val="22"/>
          <w:szCs w:val="22"/>
        </w:rPr>
        <w:t>Uvedené podmienky spĺňajú</w:t>
      </w:r>
      <w:r>
        <w:rPr>
          <w:sz w:val="22"/>
          <w:szCs w:val="22"/>
        </w:rPr>
        <w:t xml:space="preserve"> </w:t>
      </w:r>
      <w:r w:rsidRPr="00A676D0">
        <w:rPr>
          <w:sz w:val="22"/>
          <w:szCs w:val="22"/>
        </w:rPr>
        <w:t xml:space="preserve">mestá </w:t>
      </w:r>
      <w:r w:rsidRPr="007535B7">
        <w:rPr>
          <w:b/>
          <w:sz w:val="22"/>
          <w:szCs w:val="22"/>
        </w:rPr>
        <w:t>Bratislava, Košice, Prešov, Žilina a Banská Bystrica</w:t>
      </w:r>
      <w:r>
        <w:rPr>
          <w:sz w:val="22"/>
          <w:szCs w:val="22"/>
        </w:rPr>
        <w:t>.</w:t>
      </w:r>
      <w:r w:rsidR="00454CE9">
        <w:rPr>
          <w:sz w:val="22"/>
          <w:szCs w:val="22"/>
        </w:rPr>
        <w:t xml:space="preserve"> Zároveň je potrebné uviesť, že tieto mestá predstavujú najdôležitejšie centrá v rámci už uvedených štyroch funkčných regiónov.</w:t>
      </w:r>
    </w:p>
    <w:p w:rsidR="00B548A5" w:rsidRDefault="00B548A5" w:rsidP="00BA6A87">
      <w:pPr>
        <w:spacing w:before="180"/>
        <w:jc w:val="both"/>
        <w:rPr>
          <w:sz w:val="22"/>
          <w:szCs w:val="22"/>
        </w:rPr>
      </w:pPr>
    </w:p>
    <w:p w:rsidR="0075315D" w:rsidRDefault="0075315D" w:rsidP="00BA6A87">
      <w:pPr>
        <w:spacing w:before="180"/>
        <w:jc w:val="both"/>
        <w:rPr>
          <w:sz w:val="22"/>
          <w:szCs w:val="22"/>
        </w:rPr>
      </w:pPr>
    </w:p>
    <w:p w:rsidR="0075315D" w:rsidRDefault="0075315D" w:rsidP="00BA6A87">
      <w:pPr>
        <w:spacing w:before="180"/>
        <w:jc w:val="both"/>
        <w:rPr>
          <w:sz w:val="22"/>
          <w:szCs w:val="22"/>
        </w:rPr>
      </w:pPr>
    </w:p>
    <w:p w:rsidR="00BA6A87" w:rsidRDefault="00BA6A87" w:rsidP="00BA6A87">
      <w:pPr>
        <w:pStyle w:val="Obr"/>
      </w:pPr>
      <w:r>
        <w:lastRenderedPageBreak/>
        <w:t>Mestá s mestskou dráhovou dopravou</w:t>
      </w:r>
    </w:p>
    <w:p w:rsidR="00BA6A87" w:rsidRDefault="002A1309" w:rsidP="00BA6A87">
      <w:pPr>
        <w:spacing w:before="180"/>
        <w:jc w:val="center"/>
        <w:rPr>
          <w:sz w:val="22"/>
          <w:szCs w:val="22"/>
        </w:rPr>
      </w:pPr>
      <w:r>
        <w:rPr>
          <w:noProof/>
          <w:sz w:val="22"/>
          <w:szCs w:val="22"/>
        </w:rPr>
        <w:drawing>
          <wp:inline distT="0" distB="0" distL="0" distR="0">
            <wp:extent cx="4699079" cy="2232000"/>
            <wp:effectExtent l="19050" t="0" r="6271" b="0"/>
            <wp:docPr id="3" name="Obrázok 2" descr="Slovensko - funkcne regio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ovensko - funkcne regiony.png"/>
                    <pic:cNvPicPr/>
                  </pic:nvPicPr>
                  <pic:blipFill>
                    <a:blip r:embed="rId22" cstate="print"/>
                    <a:stretch>
                      <a:fillRect/>
                    </a:stretch>
                  </pic:blipFill>
                  <pic:spPr>
                    <a:xfrm>
                      <a:off x="0" y="0"/>
                      <a:ext cx="4699079" cy="2232000"/>
                    </a:xfrm>
                    <a:prstGeom prst="rect">
                      <a:avLst/>
                    </a:prstGeom>
                  </pic:spPr>
                </pic:pic>
              </a:graphicData>
            </a:graphic>
          </wp:inline>
        </w:drawing>
      </w:r>
    </w:p>
    <w:p w:rsidR="006272CE" w:rsidRDefault="006272CE" w:rsidP="00B5529D">
      <w:pPr>
        <w:autoSpaceDE w:val="0"/>
        <w:autoSpaceDN w:val="0"/>
        <w:adjustRightInd w:val="0"/>
        <w:spacing w:before="180"/>
        <w:jc w:val="both"/>
        <w:rPr>
          <w:sz w:val="22"/>
          <w:szCs w:val="22"/>
        </w:rPr>
      </w:pPr>
      <w:r w:rsidRPr="005348B9">
        <w:rPr>
          <w:sz w:val="22"/>
          <w:szCs w:val="22"/>
        </w:rPr>
        <w:t xml:space="preserve">Prioritná os vytvára predpoklady </w:t>
      </w:r>
      <w:r>
        <w:rPr>
          <w:sz w:val="22"/>
          <w:szCs w:val="22"/>
        </w:rPr>
        <w:t xml:space="preserve">na </w:t>
      </w:r>
      <w:r w:rsidRPr="005348B9">
        <w:rPr>
          <w:sz w:val="22"/>
          <w:szCs w:val="22"/>
        </w:rPr>
        <w:t xml:space="preserve">zvyšovanie atraktivity verejnej osobnej dopravy, a tým aj podmienky </w:t>
      </w:r>
      <w:r>
        <w:rPr>
          <w:sz w:val="22"/>
          <w:szCs w:val="22"/>
        </w:rPr>
        <w:t xml:space="preserve">na </w:t>
      </w:r>
      <w:r w:rsidRPr="005348B9">
        <w:rPr>
          <w:sz w:val="22"/>
          <w:szCs w:val="22"/>
        </w:rPr>
        <w:t>presun cestujúcich z individuálnej automobilovej dopravy na hromadné</w:t>
      </w:r>
      <w:r w:rsidR="00F07D45">
        <w:rPr>
          <w:sz w:val="22"/>
          <w:szCs w:val="22"/>
        </w:rPr>
        <w:t>,</w:t>
      </w:r>
      <w:r w:rsidRPr="005348B9">
        <w:rPr>
          <w:sz w:val="22"/>
          <w:szCs w:val="22"/>
        </w:rPr>
        <w:t xml:space="preserve"> nákladovo efektívnejšie systémy. Realizáciou investičných priorít tejto prioritnej osi bude zabezpečené nielen plnenie špecifického cieľa zameraného na</w:t>
      </w:r>
      <w:r w:rsidR="00F07D45">
        <w:rPr>
          <w:sz w:val="22"/>
          <w:szCs w:val="22"/>
        </w:rPr>
        <w:t xml:space="preserve"> zvýšenie atraktivity verejnej osobnej dopravy, ale zároveň sa vytvoria</w:t>
      </w:r>
      <w:r w:rsidRPr="005348B9">
        <w:rPr>
          <w:sz w:val="22"/>
          <w:szCs w:val="22"/>
        </w:rPr>
        <w:t xml:space="preserve"> podmienk</w:t>
      </w:r>
      <w:r w:rsidR="00F07D45">
        <w:rPr>
          <w:sz w:val="22"/>
          <w:szCs w:val="22"/>
        </w:rPr>
        <w:t>y</w:t>
      </w:r>
      <w:r w:rsidRPr="005348B9">
        <w:rPr>
          <w:sz w:val="22"/>
          <w:szCs w:val="22"/>
        </w:rPr>
        <w:t xml:space="preserve"> pre </w:t>
      </w:r>
      <w:r>
        <w:rPr>
          <w:sz w:val="22"/>
          <w:szCs w:val="22"/>
        </w:rPr>
        <w:t>udržanie a </w:t>
      </w:r>
      <w:r w:rsidRPr="005348B9">
        <w:rPr>
          <w:sz w:val="22"/>
          <w:szCs w:val="22"/>
        </w:rPr>
        <w:t xml:space="preserve">rast </w:t>
      </w:r>
      <w:r>
        <w:rPr>
          <w:sz w:val="22"/>
          <w:szCs w:val="22"/>
        </w:rPr>
        <w:t xml:space="preserve">podielu </w:t>
      </w:r>
      <w:r w:rsidRPr="005348B9">
        <w:rPr>
          <w:sz w:val="22"/>
          <w:szCs w:val="22"/>
        </w:rPr>
        <w:t>výkonov verejnej osobnej dopravy</w:t>
      </w:r>
      <w:r>
        <w:rPr>
          <w:sz w:val="22"/>
          <w:szCs w:val="22"/>
        </w:rPr>
        <w:t xml:space="preserve"> na deľbe prepravnej práce</w:t>
      </w:r>
      <w:r w:rsidR="00F07D45">
        <w:rPr>
          <w:sz w:val="22"/>
          <w:szCs w:val="22"/>
        </w:rPr>
        <w:t xml:space="preserve"> a </w:t>
      </w:r>
      <w:r w:rsidRPr="005348B9">
        <w:rPr>
          <w:sz w:val="22"/>
          <w:szCs w:val="22"/>
        </w:rPr>
        <w:t>prispeje</w:t>
      </w:r>
      <w:r w:rsidR="00F07D45">
        <w:rPr>
          <w:sz w:val="22"/>
          <w:szCs w:val="22"/>
        </w:rPr>
        <w:t xml:space="preserve"> sa</w:t>
      </w:r>
      <w:r w:rsidRPr="005348B9">
        <w:rPr>
          <w:sz w:val="22"/>
          <w:szCs w:val="22"/>
        </w:rPr>
        <w:t xml:space="preserve"> k zvýšeniu ekologickosti, energetickej efektívnosti a prístupnosti verejnej osobnej dopravy</w:t>
      </w:r>
      <w:r w:rsidR="00B5529D">
        <w:rPr>
          <w:sz w:val="22"/>
          <w:szCs w:val="22"/>
        </w:rPr>
        <w:t>.</w:t>
      </w:r>
    </w:p>
    <w:p w:rsidR="002E2316" w:rsidRDefault="002E2316" w:rsidP="002E2316">
      <w:pPr>
        <w:spacing w:before="180" w:after="120"/>
        <w:jc w:val="both"/>
        <w:rPr>
          <w:b/>
          <w:sz w:val="22"/>
          <w:szCs w:val="22"/>
        </w:rPr>
      </w:pPr>
      <w:r w:rsidRPr="0048730E">
        <w:rPr>
          <w:sz w:val="22"/>
          <w:szCs w:val="22"/>
        </w:rPr>
        <w:t>Na základe skúseností získaných pri implementácii opatrení na zlepšenie verejnej osobnej dopravy v</w:t>
      </w:r>
      <w:r>
        <w:rPr>
          <w:sz w:val="22"/>
          <w:szCs w:val="22"/>
        </w:rPr>
        <w:t> </w:t>
      </w:r>
      <w:r w:rsidRPr="0048730E">
        <w:rPr>
          <w:sz w:val="22"/>
          <w:szCs w:val="22"/>
        </w:rPr>
        <w:t>programovom období 2007 – 2013</w:t>
      </w:r>
      <w:r>
        <w:rPr>
          <w:sz w:val="22"/>
          <w:szCs w:val="22"/>
        </w:rPr>
        <w:t xml:space="preserve"> a s cieľom nadviazať na tieto opatrenia </w:t>
      </w:r>
      <w:r w:rsidRPr="0048730E">
        <w:rPr>
          <w:sz w:val="22"/>
          <w:szCs w:val="22"/>
        </w:rPr>
        <w:t xml:space="preserve">budú ako hlavné oblasti intervencií </w:t>
      </w:r>
      <w:r>
        <w:rPr>
          <w:sz w:val="22"/>
          <w:szCs w:val="22"/>
        </w:rPr>
        <w:t xml:space="preserve">preferované </w:t>
      </w:r>
      <w:r w:rsidRPr="00A108C9">
        <w:rPr>
          <w:b/>
          <w:sz w:val="22"/>
          <w:szCs w:val="22"/>
        </w:rPr>
        <w:t>investičné akcie so zameraním na</w:t>
      </w:r>
      <w:r>
        <w:rPr>
          <w:b/>
          <w:sz w:val="22"/>
          <w:szCs w:val="22"/>
        </w:rPr>
        <w:t>:</w:t>
      </w:r>
    </w:p>
    <w:p w:rsidR="002E2316" w:rsidRPr="00BA6A87" w:rsidRDefault="002E2316" w:rsidP="00FE6025">
      <w:pPr>
        <w:pStyle w:val="Odsekzoznamu"/>
        <w:numPr>
          <w:ilvl w:val="0"/>
          <w:numId w:val="60"/>
        </w:numPr>
        <w:spacing w:before="120"/>
        <w:jc w:val="both"/>
        <w:rPr>
          <w:rFonts w:ascii="TimesNewRoman" w:hAnsi="TimesNewRoman" w:cs="TimesNewRoman"/>
          <w:sz w:val="22"/>
          <w:szCs w:val="22"/>
        </w:rPr>
      </w:pPr>
      <w:r w:rsidRPr="00BA6A87">
        <w:rPr>
          <w:sz w:val="22"/>
          <w:szCs w:val="22"/>
        </w:rPr>
        <w:t xml:space="preserve">výstavbu a modernizáciu infraštruktúry integrovaných dopravných systémov, </w:t>
      </w:r>
    </w:p>
    <w:p w:rsidR="002E2316" w:rsidRPr="00BA6A87" w:rsidRDefault="002E2316" w:rsidP="00FE6025">
      <w:pPr>
        <w:pStyle w:val="Odsekzoznamu"/>
        <w:numPr>
          <w:ilvl w:val="0"/>
          <w:numId w:val="60"/>
        </w:numPr>
        <w:spacing w:before="180"/>
        <w:jc w:val="both"/>
        <w:rPr>
          <w:rFonts w:ascii="TimesNewRoman" w:hAnsi="TimesNewRoman" w:cs="TimesNewRoman"/>
          <w:sz w:val="22"/>
          <w:szCs w:val="22"/>
        </w:rPr>
      </w:pPr>
      <w:r w:rsidRPr="00BA6A87">
        <w:rPr>
          <w:sz w:val="22"/>
          <w:szCs w:val="22"/>
        </w:rPr>
        <w:t>výstavbu a modernizáciu tratí mestskej dráhovej dopravy,</w:t>
      </w:r>
    </w:p>
    <w:p w:rsidR="002E2316" w:rsidRPr="00BA6A87" w:rsidRDefault="002E2316" w:rsidP="00FE6025">
      <w:pPr>
        <w:pStyle w:val="Odsekzoznamu"/>
        <w:numPr>
          <w:ilvl w:val="0"/>
          <w:numId w:val="60"/>
        </w:numPr>
        <w:spacing w:before="180"/>
        <w:jc w:val="both"/>
        <w:rPr>
          <w:rFonts w:ascii="TimesNewRoman" w:hAnsi="TimesNewRoman" w:cs="TimesNewRoman"/>
          <w:sz w:val="22"/>
          <w:szCs w:val="22"/>
        </w:rPr>
      </w:pPr>
      <w:r w:rsidRPr="00BA6A87">
        <w:rPr>
          <w:sz w:val="22"/>
          <w:szCs w:val="22"/>
        </w:rPr>
        <w:t>obnovu a modernizáciu mobilných prostriedkov mestskej dráhovej dopravy.</w:t>
      </w:r>
    </w:p>
    <w:p w:rsidR="00BA6A87" w:rsidRDefault="00BA6A87" w:rsidP="00BA6A87">
      <w:pPr>
        <w:spacing w:before="180"/>
        <w:jc w:val="both"/>
        <w:rPr>
          <w:b/>
          <w:sz w:val="22"/>
          <w:szCs w:val="22"/>
        </w:rPr>
      </w:pPr>
      <w:r w:rsidRPr="00A676D0">
        <w:rPr>
          <w:b/>
          <w:sz w:val="22"/>
          <w:szCs w:val="22"/>
        </w:rPr>
        <w:t xml:space="preserve">Podpora potenciálnych projektov bude podmienená existenciou komplexného strategického plánu </w:t>
      </w:r>
      <w:r>
        <w:rPr>
          <w:b/>
          <w:sz w:val="22"/>
          <w:szCs w:val="22"/>
        </w:rPr>
        <w:t xml:space="preserve">udržateľného </w:t>
      </w:r>
      <w:r w:rsidRPr="00A676D0">
        <w:rPr>
          <w:b/>
          <w:sz w:val="22"/>
          <w:szCs w:val="22"/>
        </w:rPr>
        <w:t xml:space="preserve">rozvoja </w:t>
      </w:r>
      <w:r>
        <w:rPr>
          <w:b/>
          <w:sz w:val="22"/>
          <w:szCs w:val="22"/>
        </w:rPr>
        <w:t>dopravy (generel dopravy, príp. plán udržateľnej mestskej mobility)</w:t>
      </w:r>
      <w:r w:rsidRPr="00A676D0">
        <w:rPr>
          <w:b/>
          <w:sz w:val="22"/>
          <w:szCs w:val="22"/>
        </w:rPr>
        <w:t xml:space="preserve"> v</w:t>
      </w:r>
      <w:r>
        <w:rPr>
          <w:b/>
          <w:sz w:val="22"/>
          <w:szCs w:val="22"/>
        </w:rPr>
        <w:t> </w:t>
      </w:r>
      <w:r w:rsidRPr="00A676D0">
        <w:rPr>
          <w:b/>
          <w:sz w:val="22"/>
          <w:szCs w:val="22"/>
        </w:rPr>
        <w:t xml:space="preserve">jednotlivých </w:t>
      </w:r>
      <w:r w:rsidRPr="00DA54CE">
        <w:rPr>
          <w:b/>
          <w:sz w:val="22"/>
          <w:szCs w:val="22"/>
        </w:rPr>
        <w:t xml:space="preserve">mestách </w:t>
      </w:r>
      <w:r>
        <w:rPr>
          <w:b/>
          <w:sz w:val="22"/>
          <w:szCs w:val="22"/>
        </w:rPr>
        <w:t>resp.</w:t>
      </w:r>
      <w:r w:rsidRPr="00DA54CE">
        <w:rPr>
          <w:b/>
          <w:sz w:val="22"/>
          <w:szCs w:val="22"/>
        </w:rPr>
        <w:t xml:space="preserve"> </w:t>
      </w:r>
      <w:r>
        <w:rPr>
          <w:b/>
          <w:sz w:val="22"/>
          <w:szCs w:val="22"/>
        </w:rPr>
        <w:t>regiónoch, čím sa </w:t>
      </w:r>
      <w:r w:rsidRPr="00A676D0">
        <w:rPr>
          <w:b/>
          <w:sz w:val="22"/>
          <w:szCs w:val="22"/>
        </w:rPr>
        <w:t>sleduje vhodnosť dopravného riešenia, ekonomická opodstatnenosť a</w:t>
      </w:r>
      <w:r>
        <w:rPr>
          <w:b/>
          <w:sz w:val="22"/>
          <w:szCs w:val="22"/>
        </w:rPr>
        <w:t> </w:t>
      </w:r>
      <w:r w:rsidRPr="00A676D0">
        <w:rPr>
          <w:b/>
          <w:sz w:val="22"/>
          <w:szCs w:val="22"/>
        </w:rPr>
        <w:t>trvalá udržateľnosť jednotlivých projektov, ako i</w:t>
      </w:r>
      <w:r>
        <w:rPr>
          <w:b/>
          <w:sz w:val="22"/>
          <w:szCs w:val="22"/>
        </w:rPr>
        <w:t> </w:t>
      </w:r>
      <w:r w:rsidRPr="00A676D0">
        <w:rPr>
          <w:b/>
          <w:sz w:val="22"/>
          <w:szCs w:val="22"/>
        </w:rPr>
        <w:t>mestskej hromadnej dopravy ako celku.</w:t>
      </w:r>
    </w:p>
    <w:p w:rsidR="00BA6A87" w:rsidRPr="00A304F0" w:rsidRDefault="00BA6A87" w:rsidP="00BA6A87">
      <w:pPr>
        <w:spacing w:before="180"/>
        <w:jc w:val="both"/>
        <w:rPr>
          <w:b/>
          <w:color w:val="FF0000"/>
          <w:sz w:val="22"/>
          <w:szCs w:val="22"/>
        </w:rPr>
      </w:pPr>
      <w:r w:rsidRPr="005574FF">
        <w:rPr>
          <w:b/>
          <w:sz w:val="22"/>
          <w:szCs w:val="22"/>
        </w:rPr>
        <w:t>Podmienkou poskytnutia podpory na obnovu mobilných prostriedkov v MHD bude realizácia opatrení na zabezpečenie preferencie vozidiel na tratiach, pre ktoré budú určené. Pôjde najmä o opatrenia na zabezpečenie minimalizácie zdržaní na križovatkách a priechodoch riadených svetelnou signalizáciou a o zriaďovanie vyhradených jazdných pruhov pre MHD.</w:t>
      </w:r>
    </w:p>
    <w:p w:rsidR="00D65602" w:rsidRDefault="00D65602" w:rsidP="00D65602">
      <w:pPr>
        <w:spacing w:before="180"/>
        <w:jc w:val="both"/>
        <w:rPr>
          <w:sz w:val="22"/>
          <w:szCs w:val="22"/>
        </w:rPr>
      </w:pPr>
      <w:r w:rsidRPr="003F6CA4">
        <w:rPr>
          <w:sz w:val="22"/>
          <w:szCs w:val="22"/>
        </w:rPr>
        <w:t>Na základe návrhu štruktúry operačných programov SR 2014 – 2020 budú aktivity OPII</w:t>
      </w:r>
      <w:r>
        <w:rPr>
          <w:sz w:val="22"/>
          <w:szCs w:val="22"/>
        </w:rPr>
        <w:t xml:space="preserve"> v oblasti podpory verejnej osobnej dopravy</w:t>
      </w:r>
      <w:r w:rsidRPr="003F6CA4">
        <w:rPr>
          <w:sz w:val="22"/>
          <w:szCs w:val="22"/>
        </w:rPr>
        <w:t xml:space="preserve"> komplementárne dopĺňané aj z iných zdrojov. </w:t>
      </w:r>
      <w:r w:rsidRPr="00412533">
        <w:rPr>
          <w:b/>
          <w:sz w:val="22"/>
          <w:szCs w:val="22"/>
        </w:rPr>
        <w:t>Z</w:t>
      </w:r>
      <w:r w:rsidRPr="00682BA7">
        <w:rPr>
          <w:b/>
          <w:sz w:val="22"/>
          <w:szCs w:val="22"/>
        </w:rPr>
        <w:t>o zdrojov OPII budú implementované predovšetkým veľké projekty spolufinancované z</w:t>
      </w:r>
      <w:r>
        <w:rPr>
          <w:b/>
          <w:sz w:val="22"/>
          <w:szCs w:val="22"/>
        </w:rPr>
        <w:t xml:space="preserve"> KF </w:t>
      </w:r>
      <w:r w:rsidRPr="00682BA7">
        <w:rPr>
          <w:b/>
          <w:sz w:val="22"/>
          <w:szCs w:val="22"/>
        </w:rPr>
        <w:t>s rozhodujúcim a systémovým vplyvom na fungovanie verejnej osobnej dopravy na Slovensku.</w:t>
      </w:r>
    </w:p>
    <w:p w:rsidR="006272CE" w:rsidRDefault="006272CE" w:rsidP="006272CE">
      <w:pPr>
        <w:spacing w:before="180"/>
        <w:jc w:val="both"/>
        <w:rPr>
          <w:sz w:val="22"/>
          <w:szCs w:val="22"/>
        </w:rPr>
      </w:pPr>
      <w:r>
        <w:rPr>
          <w:sz w:val="22"/>
          <w:szCs w:val="22"/>
        </w:rPr>
        <w:t xml:space="preserve">Aktivity prioritnej osi sú komplementárne s aktivitami </w:t>
      </w:r>
      <w:r w:rsidR="00B5529D">
        <w:rPr>
          <w:sz w:val="22"/>
          <w:szCs w:val="22"/>
        </w:rPr>
        <w:t>P</w:t>
      </w:r>
      <w:r>
        <w:rPr>
          <w:sz w:val="22"/>
          <w:szCs w:val="22"/>
        </w:rPr>
        <w:t xml:space="preserve">rioritnej osi 1 Integrovaného regionálneho operačného programu. Zatiaľ čo OPII je v oblasti podpory mestskej a regionálnej mobility zameraný na investične najnáročnejšiu dráhovú dopravu, IROP sa zameriava na podporné aktivity a tzv. mäkké opatrenia vrátane ďalších módov ekologicky priaznivejších druhov dopravy. </w:t>
      </w:r>
      <w:r w:rsidR="002E2316">
        <w:rPr>
          <w:sz w:val="22"/>
          <w:szCs w:val="22"/>
        </w:rPr>
        <w:t xml:space="preserve">Detailnejšie informácie o deliacich líniách, ako aj možnostiach spolupráce medzi OPII a IROP </w:t>
      </w:r>
      <w:r>
        <w:rPr>
          <w:sz w:val="22"/>
          <w:szCs w:val="22"/>
        </w:rPr>
        <w:t xml:space="preserve">sú uvedené v kapitole </w:t>
      </w:r>
      <w:r w:rsidR="00DC571B">
        <w:rPr>
          <w:sz w:val="22"/>
          <w:szCs w:val="22"/>
        </w:rPr>
        <w:t>8</w:t>
      </w:r>
      <w:r>
        <w:rPr>
          <w:sz w:val="22"/>
          <w:szCs w:val="22"/>
        </w:rPr>
        <w:t>.1.</w:t>
      </w:r>
    </w:p>
    <w:p w:rsidR="00BA6A87" w:rsidRDefault="00883E00" w:rsidP="00BA6A87">
      <w:pPr>
        <w:spacing w:before="180"/>
        <w:jc w:val="both"/>
        <w:rPr>
          <w:sz w:val="22"/>
          <w:szCs w:val="22"/>
        </w:rPr>
      </w:pPr>
      <w:r w:rsidRPr="003F6CA4">
        <w:rPr>
          <w:sz w:val="22"/>
          <w:szCs w:val="22"/>
        </w:rPr>
        <w:t xml:space="preserve">Zo zdrojov </w:t>
      </w:r>
      <w:r>
        <w:rPr>
          <w:sz w:val="22"/>
          <w:szCs w:val="22"/>
        </w:rPr>
        <w:t>I</w:t>
      </w:r>
      <w:r w:rsidRPr="003F6CA4">
        <w:rPr>
          <w:sz w:val="22"/>
          <w:szCs w:val="22"/>
        </w:rPr>
        <w:t xml:space="preserve">ROP, prostredníctvom </w:t>
      </w:r>
      <w:r>
        <w:rPr>
          <w:sz w:val="22"/>
          <w:szCs w:val="22"/>
        </w:rPr>
        <w:t>príslušných regionálnych</w:t>
      </w:r>
      <w:r w:rsidRPr="003F6CA4">
        <w:rPr>
          <w:sz w:val="22"/>
          <w:szCs w:val="22"/>
        </w:rPr>
        <w:t xml:space="preserve"> „integrovaných </w:t>
      </w:r>
      <w:r>
        <w:rPr>
          <w:sz w:val="22"/>
          <w:szCs w:val="22"/>
        </w:rPr>
        <w:t xml:space="preserve">regionálnych </w:t>
      </w:r>
      <w:r w:rsidRPr="003F6CA4">
        <w:rPr>
          <w:sz w:val="22"/>
          <w:szCs w:val="22"/>
        </w:rPr>
        <w:t xml:space="preserve">stratégii“, bude možné spolufinancovať </w:t>
      </w:r>
      <w:r>
        <w:rPr>
          <w:sz w:val="22"/>
          <w:szCs w:val="22"/>
        </w:rPr>
        <w:t xml:space="preserve">spracovanie stratégií rozvoja dopravy a dopravnej obslužnosti, nákup vozidiel na prevádzku verejnej osobnej dopravy v rámci IDS, </w:t>
      </w:r>
      <w:r w:rsidRPr="003F6CA4">
        <w:rPr>
          <w:sz w:val="22"/>
          <w:szCs w:val="22"/>
        </w:rPr>
        <w:t xml:space="preserve">realizáciu opatrení na ekologizáciu </w:t>
      </w:r>
      <w:r w:rsidRPr="003F6CA4">
        <w:rPr>
          <w:sz w:val="22"/>
          <w:szCs w:val="22"/>
        </w:rPr>
        <w:lastRenderedPageBreak/>
        <w:t xml:space="preserve">dopravy, opatrení zameraných na previazanosť nosnej dráhovej dopravy na doplnkovú autobusovú dopravu, </w:t>
      </w:r>
      <w:r>
        <w:rPr>
          <w:sz w:val="22"/>
          <w:szCs w:val="22"/>
        </w:rPr>
        <w:t>budovanie združených zastávok</w:t>
      </w:r>
      <w:r w:rsidRPr="003F6CA4">
        <w:rPr>
          <w:sz w:val="22"/>
          <w:szCs w:val="22"/>
        </w:rPr>
        <w:t>, budovanie dispečerských centier</w:t>
      </w:r>
      <w:r>
        <w:rPr>
          <w:sz w:val="22"/>
          <w:szCs w:val="22"/>
        </w:rPr>
        <w:t>,</w:t>
      </w:r>
      <w:r w:rsidRPr="003F6CA4">
        <w:rPr>
          <w:sz w:val="22"/>
          <w:szCs w:val="22"/>
        </w:rPr>
        <w:t xml:space="preserve"> podporu zavádzania jednotných tarifných systémov a sústav cestovných dokladov, podporu cyklistickej infraštruktúry</w:t>
      </w:r>
      <w:r>
        <w:rPr>
          <w:sz w:val="22"/>
          <w:szCs w:val="22"/>
        </w:rPr>
        <w:t xml:space="preserve">, </w:t>
      </w:r>
      <w:r w:rsidRPr="003F6CA4">
        <w:rPr>
          <w:sz w:val="22"/>
          <w:szCs w:val="22"/>
        </w:rPr>
        <w:t>realizáciu o</w:t>
      </w:r>
      <w:r>
        <w:rPr>
          <w:sz w:val="22"/>
          <w:szCs w:val="22"/>
        </w:rPr>
        <w:t>patrení na upokojovanie dopravy</w:t>
      </w:r>
      <w:r w:rsidRPr="003F6CA4">
        <w:rPr>
          <w:sz w:val="22"/>
          <w:szCs w:val="22"/>
        </w:rPr>
        <w:t xml:space="preserve"> a pod.</w:t>
      </w:r>
      <w:r>
        <w:rPr>
          <w:sz w:val="22"/>
          <w:szCs w:val="22"/>
        </w:rPr>
        <w:t xml:space="preserve"> (pozri tiež kap. </w:t>
      </w:r>
      <w:r w:rsidR="00DC571B">
        <w:rPr>
          <w:sz w:val="22"/>
          <w:szCs w:val="22"/>
        </w:rPr>
        <w:t>8</w:t>
      </w:r>
      <w:r>
        <w:rPr>
          <w:sz w:val="22"/>
          <w:szCs w:val="22"/>
        </w:rPr>
        <w:t>.1).</w:t>
      </w:r>
    </w:p>
    <w:p w:rsidR="00BA6A87" w:rsidRPr="005348B9" w:rsidRDefault="00BA6A87" w:rsidP="00BA6A87">
      <w:pPr>
        <w:spacing w:before="180"/>
        <w:jc w:val="both"/>
        <w:rPr>
          <w:sz w:val="22"/>
          <w:szCs w:val="22"/>
        </w:rPr>
      </w:pPr>
      <w:r>
        <w:rPr>
          <w:sz w:val="22"/>
          <w:szCs w:val="22"/>
        </w:rPr>
        <w:t xml:space="preserve">Predpokladom dosiahnutia stanovených cieľov je nielen realizácia aktivít prostredníctvom OPII a IROP, ale aj realizácia súvisiacich organizačných a prevádzkových opatrení </w:t>
      </w:r>
      <w:r>
        <w:rPr>
          <w:color w:val="000000"/>
          <w:sz w:val="22"/>
          <w:szCs w:val="22"/>
        </w:rPr>
        <w:t>Stratégie</w:t>
      </w:r>
      <w:r w:rsidRPr="00A5254D">
        <w:rPr>
          <w:color w:val="000000"/>
          <w:sz w:val="22"/>
          <w:szCs w:val="22"/>
        </w:rPr>
        <w:t xml:space="preserve"> rozvoja verejnej osobnej </w:t>
      </w:r>
      <w:r>
        <w:rPr>
          <w:color w:val="000000"/>
          <w:sz w:val="22"/>
          <w:szCs w:val="22"/>
        </w:rPr>
        <w:t>a </w:t>
      </w:r>
      <w:r w:rsidRPr="0044578F">
        <w:rPr>
          <w:sz w:val="22"/>
          <w:szCs w:val="22"/>
        </w:rPr>
        <w:t>nemotorovej</w:t>
      </w:r>
      <w:r>
        <w:rPr>
          <w:color w:val="000000"/>
          <w:sz w:val="22"/>
          <w:szCs w:val="22"/>
        </w:rPr>
        <w:t xml:space="preserve"> </w:t>
      </w:r>
      <w:r w:rsidRPr="00A5254D">
        <w:rPr>
          <w:color w:val="000000"/>
          <w:sz w:val="22"/>
          <w:szCs w:val="22"/>
        </w:rPr>
        <w:t>dopravy</w:t>
      </w:r>
      <w:r>
        <w:rPr>
          <w:color w:val="000000"/>
          <w:sz w:val="22"/>
          <w:szCs w:val="22"/>
        </w:rPr>
        <w:t xml:space="preserve"> </w:t>
      </w:r>
      <w:r w:rsidRPr="00A348ED">
        <w:rPr>
          <w:sz w:val="22"/>
          <w:szCs w:val="22"/>
        </w:rPr>
        <w:t>SR do roku 2020</w:t>
      </w:r>
      <w:r>
        <w:rPr>
          <w:sz w:val="22"/>
          <w:szCs w:val="22"/>
        </w:rPr>
        <w:t>.</w:t>
      </w:r>
    </w:p>
    <w:p w:rsidR="00883E00" w:rsidRPr="00004EB3" w:rsidRDefault="00883E00" w:rsidP="00883E00">
      <w:pPr>
        <w:spacing w:before="180" w:after="120"/>
        <w:jc w:val="both"/>
        <w:rPr>
          <w:sz w:val="22"/>
          <w:szCs w:val="22"/>
          <w:u w:val="single"/>
        </w:rPr>
      </w:pPr>
      <w:r w:rsidRPr="00004EB3">
        <w:rPr>
          <w:sz w:val="22"/>
          <w:szCs w:val="22"/>
          <w:u w:val="single"/>
        </w:rPr>
        <w:t xml:space="preserve">Podpora </w:t>
      </w:r>
      <w:r>
        <w:rPr>
          <w:sz w:val="22"/>
          <w:szCs w:val="22"/>
          <w:u w:val="single"/>
        </w:rPr>
        <w:t>verejnej osobnej dopravy</w:t>
      </w:r>
      <w:r w:rsidRPr="00004EB3">
        <w:rPr>
          <w:sz w:val="22"/>
          <w:szCs w:val="22"/>
          <w:u w:val="single"/>
        </w:rPr>
        <w:t xml:space="preserve"> v</w:t>
      </w:r>
      <w:r>
        <w:rPr>
          <w:sz w:val="22"/>
          <w:szCs w:val="22"/>
          <w:u w:val="single"/>
        </w:rPr>
        <w:t> meste Bratislava</w:t>
      </w:r>
    </w:p>
    <w:p w:rsidR="00883E00" w:rsidRPr="00DA54CE" w:rsidRDefault="00883E00" w:rsidP="00883E00">
      <w:pPr>
        <w:spacing w:before="120" w:after="120"/>
        <w:jc w:val="both"/>
        <w:rPr>
          <w:sz w:val="22"/>
          <w:szCs w:val="22"/>
        </w:rPr>
      </w:pPr>
      <w:r>
        <w:rPr>
          <w:sz w:val="22"/>
          <w:szCs w:val="22"/>
        </w:rPr>
        <w:t>Hlavné m</w:t>
      </w:r>
      <w:r w:rsidRPr="00DA54CE">
        <w:rPr>
          <w:sz w:val="22"/>
          <w:szCs w:val="22"/>
        </w:rPr>
        <w:t xml:space="preserve">esto </w:t>
      </w:r>
      <w:r>
        <w:rPr>
          <w:sz w:val="22"/>
          <w:szCs w:val="22"/>
        </w:rPr>
        <w:t xml:space="preserve">SR </w:t>
      </w:r>
      <w:r w:rsidRPr="00DA54CE">
        <w:rPr>
          <w:sz w:val="22"/>
          <w:szCs w:val="22"/>
        </w:rPr>
        <w:t xml:space="preserve">Bratislava je významným vnútroštátnym i medzinárodným dopravným uzlom, kľúčovým hospodárskym a politicko-administratívnym centrom. </w:t>
      </w:r>
      <w:r>
        <w:rPr>
          <w:sz w:val="22"/>
          <w:szCs w:val="22"/>
        </w:rPr>
        <w:t>Mestská hromadná doprava na území mesta je v súčasnosti tvorená sieťou električkových</w:t>
      </w:r>
      <w:r w:rsidR="00D65602">
        <w:rPr>
          <w:sz w:val="22"/>
          <w:szCs w:val="22"/>
        </w:rPr>
        <w:t xml:space="preserve"> a</w:t>
      </w:r>
      <w:r>
        <w:rPr>
          <w:sz w:val="22"/>
          <w:szCs w:val="22"/>
        </w:rPr>
        <w:t xml:space="preserve"> trolejbusových </w:t>
      </w:r>
      <w:r w:rsidR="00D65602">
        <w:rPr>
          <w:sz w:val="22"/>
          <w:szCs w:val="22"/>
        </w:rPr>
        <w:t xml:space="preserve">tratí </w:t>
      </w:r>
      <w:r>
        <w:rPr>
          <w:sz w:val="22"/>
          <w:szCs w:val="22"/>
        </w:rPr>
        <w:t xml:space="preserve">a autobusových </w:t>
      </w:r>
      <w:r w:rsidR="00D65602">
        <w:rPr>
          <w:sz w:val="22"/>
          <w:szCs w:val="22"/>
        </w:rPr>
        <w:t>liniek</w:t>
      </w:r>
      <w:r>
        <w:rPr>
          <w:sz w:val="22"/>
          <w:szCs w:val="22"/>
        </w:rPr>
        <w:t xml:space="preserve">, ktoré sú navzájom komplementárne, pričom časť autobusovej dopravy tvorí doplnkovú dopravu k električkovej a trolejbusovej doprave. </w:t>
      </w:r>
      <w:r w:rsidRPr="00DA54CE">
        <w:rPr>
          <w:sz w:val="22"/>
          <w:szCs w:val="22"/>
        </w:rPr>
        <w:t xml:space="preserve">Významnou </w:t>
      </w:r>
      <w:r w:rsidR="00E044BB">
        <w:rPr>
          <w:sz w:val="22"/>
          <w:szCs w:val="22"/>
        </w:rPr>
        <w:t>prekážkou</w:t>
      </w:r>
      <w:r>
        <w:rPr>
          <w:sz w:val="22"/>
          <w:szCs w:val="22"/>
        </w:rPr>
        <w:t xml:space="preserve"> z hľadiska realizácie dopravy</w:t>
      </w:r>
      <w:r w:rsidRPr="00DA54CE">
        <w:rPr>
          <w:sz w:val="22"/>
          <w:szCs w:val="22"/>
        </w:rPr>
        <w:t xml:space="preserve"> sú </w:t>
      </w:r>
      <w:r w:rsidR="00E044BB">
        <w:rPr>
          <w:sz w:val="22"/>
          <w:szCs w:val="22"/>
        </w:rPr>
        <w:t xml:space="preserve">geografické danosti, napr. bariéra Malých Karpát a rieka </w:t>
      </w:r>
      <w:r w:rsidRPr="00DA54CE">
        <w:rPr>
          <w:sz w:val="22"/>
          <w:szCs w:val="22"/>
        </w:rPr>
        <w:t>Dunaj</w:t>
      </w:r>
      <w:r w:rsidR="00E044BB">
        <w:rPr>
          <w:sz w:val="22"/>
          <w:szCs w:val="22"/>
        </w:rPr>
        <w:t xml:space="preserve">, sídelné a priemyselné usporiadanie </w:t>
      </w:r>
      <w:r w:rsidR="00854690">
        <w:rPr>
          <w:sz w:val="22"/>
          <w:szCs w:val="22"/>
        </w:rPr>
        <w:t xml:space="preserve">mestských častí </w:t>
      </w:r>
      <w:r w:rsidR="00E044BB">
        <w:rPr>
          <w:sz w:val="22"/>
          <w:szCs w:val="22"/>
        </w:rPr>
        <w:t xml:space="preserve">a z toho vyplývajúci </w:t>
      </w:r>
      <w:r w:rsidRPr="00DA54CE">
        <w:rPr>
          <w:sz w:val="22"/>
          <w:szCs w:val="22"/>
        </w:rPr>
        <w:t>odlišný vývoj Bratislavy na ľavom a pravom brehu Dunaja.</w:t>
      </w:r>
    </w:p>
    <w:p w:rsidR="00883E00" w:rsidRPr="00DA54CE" w:rsidRDefault="00883E00" w:rsidP="00883E00">
      <w:pPr>
        <w:spacing w:before="180" w:after="120"/>
        <w:jc w:val="both"/>
        <w:rPr>
          <w:sz w:val="22"/>
          <w:szCs w:val="22"/>
        </w:rPr>
      </w:pPr>
      <w:r>
        <w:rPr>
          <w:sz w:val="22"/>
          <w:szCs w:val="22"/>
        </w:rPr>
        <w:t xml:space="preserve">Zatiaľ čo na ľavom brehu </w:t>
      </w:r>
      <w:r w:rsidR="00041F3B">
        <w:rPr>
          <w:sz w:val="22"/>
          <w:szCs w:val="22"/>
        </w:rPr>
        <w:t>rieky Dunaj</w:t>
      </w:r>
      <w:r>
        <w:rPr>
          <w:sz w:val="22"/>
          <w:szCs w:val="22"/>
        </w:rPr>
        <w:t xml:space="preserve"> je v</w:t>
      </w:r>
      <w:r w:rsidR="00CD50FE">
        <w:rPr>
          <w:sz w:val="22"/>
          <w:szCs w:val="22"/>
        </w:rPr>
        <w:t>o</w:t>
      </w:r>
      <w:r>
        <w:rPr>
          <w:sz w:val="22"/>
          <w:szCs w:val="22"/>
        </w:rPr>
        <w:t xml:space="preserve"> väčšine husto obývaných častí mesta MHD zabezpečovaná sieťou električkových a trolejbusových liniek, na pravom brehu Dunaja je situácia odlišná. </w:t>
      </w:r>
      <w:r w:rsidRPr="00DA54CE">
        <w:rPr>
          <w:sz w:val="22"/>
          <w:szCs w:val="22"/>
        </w:rPr>
        <w:t>Mestská časť Bratislav</w:t>
      </w:r>
      <w:r w:rsidR="00041F3B">
        <w:rPr>
          <w:sz w:val="22"/>
          <w:szCs w:val="22"/>
        </w:rPr>
        <w:t xml:space="preserve">a, </w:t>
      </w:r>
      <w:r w:rsidRPr="00DA54CE">
        <w:rPr>
          <w:sz w:val="22"/>
          <w:szCs w:val="22"/>
        </w:rPr>
        <w:t xml:space="preserve">Petržalka bola v minulosti rozvíjaná </w:t>
      </w:r>
      <w:r w:rsidR="00041F3B">
        <w:rPr>
          <w:sz w:val="22"/>
          <w:szCs w:val="22"/>
        </w:rPr>
        <w:t>prioritne ako obytná zóna</w:t>
      </w:r>
      <w:r w:rsidR="00CD50FE">
        <w:rPr>
          <w:sz w:val="22"/>
          <w:szCs w:val="22"/>
        </w:rPr>
        <w:t>.</w:t>
      </w:r>
      <w:r>
        <w:rPr>
          <w:sz w:val="22"/>
          <w:szCs w:val="22"/>
        </w:rPr>
        <w:t xml:space="preserve"> </w:t>
      </w:r>
      <w:r w:rsidR="00CD50FE">
        <w:rPr>
          <w:sz w:val="22"/>
          <w:szCs w:val="22"/>
        </w:rPr>
        <w:t>V</w:t>
      </w:r>
      <w:r w:rsidR="00041F3B">
        <w:rPr>
          <w:sz w:val="22"/>
          <w:szCs w:val="22"/>
        </w:rPr>
        <w:t> </w:t>
      </w:r>
      <w:r w:rsidRPr="00DA54CE">
        <w:rPr>
          <w:sz w:val="22"/>
          <w:szCs w:val="22"/>
        </w:rPr>
        <w:t>súčasnosti</w:t>
      </w:r>
      <w:r w:rsidR="00041F3B">
        <w:rPr>
          <w:sz w:val="22"/>
          <w:szCs w:val="22"/>
        </w:rPr>
        <w:t xml:space="preserve"> má</w:t>
      </w:r>
      <w:r w:rsidRPr="00DA54CE">
        <w:rPr>
          <w:sz w:val="22"/>
          <w:szCs w:val="22"/>
        </w:rPr>
        <w:t xml:space="preserve"> cca 115 tis. obyvateľov a je to jedna z najhustejšie obývaných oblastí na Slovensku i</w:t>
      </w:r>
      <w:r>
        <w:rPr>
          <w:sz w:val="22"/>
          <w:szCs w:val="22"/>
        </w:rPr>
        <w:t> </w:t>
      </w:r>
      <w:r w:rsidRPr="00DA54CE">
        <w:rPr>
          <w:sz w:val="22"/>
          <w:szCs w:val="22"/>
        </w:rPr>
        <w:t>v</w:t>
      </w:r>
      <w:r>
        <w:rPr>
          <w:sz w:val="22"/>
          <w:szCs w:val="22"/>
        </w:rPr>
        <w:t> </w:t>
      </w:r>
      <w:r w:rsidRPr="00DA54CE">
        <w:rPr>
          <w:sz w:val="22"/>
          <w:szCs w:val="22"/>
        </w:rPr>
        <w:t>strednej Európe. Mestská hr</w:t>
      </w:r>
      <w:r w:rsidR="00041F3B">
        <w:rPr>
          <w:sz w:val="22"/>
          <w:szCs w:val="22"/>
        </w:rPr>
        <w:t>omadná doprava v Petržalke je za</w:t>
      </w:r>
      <w:r w:rsidRPr="00DA54CE">
        <w:rPr>
          <w:sz w:val="22"/>
          <w:szCs w:val="22"/>
        </w:rPr>
        <w:t>bezpečovaná výlučne autobusovou dopravou</w:t>
      </w:r>
      <w:r>
        <w:rPr>
          <w:sz w:val="22"/>
          <w:szCs w:val="22"/>
        </w:rPr>
        <w:t xml:space="preserve"> po existu</w:t>
      </w:r>
      <w:r w:rsidR="00041F3B">
        <w:rPr>
          <w:sz w:val="22"/>
          <w:szCs w:val="22"/>
        </w:rPr>
        <w:t xml:space="preserve">júcich komunikáciách. Plánovaná výstavba </w:t>
      </w:r>
      <w:r>
        <w:rPr>
          <w:sz w:val="22"/>
          <w:szCs w:val="22"/>
        </w:rPr>
        <w:t>kapacitného nosného systému koľajovej dopravy sa de</w:t>
      </w:r>
      <w:r w:rsidR="00041F3B">
        <w:rPr>
          <w:sz w:val="22"/>
          <w:szCs w:val="22"/>
        </w:rPr>
        <w:t>siatky rokov nerealizovala, dô</w:t>
      </w:r>
      <w:r>
        <w:rPr>
          <w:sz w:val="22"/>
          <w:szCs w:val="22"/>
        </w:rPr>
        <w:t xml:space="preserve">sledkom </w:t>
      </w:r>
      <w:r w:rsidR="00041F3B">
        <w:rPr>
          <w:sz w:val="22"/>
          <w:szCs w:val="22"/>
        </w:rPr>
        <w:t xml:space="preserve">čoho </w:t>
      </w:r>
      <w:r>
        <w:rPr>
          <w:sz w:val="22"/>
          <w:szCs w:val="22"/>
        </w:rPr>
        <w:t>je nízka konkurencieschopnosť MHD v tejto mestskej časti.</w:t>
      </w:r>
    </w:p>
    <w:p w:rsidR="00883E00" w:rsidRDefault="00883E00" w:rsidP="00883E00">
      <w:pPr>
        <w:spacing w:before="180" w:after="120"/>
        <w:jc w:val="both"/>
        <w:rPr>
          <w:sz w:val="22"/>
          <w:szCs w:val="22"/>
        </w:rPr>
      </w:pPr>
      <w:r w:rsidRPr="00DA54CE">
        <w:rPr>
          <w:sz w:val="22"/>
          <w:szCs w:val="22"/>
        </w:rPr>
        <w:t>Nevyvážený stav rozvoja mestských častí prispieva k nárastu individuálnej automobilovej dopravy a narastajúcej záťaži existujúcich mostov cez Dunaj, najmä v čase dopravnej špičky. Starý most, ktorý slúžil cestnej doprave, vrátane MHD, bol v dôsledku nevyhovujúceho a havarijného stavu</w:t>
      </w:r>
      <w:r w:rsidR="000A13E3" w:rsidRPr="000A13E3">
        <w:rPr>
          <w:sz w:val="22"/>
          <w:szCs w:val="22"/>
        </w:rPr>
        <w:t xml:space="preserve"> </w:t>
      </w:r>
      <w:r w:rsidR="000A13E3" w:rsidRPr="00DA54CE">
        <w:rPr>
          <w:sz w:val="22"/>
          <w:szCs w:val="22"/>
        </w:rPr>
        <w:t>postupne z prevádzky vylúčený</w:t>
      </w:r>
      <w:r w:rsidR="00CF23A0">
        <w:rPr>
          <w:sz w:val="22"/>
          <w:szCs w:val="22"/>
        </w:rPr>
        <w:t xml:space="preserve"> a uzatvorený</w:t>
      </w:r>
      <w:r w:rsidRPr="00DA54CE">
        <w:rPr>
          <w:sz w:val="22"/>
          <w:szCs w:val="22"/>
        </w:rPr>
        <w:t xml:space="preserve">. </w:t>
      </w:r>
      <w:r>
        <w:rPr>
          <w:b/>
          <w:sz w:val="22"/>
          <w:szCs w:val="22"/>
        </w:rPr>
        <w:t>Na</w:t>
      </w:r>
      <w:r w:rsidRPr="00DA54CE">
        <w:rPr>
          <w:b/>
          <w:sz w:val="22"/>
          <w:szCs w:val="22"/>
        </w:rPr>
        <w:t xml:space="preserve"> zlepšenie súčasného stavu verejnej osobnej dopravy v hlavnom meste je preto nevyhnutn</w:t>
      </w:r>
      <w:r>
        <w:rPr>
          <w:b/>
          <w:sz w:val="22"/>
          <w:szCs w:val="22"/>
        </w:rPr>
        <w:t>ý rozvoj</w:t>
      </w:r>
      <w:r w:rsidRPr="00DA54CE">
        <w:rPr>
          <w:b/>
          <w:sz w:val="22"/>
          <w:szCs w:val="22"/>
        </w:rPr>
        <w:t xml:space="preserve"> vysokokapacitného, ekologického a </w:t>
      </w:r>
      <w:r>
        <w:rPr>
          <w:b/>
          <w:sz w:val="22"/>
          <w:szCs w:val="22"/>
        </w:rPr>
        <w:t xml:space="preserve">segregovaného koľajového </w:t>
      </w:r>
      <w:r w:rsidRPr="00DA54CE">
        <w:rPr>
          <w:b/>
          <w:sz w:val="22"/>
          <w:szCs w:val="22"/>
        </w:rPr>
        <w:t xml:space="preserve">nosného systému prepravy </w:t>
      </w:r>
      <w:r>
        <w:rPr>
          <w:b/>
          <w:sz w:val="22"/>
          <w:szCs w:val="22"/>
        </w:rPr>
        <w:t>cestujúcich</w:t>
      </w:r>
      <w:r w:rsidRPr="00DA54CE">
        <w:rPr>
          <w:b/>
          <w:sz w:val="22"/>
          <w:szCs w:val="22"/>
        </w:rPr>
        <w:t>.</w:t>
      </w:r>
      <w:r w:rsidRPr="00DA54CE">
        <w:rPr>
          <w:sz w:val="22"/>
          <w:szCs w:val="22"/>
        </w:rPr>
        <w:t xml:space="preserve"> </w:t>
      </w:r>
      <w:r w:rsidRPr="00DA54CE">
        <w:rPr>
          <w:b/>
          <w:sz w:val="22"/>
          <w:szCs w:val="22"/>
        </w:rPr>
        <w:t xml:space="preserve">Dôležité je najmä </w:t>
      </w:r>
      <w:r>
        <w:rPr>
          <w:b/>
          <w:sz w:val="22"/>
          <w:szCs w:val="22"/>
        </w:rPr>
        <w:t>zvýšiť kapacitu</w:t>
      </w:r>
      <w:r w:rsidRPr="00DA54CE">
        <w:rPr>
          <w:b/>
          <w:sz w:val="22"/>
          <w:szCs w:val="22"/>
        </w:rPr>
        <w:t xml:space="preserve"> a zrýchliť prepojenie prímestských častí s centrom a prepojenie centra s mestskou časťou Petržalka</w:t>
      </w:r>
      <w:r>
        <w:rPr>
          <w:sz w:val="22"/>
          <w:szCs w:val="22"/>
        </w:rPr>
        <w:t>.</w:t>
      </w:r>
    </w:p>
    <w:p w:rsidR="00883E00" w:rsidRDefault="00883E00" w:rsidP="00883E00">
      <w:pPr>
        <w:spacing w:before="180"/>
        <w:jc w:val="both"/>
        <w:rPr>
          <w:sz w:val="22"/>
          <w:szCs w:val="22"/>
        </w:rPr>
      </w:pPr>
      <w:r w:rsidRPr="00DA54CE">
        <w:rPr>
          <w:sz w:val="22"/>
          <w:szCs w:val="22"/>
        </w:rPr>
        <w:t xml:space="preserve">Na základe uvedeného budú zdroje prioritnej osi </w:t>
      </w:r>
      <w:r>
        <w:rPr>
          <w:sz w:val="22"/>
          <w:szCs w:val="22"/>
        </w:rPr>
        <w:t xml:space="preserve">prioritne </w:t>
      </w:r>
      <w:r w:rsidRPr="00DA54CE">
        <w:rPr>
          <w:sz w:val="22"/>
          <w:szCs w:val="22"/>
        </w:rPr>
        <w:t xml:space="preserve">použité na zabezpečenie pokračovania výstavby novej električkovej trate, a to </w:t>
      </w:r>
      <w:r w:rsidRPr="00120979">
        <w:rPr>
          <w:b/>
          <w:sz w:val="22"/>
          <w:szCs w:val="22"/>
        </w:rPr>
        <w:t>v úseku Bosákova ulica – Janíkov dvor</w:t>
      </w:r>
      <w:r w:rsidRPr="00DA54CE">
        <w:rPr>
          <w:sz w:val="22"/>
          <w:szCs w:val="22"/>
        </w:rPr>
        <w:t>. Projekt plynule nadviaže na aktivity implementované v programovom období 2007 – 2013, v rámci ktor</w:t>
      </w:r>
      <w:r>
        <w:rPr>
          <w:sz w:val="22"/>
          <w:szCs w:val="22"/>
        </w:rPr>
        <w:t>ých</w:t>
      </w:r>
      <w:r w:rsidRPr="00DA54CE">
        <w:rPr>
          <w:sz w:val="22"/>
          <w:szCs w:val="22"/>
        </w:rPr>
        <w:t xml:space="preserve"> bola začatá výstavba 1. etapy v úseku Šafárikovo námestie – Bosákova ulica vrátane rekonštrukcie Starého mosta. Realizácia projektu umožní prepojiť jestvujúcu električkovú s</w:t>
      </w:r>
      <w:r>
        <w:rPr>
          <w:sz w:val="22"/>
          <w:szCs w:val="22"/>
        </w:rPr>
        <w:t>ieť na území mesta Bratislavy s </w:t>
      </w:r>
      <w:r w:rsidRPr="00DA54CE">
        <w:rPr>
          <w:sz w:val="22"/>
          <w:szCs w:val="22"/>
        </w:rPr>
        <w:t xml:space="preserve">Petržalkou. Vybudovanie </w:t>
      </w:r>
      <w:r>
        <w:rPr>
          <w:sz w:val="22"/>
          <w:szCs w:val="22"/>
        </w:rPr>
        <w:t>trate</w:t>
      </w:r>
      <w:r w:rsidRPr="00DA54CE">
        <w:rPr>
          <w:sz w:val="22"/>
          <w:szCs w:val="22"/>
        </w:rPr>
        <w:t xml:space="preserve"> umožní realizovať </w:t>
      </w:r>
      <w:r>
        <w:rPr>
          <w:sz w:val="22"/>
          <w:szCs w:val="22"/>
        </w:rPr>
        <w:t>segregovanú</w:t>
      </w:r>
      <w:r w:rsidRPr="00DA54CE">
        <w:rPr>
          <w:sz w:val="22"/>
          <w:szCs w:val="22"/>
        </w:rPr>
        <w:t xml:space="preserve"> koľajovú dopravu</w:t>
      </w:r>
      <w:r>
        <w:rPr>
          <w:sz w:val="22"/>
          <w:szCs w:val="22"/>
        </w:rPr>
        <w:t xml:space="preserve"> a </w:t>
      </w:r>
      <w:r w:rsidRPr="00DA54CE">
        <w:rPr>
          <w:sz w:val="22"/>
          <w:szCs w:val="22"/>
        </w:rPr>
        <w:t>prepojiť trasy pešej a cyklistickej dopravy cez Starý most</w:t>
      </w:r>
      <w:r>
        <w:rPr>
          <w:sz w:val="22"/>
          <w:szCs w:val="22"/>
        </w:rPr>
        <w:t xml:space="preserve">. </w:t>
      </w:r>
      <w:r w:rsidRPr="00DA54CE">
        <w:rPr>
          <w:sz w:val="22"/>
          <w:szCs w:val="22"/>
        </w:rPr>
        <w:t>Vybudovaním trate dôjde k úspore času cestovania a projekt prispeje k zvýšeniu atrak</w:t>
      </w:r>
      <w:r>
        <w:rPr>
          <w:sz w:val="22"/>
          <w:szCs w:val="22"/>
        </w:rPr>
        <w:t>tivity verejnej osobnej dopravy v hlavnom meste SR.</w:t>
      </w:r>
    </w:p>
    <w:p w:rsidR="00CF23A0" w:rsidRPr="004A479A" w:rsidRDefault="00883E00" w:rsidP="00CF23A0">
      <w:pPr>
        <w:autoSpaceDE w:val="0"/>
        <w:autoSpaceDN w:val="0"/>
        <w:adjustRightInd w:val="0"/>
        <w:spacing w:before="180" w:after="120"/>
        <w:jc w:val="both"/>
        <w:rPr>
          <w:sz w:val="22"/>
          <w:szCs w:val="22"/>
        </w:rPr>
      </w:pPr>
      <w:r w:rsidRPr="00120979">
        <w:rPr>
          <w:sz w:val="22"/>
          <w:szCs w:val="22"/>
        </w:rPr>
        <w:t xml:space="preserve">K zlepšeniu stavu </w:t>
      </w:r>
      <w:r>
        <w:rPr>
          <w:sz w:val="22"/>
          <w:szCs w:val="22"/>
        </w:rPr>
        <w:t>dráhovej MHD</w:t>
      </w:r>
      <w:r w:rsidRPr="00120979">
        <w:rPr>
          <w:sz w:val="22"/>
          <w:szCs w:val="22"/>
        </w:rPr>
        <w:t xml:space="preserve"> v</w:t>
      </w:r>
      <w:r>
        <w:rPr>
          <w:sz w:val="22"/>
          <w:szCs w:val="22"/>
        </w:rPr>
        <w:t> Bratislave prispejú</w:t>
      </w:r>
      <w:r w:rsidRPr="00120979">
        <w:rPr>
          <w:sz w:val="22"/>
          <w:szCs w:val="22"/>
        </w:rPr>
        <w:t xml:space="preserve"> taktiež projekty</w:t>
      </w:r>
      <w:r w:rsidRPr="00FA7FBD">
        <w:rPr>
          <w:b/>
          <w:sz w:val="22"/>
          <w:szCs w:val="22"/>
        </w:rPr>
        <w:t xml:space="preserve"> modernizácie existujúcich električkových </w:t>
      </w:r>
      <w:r>
        <w:rPr>
          <w:b/>
          <w:sz w:val="22"/>
          <w:szCs w:val="22"/>
        </w:rPr>
        <w:t>tratí – ucelených radiál</w:t>
      </w:r>
      <w:r>
        <w:rPr>
          <w:sz w:val="22"/>
          <w:szCs w:val="22"/>
        </w:rPr>
        <w:t xml:space="preserve">, ktoré reagujú na zlý technický stav tratí s množstvom obmedzení, vysokou hlučnosťou a absenciou prvkov na </w:t>
      </w:r>
      <w:r w:rsidR="00CD50FE">
        <w:rPr>
          <w:sz w:val="22"/>
          <w:szCs w:val="22"/>
        </w:rPr>
        <w:t>zvýšenie</w:t>
      </w:r>
      <w:r>
        <w:rPr>
          <w:sz w:val="22"/>
          <w:szCs w:val="22"/>
        </w:rPr>
        <w:t xml:space="preserve"> obežnej rýchlosti električiek.</w:t>
      </w:r>
      <w:r w:rsidR="004A479A">
        <w:rPr>
          <w:sz w:val="22"/>
          <w:szCs w:val="22"/>
        </w:rPr>
        <w:t xml:space="preserve"> Na </w:t>
      </w:r>
      <w:r w:rsidR="00CF23A0">
        <w:rPr>
          <w:sz w:val="22"/>
          <w:szCs w:val="22"/>
        </w:rPr>
        <w:t>území mesta je plánovaná taktiež</w:t>
      </w:r>
      <w:r w:rsidR="00CF23A0" w:rsidRPr="00CF23A0">
        <w:rPr>
          <w:sz w:val="22"/>
          <w:szCs w:val="22"/>
        </w:rPr>
        <w:t xml:space="preserve"> </w:t>
      </w:r>
      <w:r w:rsidR="00CF23A0" w:rsidRPr="004A479A">
        <w:rPr>
          <w:b/>
          <w:sz w:val="22"/>
          <w:szCs w:val="22"/>
        </w:rPr>
        <w:t>rekonštrukcia, modernizácia a výstavba prestupných terminálov so zásahom do železničnej infraštruktúry</w:t>
      </w:r>
      <w:r w:rsidR="00CF23A0" w:rsidRPr="004A479A">
        <w:rPr>
          <w:sz w:val="22"/>
          <w:szCs w:val="22"/>
        </w:rPr>
        <w:t>.</w:t>
      </w:r>
    </w:p>
    <w:p w:rsidR="0039330E" w:rsidRPr="004A479A" w:rsidRDefault="0039330E" w:rsidP="0039330E">
      <w:pPr>
        <w:spacing w:before="180" w:after="120"/>
        <w:jc w:val="both"/>
        <w:rPr>
          <w:sz w:val="22"/>
          <w:szCs w:val="22"/>
        </w:rPr>
      </w:pPr>
      <w:r w:rsidRPr="004A479A">
        <w:rPr>
          <w:sz w:val="22"/>
          <w:szCs w:val="22"/>
        </w:rPr>
        <w:t>Sumarizácia plánovaných aktiví</w:t>
      </w:r>
      <w:r w:rsidR="004A479A" w:rsidRPr="004A479A">
        <w:rPr>
          <w:sz w:val="22"/>
          <w:szCs w:val="22"/>
        </w:rPr>
        <w:t>t v oblasti infraštruktúry:</w:t>
      </w:r>
    </w:p>
    <w:p w:rsidR="0039330E" w:rsidRPr="004A479A" w:rsidRDefault="0039330E" w:rsidP="00FE6025">
      <w:pPr>
        <w:pStyle w:val="Odsekzoznamu"/>
        <w:numPr>
          <w:ilvl w:val="0"/>
          <w:numId w:val="61"/>
        </w:numPr>
        <w:spacing w:after="120"/>
        <w:ind w:left="567" w:hanging="283"/>
        <w:jc w:val="both"/>
        <w:rPr>
          <w:i/>
          <w:sz w:val="22"/>
          <w:szCs w:val="22"/>
        </w:rPr>
      </w:pPr>
      <w:r w:rsidRPr="004A479A">
        <w:rPr>
          <w:i/>
          <w:sz w:val="22"/>
          <w:szCs w:val="22"/>
        </w:rPr>
        <w:t>výstavba nového nosného prepojenia – električkovej trate v úseku ul. Bosákova – Janíkov dvor, ktoré bude schopné prevziať na seba rozhodujúci podiel prepravy cestujúcich v smere centrum – Petržalka a naopak,</w:t>
      </w:r>
    </w:p>
    <w:p w:rsidR="0039330E" w:rsidRPr="004A479A" w:rsidRDefault="0039330E" w:rsidP="00FE6025">
      <w:pPr>
        <w:pStyle w:val="Odsekzoznamu"/>
        <w:numPr>
          <w:ilvl w:val="0"/>
          <w:numId w:val="61"/>
        </w:numPr>
        <w:spacing w:before="180" w:after="120"/>
        <w:ind w:left="567" w:hanging="283"/>
        <w:jc w:val="both"/>
        <w:rPr>
          <w:i/>
          <w:sz w:val="22"/>
          <w:szCs w:val="22"/>
        </w:rPr>
      </w:pPr>
      <w:r w:rsidRPr="004A479A">
        <w:rPr>
          <w:i/>
          <w:sz w:val="22"/>
          <w:szCs w:val="22"/>
        </w:rPr>
        <w:t>modernizácia električkových radiál (Karlovesko-dúbravská radiála, Vajnorská radiála, Ružinovská radiála, Račianska radiála),</w:t>
      </w:r>
    </w:p>
    <w:p w:rsidR="0039330E" w:rsidRPr="004A479A" w:rsidRDefault="0039330E" w:rsidP="00FE6025">
      <w:pPr>
        <w:pStyle w:val="Odsekzoznamu"/>
        <w:numPr>
          <w:ilvl w:val="0"/>
          <w:numId w:val="61"/>
        </w:numPr>
        <w:spacing w:before="180" w:after="120"/>
        <w:ind w:left="567" w:hanging="283"/>
        <w:jc w:val="both"/>
        <w:rPr>
          <w:i/>
          <w:sz w:val="22"/>
          <w:szCs w:val="22"/>
        </w:rPr>
      </w:pPr>
      <w:r w:rsidRPr="004A479A">
        <w:rPr>
          <w:i/>
          <w:sz w:val="22"/>
          <w:szCs w:val="22"/>
        </w:rPr>
        <w:lastRenderedPageBreak/>
        <w:t>výstavba základne na opravu a údržbu vozového parku MHD,</w:t>
      </w:r>
    </w:p>
    <w:p w:rsidR="0039330E" w:rsidRDefault="0039330E" w:rsidP="00FE6025">
      <w:pPr>
        <w:pStyle w:val="Odsekzoznamu"/>
        <w:numPr>
          <w:ilvl w:val="0"/>
          <w:numId w:val="61"/>
        </w:numPr>
        <w:spacing w:before="180" w:after="120"/>
        <w:ind w:left="567" w:hanging="283"/>
        <w:jc w:val="both"/>
        <w:rPr>
          <w:b/>
          <w:sz w:val="22"/>
          <w:szCs w:val="22"/>
        </w:rPr>
      </w:pPr>
      <w:r w:rsidRPr="004A479A">
        <w:rPr>
          <w:i/>
          <w:sz w:val="22"/>
          <w:szCs w:val="22"/>
        </w:rPr>
        <w:t xml:space="preserve">výstavba terminálov integrovanej osobnej dopravy </w:t>
      </w:r>
      <w:r w:rsidR="004A479A" w:rsidRPr="004A479A">
        <w:rPr>
          <w:i/>
          <w:sz w:val="22"/>
          <w:szCs w:val="22"/>
        </w:rPr>
        <w:t xml:space="preserve">so zásahom do železničnej infraštruktúry </w:t>
      </w:r>
      <w:r w:rsidRPr="004A479A">
        <w:rPr>
          <w:i/>
          <w:sz w:val="22"/>
          <w:szCs w:val="22"/>
        </w:rPr>
        <w:t>vrátane zá</w:t>
      </w:r>
      <w:r w:rsidR="004A479A" w:rsidRPr="004A479A">
        <w:rPr>
          <w:i/>
          <w:sz w:val="22"/>
          <w:szCs w:val="22"/>
        </w:rPr>
        <w:t>chytných parkovísk s väzbou na </w:t>
      </w:r>
      <w:r w:rsidRPr="004A479A">
        <w:rPr>
          <w:i/>
          <w:sz w:val="22"/>
          <w:szCs w:val="22"/>
        </w:rPr>
        <w:t>verejnú osobnú dopravu</w:t>
      </w:r>
      <w:r w:rsidRPr="000A52CE">
        <w:rPr>
          <w:sz w:val="22"/>
          <w:szCs w:val="22"/>
        </w:rPr>
        <w:t>.</w:t>
      </w:r>
    </w:p>
    <w:p w:rsidR="00883E00" w:rsidRPr="00004EB3" w:rsidRDefault="00883E00" w:rsidP="00883E00">
      <w:pPr>
        <w:spacing w:before="180" w:after="120"/>
        <w:jc w:val="both"/>
        <w:rPr>
          <w:sz w:val="22"/>
          <w:szCs w:val="22"/>
          <w:u w:val="single"/>
        </w:rPr>
      </w:pPr>
      <w:r w:rsidRPr="00004EB3">
        <w:rPr>
          <w:sz w:val="22"/>
          <w:szCs w:val="22"/>
          <w:u w:val="single"/>
        </w:rPr>
        <w:t xml:space="preserve">Podpora </w:t>
      </w:r>
      <w:r>
        <w:rPr>
          <w:sz w:val="22"/>
          <w:szCs w:val="22"/>
          <w:u w:val="single"/>
        </w:rPr>
        <w:t>verejnej osobnej dopravy</w:t>
      </w:r>
      <w:r w:rsidRPr="00004EB3">
        <w:rPr>
          <w:sz w:val="22"/>
          <w:szCs w:val="22"/>
          <w:u w:val="single"/>
        </w:rPr>
        <w:t xml:space="preserve"> v</w:t>
      </w:r>
      <w:r>
        <w:rPr>
          <w:sz w:val="22"/>
          <w:szCs w:val="22"/>
          <w:u w:val="single"/>
        </w:rPr>
        <w:t> meste Košice</w:t>
      </w:r>
    </w:p>
    <w:p w:rsidR="00883E00" w:rsidRDefault="00883E00" w:rsidP="008D6FCE">
      <w:pPr>
        <w:jc w:val="both"/>
        <w:rPr>
          <w:sz w:val="22"/>
          <w:szCs w:val="22"/>
        </w:rPr>
      </w:pPr>
      <w:r>
        <w:rPr>
          <w:sz w:val="22"/>
          <w:szCs w:val="22"/>
        </w:rPr>
        <w:t>MHD je v Košiciach tvorená nosnou električkovou, autobusovou a trolejbusovou dopravou, pričom autobusová doprava súčasne slúži aj ako doplnková a obsluhuje aj okrajové mestské časti. Električková doprava spája centrum so staršími sídliskami, čiastočne plní aj tangenciálne väzby. Trolejbusová doprava prepája mestské časti v kopcovitom teréne s centrom a autobusová doprava obsluhuje ostatné prepravné vzťahy. Špecifikom je existencia električkovej rýchlodráhy do podniku U.</w:t>
      </w:r>
      <w:r w:rsidR="00CF23A0">
        <w:rPr>
          <w:sz w:val="22"/>
          <w:szCs w:val="22"/>
        </w:rPr>
        <w:t> S. Steel Košice, s.r.o.</w:t>
      </w:r>
    </w:p>
    <w:p w:rsidR="004A479A" w:rsidRPr="004A479A" w:rsidRDefault="00883E00" w:rsidP="004A479A">
      <w:pPr>
        <w:spacing w:before="180"/>
        <w:jc w:val="both"/>
        <w:rPr>
          <w:sz w:val="22"/>
          <w:szCs w:val="22"/>
        </w:rPr>
      </w:pPr>
      <w:r w:rsidRPr="004A479A">
        <w:rPr>
          <w:sz w:val="22"/>
          <w:szCs w:val="22"/>
        </w:rPr>
        <w:t>Električkové trate v Košiciach sú zastaran</w:t>
      </w:r>
      <w:r w:rsidR="004A479A">
        <w:rPr>
          <w:sz w:val="22"/>
          <w:szCs w:val="22"/>
        </w:rPr>
        <w:t xml:space="preserve">é a s rozsiahlymi obmedzeniami. </w:t>
      </w:r>
      <w:r w:rsidR="004A479A" w:rsidRPr="00120979">
        <w:rPr>
          <w:sz w:val="22"/>
          <w:szCs w:val="22"/>
        </w:rPr>
        <w:t xml:space="preserve">K zlepšeniu stavu </w:t>
      </w:r>
      <w:r w:rsidR="004A479A">
        <w:rPr>
          <w:sz w:val="22"/>
          <w:szCs w:val="22"/>
        </w:rPr>
        <w:t>dráhovej MHD</w:t>
      </w:r>
      <w:r w:rsidR="004A479A" w:rsidRPr="00120979">
        <w:rPr>
          <w:sz w:val="22"/>
          <w:szCs w:val="22"/>
        </w:rPr>
        <w:t xml:space="preserve"> </w:t>
      </w:r>
      <w:r w:rsidR="004A479A">
        <w:rPr>
          <w:sz w:val="22"/>
          <w:szCs w:val="22"/>
        </w:rPr>
        <w:t>preto prispejú</w:t>
      </w:r>
      <w:r w:rsidR="004A479A" w:rsidRPr="00120979">
        <w:rPr>
          <w:sz w:val="22"/>
          <w:szCs w:val="22"/>
        </w:rPr>
        <w:t xml:space="preserve"> projekty</w:t>
      </w:r>
      <w:r w:rsidR="004A479A" w:rsidRPr="00FA7FBD">
        <w:rPr>
          <w:b/>
          <w:sz w:val="22"/>
          <w:szCs w:val="22"/>
        </w:rPr>
        <w:t xml:space="preserve"> modernizácie existujúcich električkových </w:t>
      </w:r>
      <w:r w:rsidR="004A479A">
        <w:rPr>
          <w:b/>
          <w:sz w:val="22"/>
          <w:szCs w:val="22"/>
        </w:rPr>
        <w:t>tratí – ucelených radiál</w:t>
      </w:r>
      <w:r w:rsidR="004A479A">
        <w:rPr>
          <w:sz w:val="22"/>
          <w:szCs w:val="22"/>
        </w:rPr>
        <w:t xml:space="preserve">, ktoré reagujú na zlý technický stav tratí s množstvom obmedzení, vysokou hlučnosťou a absenciou prvkov na </w:t>
      </w:r>
      <w:r w:rsidR="00B06664">
        <w:rPr>
          <w:sz w:val="22"/>
          <w:szCs w:val="22"/>
        </w:rPr>
        <w:t>zvýšenie</w:t>
      </w:r>
      <w:r w:rsidR="004A479A">
        <w:rPr>
          <w:sz w:val="22"/>
          <w:szCs w:val="22"/>
        </w:rPr>
        <w:t xml:space="preserve"> obežnej rýchlosti električiek.</w:t>
      </w:r>
    </w:p>
    <w:p w:rsidR="004A479A" w:rsidRDefault="004A479A" w:rsidP="004A479A">
      <w:pPr>
        <w:spacing w:before="180"/>
        <w:jc w:val="both"/>
        <w:rPr>
          <w:sz w:val="22"/>
          <w:szCs w:val="22"/>
        </w:rPr>
      </w:pPr>
      <w:r>
        <w:rPr>
          <w:color w:val="000000"/>
          <w:sz w:val="22"/>
          <w:szCs w:val="22"/>
        </w:rPr>
        <w:t>Integrácii dopravy majú napomôcť nové terminály integrovanej osobnej dopravy v Košickom samosprávnom kraji, ktoré umožnia efektívnejšie organizovať jednotlivé módy dopravy.</w:t>
      </w:r>
    </w:p>
    <w:p w:rsidR="004A479A" w:rsidRPr="004A479A" w:rsidRDefault="004A479A" w:rsidP="004A479A">
      <w:pPr>
        <w:spacing w:before="120" w:after="120"/>
        <w:jc w:val="both"/>
        <w:rPr>
          <w:sz w:val="22"/>
          <w:szCs w:val="22"/>
        </w:rPr>
      </w:pPr>
      <w:r w:rsidRPr="004A479A">
        <w:rPr>
          <w:sz w:val="22"/>
          <w:szCs w:val="22"/>
        </w:rPr>
        <w:t>Sumarizácia plánovaných aktivít v oblasti infraštruktúry:</w:t>
      </w:r>
    </w:p>
    <w:p w:rsidR="004A479A" w:rsidRPr="004A479A" w:rsidRDefault="004A479A" w:rsidP="00FE6025">
      <w:pPr>
        <w:pStyle w:val="Odsekzoznamu"/>
        <w:numPr>
          <w:ilvl w:val="0"/>
          <w:numId w:val="61"/>
        </w:numPr>
        <w:spacing w:after="120"/>
        <w:ind w:left="567" w:hanging="283"/>
        <w:jc w:val="both"/>
        <w:rPr>
          <w:i/>
          <w:sz w:val="22"/>
          <w:szCs w:val="22"/>
        </w:rPr>
      </w:pPr>
      <w:r w:rsidRPr="004A479A">
        <w:rPr>
          <w:i/>
          <w:sz w:val="22"/>
          <w:szCs w:val="22"/>
        </w:rPr>
        <w:t>modernizácia električkových tratí,</w:t>
      </w:r>
    </w:p>
    <w:p w:rsidR="004A479A" w:rsidRPr="004A479A" w:rsidRDefault="004A479A" w:rsidP="00FE6025">
      <w:pPr>
        <w:pStyle w:val="Odsekzoznamu"/>
        <w:numPr>
          <w:ilvl w:val="0"/>
          <w:numId w:val="61"/>
        </w:numPr>
        <w:spacing w:before="180" w:after="120"/>
        <w:ind w:left="567" w:hanging="283"/>
        <w:jc w:val="both"/>
        <w:rPr>
          <w:i/>
          <w:sz w:val="22"/>
          <w:szCs w:val="22"/>
        </w:rPr>
      </w:pPr>
      <w:r w:rsidRPr="004A479A">
        <w:rPr>
          <w:i/>
          <w:sz w:val="22"/>
          <w:szCs w:val="22"/>
        </w:rPr>
        <w:t>výstavba základne na opravu a údržbu vozového parku MHD,</w:t>
      </w:r>
    </w:p>
    <w:p w:rsidR="004A479A" w:rsidRDefault="004A479A" w:rsidP="00FE6025">
      <w:pPr>
        <w:pStyle w:val="Odsekzoznamu"/>
        <w:numPr>
          <w:ilvl w:val="0"/>
          <w:numId w:val="61"/>
        </w:numPr>
        <w:spacing w:before="180" w:after="120"/>
        <w:ind w:left="567" w:hanging="283"/>
        <w:jc w:val="both"/>
        <w:rPr>
          <w:i/>
          <w:sz w:val="22"/>
          <w:szCs w:val="22"/>
        </w:rPr>
      </w:pPr>
      <w:r w:rsidRPr="004A479A">
        <w:rPr>
          <w:i/>
          <w:sz w:val="22"/>
          <w:szCs w:val="22"/>
        </w:rPr>
        <w:t xml:space="preserve">výstavba terminálov integrovanej osobnej dopravy </w:t>
      </w:r>
      <w:r>
        <w:rPr>
          <w:i/>
          <w:sz w:val="22"/>
          <w:szCs w:val="22"/>
        </w:rPr>
        <w:t xml:space="preserve">so zásahom do železničnej infraštruktúry </w:t>
      </w:r>
      <w:r w:rsidRPr="004A479A">
        <w:rPr>
          <w:i/>
          <w:sz w:val="22"/>
          <w:szCs w:val="22"/>
        </w:rPr>
        <w:t>vrátane z</w:t>
      </w:r>
      <w:r w:rsidR="008D6FCE">
        <w:rPr>
          <w:i/>
          <w:sz w:val="22"/>
          <w:szCs w:val="22"/>
        </w:rPr>
        <w:t>áchytných parkovísk s väzbou na</w:t>
      </w:r>
      <w:r w:rsidRPr="004A479A">
        <w:rPr>
          <w:i/>
          <w:sz w:val="22"/>
          <w:szCs w:val="22"/>
        </w:rPr>
        <w:t xml:space="preserve"> verejnú hromadnú dopravu.</w:t>
      </w:r>
    </w:p>
    <w:p w:rsidR="008F31EB" w:rsidRDefault="008F31EB" w:rsidP="008F31EB">
      <w:pPr>
        <w:spacing w:before="180" w:after="120"/>
        <w:jc w:val="both"/>
        <w:rPr>
          <w:sz w:val="22"/>
          <w:szCs w:val="22"/>
          <w:u w:val="single"/>
        </w:rPr>
      </w:pPr>
      <w:r>
        <w:rPr>
          <w:sz w:val="22"/>
          <w:szCs w:val="22"/>
          <w:u w:val="single"/>
        </w:rPr>
        <w:t>Podpora verejnej osobnej dopravy v meste Prešov</w:t>
      </w:r>
    </w:p>
    <w:p w:rsidR="00B946BF" w:rsidRPr="00AE2A87" w:rsidRDefault="00B946BF" w:rsidP="00B946BF">
      <w:pPr>
        <w:spacing w:before="180" w:after="120"/>
        <w:jc w:val="both"/>
        <w:rPr>
          <w:sz w:val="22"/>
          <w:szCs w:val="22"/>
        </w:rPr>
      </w:pPr>
      <w:r>
        <w:rPr>
          <w:sz w:val="22"/>
          <w:szCs w:val="22"/>
        </w:rPr>
        <w:t>Prešov je druhým najväčším mestom Košicko-prešovskej aglomerácie a jeho mestská hromadná doprava je realizovaná prostredníctvom nosnej trolejbusovej dopravy a prevažne doplnkovej autobusovej dopravy s porovnateľnými výkonmi oboch trakcií</w:t>
      </w:r>
      <w:r w:rsidR="00D52D51">
        <w:rPr>
          <w:sz w:val="22"/>
          <w:szCs w:val="22"/>
        </w:rPr>
        <w:t>. Prepojením trolejbusových tratí sa vytvorí priestor pre rozšírenie siete liniek trolejbusovej dopravy</w:t>
      </w:r>
      <w:r w:rsidR="00D404B8">
        <w:rPr>
          <w:sz w:val="22"/>
          <w:szCs w:val="22"/>
        </w:rPr>
        <w:t xml:space="preserve"> a vytvorí predpoklad pre zefektívnenie využitia vozidiel na jednotlivých linkách. </w:t>
      </w:r>
      <w:r w:rsidRPr="00AE2A87">
        <w:t>Zámery v oblasti rozvoja trolejbusovej dopravy však musia byť potvrdené lokálnymi strategickými dokumentmi vrátane posúdenia ich udržateľnosti.</w:t>
      </w:r>
    </w:p>
    <w:p w:rsidR="00B946BF" w:rsidRPr="004A479A" w:rsidRDefault="00B946BF" w:rsidP="00B946BF">
      <w:pPr>
        <w:spacing w:before="120" w:after="120"/>
        <w:jc w:val="both"/>
        <w:rPr>
          <w:sz w:val="22"/>
          <w:szCs w:val="22"/>
        </w:rPr>
      </w:pPr>
      <w:r w:rsidRPr="004A479A">
        <w:rPr>
          <w:sz w:val="22"/>
          <w:szCs w:val="22"/>
        </w:rPr>
        <w:t>Sumarizácia plánovaných aktivít v oblasti infraštruktúry:</w:t>
      </w:r>
    </w:p>
    <w:p w:rsidR="00D404B8" w:rsidRPr="004A479A" w:rsidRDefault="00D404B8" w:rsidP="00D404B8">
      <w:pPr>
        <w:pStyle w:val="Odsekzoznamu"/>
        <w:numPr>
          <w:ilvl w:val="0"/>
          <w:numId w:val="61"/>
        </w:numPr>
        <w:spacing w:after="120"/>
        <w:ind w:left="567" w:hanging="283"/>
        <w:jc w:val="both"/>
        <w:rPr>
          <w:i/>
          <w:sz w:val="22"/>
          <w:szCs w:val="22"/>
        </w:rPr>
      </w:pPr>
      <w:r w:rsidRPr="004A479A">
        <w:rPr>
          <w:i/>
          <w:sz w:val="22"/>
          <w:szCs w:val="22"/>
        </w:rPr>
        <w:t xml:space="preserve">modernizácia </w:t>
      </w:r>
      <w:r>
        <w:rPr>
          <w:i/>
          <w:sz w:val="22"/>
          <w:szCs w:val="22"/>
        </w:rPr>
        <w:t>a výstavba trolejbusovej infraštruktúry</w:t>
      </w:r>
      <w:r w:rsidRPr="004A479A">
        <w:rPr>
          <w:i/>
          <w:sz w:val="22"/>
          <w:szCs w:val="22"/>
        </w:rPr>
        <w:t>,</w:t>
      </w:r>
    </w:p>
    <w:p w:rsidR="008F31EB" w:rsidRDefault="008F31EB" w:rsidP="00D404B8">
      <w:pPr>
        <w:spacing w:before="240" w:after="120"/>
        <w:jc w:val="both"/>
        <w:rPr>
          <w:sz w:val="22"/>
          <w:szCs w:val="22"/>
          <w:u w:val="single"/>
        </w:rPr>
      </w:pPr>
      <w:r>
        <w:rPr>
          <w:sz w:val="22"/>
          <w:szCs w:val="22"/>
          <w:u w:val="single"/>
        </w:rPr>
        <w:t>Podpora verejnej osobnej dopravy v meste Žilina</w:t>
      </w:r>
    </w:p>
    <w:p w:rsidR="008F31EB" w:rsidRDefault="008F31EB" w:rsidP="008F31EB">
      <w:pPr>
        <w:spacing w:before="180" w:after="120"/>
        <w:jc w:val="both"/>
        <w:rPr>
          <w:sz w:val="22"/>
          <w:szCs w:val="22"/>
        </w:rPr>
      </w:pPr>
      <w:r>
        <w:rPr>
          <w:sz w:val="22"/>
          <w:szCs w:val="22"/>
        </w:rPr>
        <w:t xml:space="preserve">Podobne ako v Prešove, aj v Žiline je trolejbusová doprava nosná a z hľadiska prepravných výkonov prevažuje nad autobusovou MHD. </w:t>
      </w:r>
      <w:r w:rsidR="00FB1E32">
        <w:rPr>
          <w:sz w:val="22"/>
          <w:szCs w:val="22"/>
        </w:rPr>
        <w:t xml:space="preserve">V infraštruktúre trolejbusovej dopravy boli identifikované slabé miesta, ktoré bránia jej širšiemu uplatneniu. </w:t>
      </w:r>
      <w:r w:rsidRPr="005544E0">
        <w:rPr>
          <w:sz w:val="22"/>
          <w:szCs w:val="22"/>
        </w:rPr>
        <w:t xml:space="preserve">Súčasné meniarne neumožňujú plne využiť rekuperáciu elektrickej energie moderných trolejbusov, </w:t>
      </w:r>
      <w:r>
        <w:rPr>
          <w:sz w:val="22"/>
          <w:szCs w:val="22"/>
        </w:rPr>
        <w:t xml:space="preserve">existujúce prvky trolejbusových tratí spomaľujú obežnú rýchlosť trolejbusov. Nedostatočné prepojenia jestvujúcich trolejbusových tratí znižujú efektívnosť linkového vedenia. Na odstránenie úzkych miest má slúžiť </w:t>
      </w:r>
      <w:r w:rsidRPr="00C427B5">
        <w:rPr>
          <w:b/>
          <w:sz w:val="22"/>
          <w:szCs w:val="22"/>
        </w:rPr>
        <w:t xml:space="preserve">modernizácia </w:t>
      </w:r>
      <w:r>
        <w:rPr>
          <w:b/>
          <w:sz w:val="22"/>
          <w:szCs w:val="22"/>
        </w:rPr>
        <w:t xml:space="preserve">a výstavba </w:t>
      </w:r>
      <w:r w:rsidRPr="00C427B5">
        <w:rPr>
          <w:b/>
          <w:sz w:val="22"/>
          <w:szCs w:val="22"/>
        </w:rPr>
        <w:t>trolejbusovej infraštruktúry</w:t>
      </w:r>
      <w:r>
        <w:rPr>
          <w:sz w:val="22"/>
          <w:szCs w:val="22"/>
        </w:rPr>
        <w:t>.</w:t>
      </w:r>
    </w:p>
    <w:p w:rsidR="008F31EB" w:rsidRPr="00B25AE0" w:rsidRDefault="00173049" w:rsidP="008F31EB">
      <w:pPr>
        <w:spacing w:before="180" w:after="120"/>
        <w:jc w:val="both"/>
        <w:rPr>
          <w:sz w:val="22"/>
          <w:szCs w:val="22"/>
        </w:rPr>
      </w:pPr>
      <w:r>
        <w:rPr>
          <w:sz w:val="22"/>
          <w:szCs w:val="22"/>
        </w:rPr>
        <w:t>Sumarizácia plánovaných aktivít v oblasti infraštruktúry:</w:t>
      </w:r>
    </w:p>
    <w:p w:rsidR="008F31EB" w:rsidRPr="00D404B8" w:rsidRDefault="008F31EB" w:rsidP="008F31EB">
      <w:pPr>
        <w:pStyle w:val="Odsekzoznamu"/>
        <w:numPr>
          <w:ilvl w:val="0"/>
          <w:numId w:val="61"/>
        </w:numPr>
        <w:spacing w:after="120"/>
        <w:ind w:left="567" w:hanging="283"/>
        <w:jc w:val="both"/>
        <w:rPr>
          <w:i/>
          <w:sz w:val="22"/>
          <w:szCs w:val="22"/>
        </w:rPr>
      </w:pPr>
      <w:r w:rsidRPr="00D404B8">
        <w:rPr>
          <w:i/>
          <w:sz w:val="22"/>
          <w:szCs w:val="22"/>
        </w:rPr>
        <w:t xml:space="preserve">modernizácia a výstavba </w:t>
      </w:r>
      <w:r w:rsidR="00173049" w:rsidRPr="00D404B8">
        <w:rPr>
          <w:i/>
          <w:sz w:val="22"/>
          <w:szCs w:val="22"/>
        </w:rPr>
        <w:t>trolejbusovej infraštruktúry.</w:t>
      </w:r>
    </w:p>
    <w:p w:rsidR="00413843" w:rsidRDefault="00413843" w:rsidP="00D404B8">
      <w:pPr>
        <w:spacing w:before="240" w:after="120"/>
        <w:jc w:val="both"/>
        <w:rPr>
          <w:sz w:val="22"/>
          <w:szCs w:val="22"/>
          <w:u w:val="single"/>
        </w:rPr>
      </w:pPr>
      <w:r>
        <w:rPr>
          <w:sz w:val="22"/>
          <w:szCs w:val="22"/>
          <w:u w:val="single"/>
        </w:rPr>
        <w:t>Podpora verejnej osobnej dopravy v meste Banská Bystrica</w:t>
      </w:r>
    </w:p>
    <w:p w:rsidR="00413843" w:rsidRDefault="00413843" w:rsidP="002A76CF">
      <w:pPr>
        <w:spacing w:before="180" w:after="120"/>
        <w:jc w:val="both"/>
        <w:rPr>
          <w:sz w:val="22"/>
          <w:szCs w:val="22"/>
        </w:rPr>
      </w:pPr>
      <w:r>
        <w:rPr>
          <w:sz w:val="22"/>
          <w:szCs w:val="22"/>
        </w:rPr>
        <w:t xml:space="preserve">V Banskej Bystrici tvorí trolejbusová doprava významnú časť MHD, jej podiel na výkonoch je však nižší ako u autobusovej dopravy. Potenciálnou možnosťou rozvoja je rozšírenie trolejbusovej siete, resp. prepojenie existujúcich úsekov, čím by sa dosiahol vyšší podiel tohto ekologického módu </w:t>
      </w:r>
      <w:r>
        <w:rPr>
          <w:sz w:val="22"/>
          <w:szCs w:val="22"/>
        </w:rPr>
        <w:lastRenderedPageBreak/>
        <w:t>dopravy na</w:t>
      </w:r>
      <w:r w:rsidR="00B06664">
        <w:rPr>
          <w:sz w:val="22"/>
          <w:szCs w:val="22"/>
        </w:rPr>
        <w:t xml:space="preserve"> výkonoch</w:t>
      </w:r>
      <w:r>
        <w:rPr>
          <w:sz w:val="22"/>
          <w:szCs w:val="22"/>
        </w:rPr>
        <w:t xml:space="preserve"> MHD.</w:t>
      </w:r>
      <w:r w:rsidR="000E02BE">
        <w:rPr>
          <w:sz w:val="22"/>
          <w:szCs w:val="22"/>
        </w:rPr>
        <w:t xml:space="preserve"> Zámery v oblasti rozvoja trolejbusovej dopravy však musia byť potvrdené lokálnymi strategickými dokumentmi vrátanie posúdenia ich udržateľnosti. </w:t>
      </w:r>
    </w:p>
    <w:p w:rsidR="00413843" w:rsidRPr="004A479A" w:rsidRDefault="00413843" w:rsidP="00413843">
      <w:pPr>
        <w:spacing w:before="120" w:after="120"/>
        <w:jc w:val="both"/>
        <w:rPr>
          <w:sz w:val="22"/>
          <w:szCs w:val="22"/>
        </w:rPr>
      </w:pPr>
      <w:r w:rsidRPr="004A479A">
        <w:rPr>
          <w:sz w:val="22"/>
          <w:szCs w:val="22"/>
        </w:rPr>
        <w:t>Sumarizácia plánovaných aktivít v oblasti infraštruktúry:</w:t>
      </w:r>
    </w:p>
    <w:p w:rsidR="00AE2A87" w:rsidRPr="00AE2A87" w:rsidRDefault="00413843" w:rsidP="00AE2A87">
      <w:pPr>
        <w:pStyle w:val="Odsekzoznamu"/>
        <w:numPr>
          <w:ilvl w:val="0"/>
          <w:numId w:val="61"/>
        </w:numPr>
        <w:spacing w:before="240" w:after="120"/>
        <w:ind w:left="568" w:hanging="284"/>
        <w:jc w:val="both"/>
        <w:rPr>
          <w:i/>
          <w:sz w:val="22"/>
          <w:szCs w:val="22"/>
        </w:rPr>
      </w:pPr>
      <w:r w:rsidRPr="00AE2A87">
        <w:rPr>
          <w:i/>
          <w:sz w:val="22"/>
          <w:szCs w:val="22"/>
        </w:rPr>
        <w:t>rozšíren</w:t>
      </w:r>
      <w:r w:rsidR="008D6FCE" w:rsidRPr="00AE2A87">
        <w:rPr>
          <w:i/>
          <w:sz w:val="22"/>
          <w:szCs w:val="22"/>
        </w:rPr>
        <w:t>ie trolejbusovej infraštruktúry.</w:t>
      </w:r>
    </w:p>
    <w:p w:rsidR="000E02BE" w:rsidRPr="000E02BE" w:rsidRDefault="000E02BE" w:rsidP="00B946BF">
      <w:pPr>
        <w:spacing w:before="240" w:after="120"/>
        <w:jc w:val="both"/>
        <w:rPr>
          <w:sz w:val="22"/>
          <w:szCs w:val="22"/>
        </w:rPr>
      </w:pPr>
      <w:r>
        <w:rPr>
          <w:sz w:val="22"/>
          <w:szCs w:val="22"/>
        </w:rPr>
        <w:t xml:space="preserve">Podrobnejšie informácie o prevádzkových a infraštruktúrnych parametroch MHD v jednotlivých mestách spolu s identifikáciou problémových miest sú uvedené v Stratégii rozvoja verejnej osobnej a nemotorovej dopravy SR do roku 2020. </w:t>
      </w:r>
    </w:p>
    <w:p w:rsidR="00E01D5B" w:rsidRPr="005139F6" w:rsidRDefault="00E01D5B" w:rsidP="00FE6025">
      <w:pPr>
        <w:numPr>
          <w:ilvl w:val="2"/>
          <w:numId w:val="39"/>
        </w:numPr>
        <w:tabs>
          <w:tab w:val="clear" w:pos="360"/>
        </w:tabs>
        <w:spacing w:before="180" w:after="120"/>
        <w:ind w:left="851" w:hanging="425"/>
        <w:jc w:val="both"/>
        <w:rPr>
          <w:b/>
          <w:i/>
          <w:color w:val="4F81BD" w:themeColor="accent1"/>
          <w:sz w:val="22"/>
          <w:szCs w:val="22"/>
        </w:rPr>
      </w:pPr>
      <w:r w:rsidRPr="005139F6">
        <w:rPr>
          <w:b/>
          <w:i/>
          <w:color w:val="4F81BD" w:themeColor="accent1"/>
          <w:sz w:val="22"/>
          <w:szCs w:val="22"/>
        </w:rPr>
        <w:t>Obstaranie mobilných prostriedkov dráhovej MHD (električiek a trolejbusov</w:t>
      </w:r>
      <w:r w:rsidRPr="005139F6">
        <w:rPr>
          <w:i/>
          <w:color w:val="4F81BD" w:themeColor="accent1"/>
          <w:sz w:val="22"/>
          <w:szCs w:val="22"/>
        </w:rPr>
        <w:t xml:space="preserve"> </w:t>
      </w:r>
      <w:r w:rsidRPr="005139F6">
        <w:rPr>
          <w:b/>
          <w:i/>
          <w:color w:val="4F81BD" w:themeColor="accent1"/>
          <w:sz w:val="22"/>
          <w:szCs w:val="22"/>
        </w:rPr>
        <w:t>(vrátane vozidiel s pomocným pohonom))</w:t>
      </w:r>
    </w:p>
    <w:p w:rsidR="00E01D5B" w:rsidRPr="006424E3" w:rsidRDefault="00E01D5B" w:rsidP="00E01D5B">
      <w:pPr>
        <w:spacing w:before="180" w:after="120"/>
        <w:jc w:val="both"/>
        <w:rPr>
          <w:sz w:val="22"/>
          <w:szCs w:val="22"/>
          <w:u w:val="single"/>
        </w:rPr>
      </w:pPr>
      <w:r w:rsidRPr="006424E3">
        <w:rPr>
          <w:sz w:val="22"/>
          <w:szCs w:val="22"/>
          <w:u w:val="single"/>
        </w:rPr>
        <w:t>Obnova prostriedkov dráhovej MHD v Bratislave</w:t>
      </w:r>
    </w:p>
    <w:p w:rsidR="00E01D5B" w:rsidRDefault="00E01D5B" w:rsidP="00E01D5B">
      <w:pPr>
        <w:jc w:val="both"/>
        <w:rPr>
          <w:color w:val="000000"/>
          <w:sz w:val="22"/>
          <w:szCs w:val="22"/>
        </w:rPr>
      </w:pPr>
      <w:r w:rsidRPr="00D00B45">
        <w:rPr>
          <w:sz w:val="22"/>
          <w:szCs w:val="22"/>
        </w:rPr>
        <w:t>Pri posudzovaní vozidlového parku dráhovej MH</w:t>
      </w:r>
      <w:r w:rsidR="007E7093">
        <w:rPr>
          <w:sz w:val="22"/>
          <w:szCs w:val="22"/>
        </w:rPr>
        <w:t>D</w:t>
      </w:r>
      <w:r w:rsidRPr="00D00B45">
        <w:rPr>
          <w:sz w:val="22"/>
          <w:szCs w:val="22"/>
        </w:rPr>
        <w:t xml:space="preserve"> v Bratislave z hľadiska prístupnosti vozidiel, ich energetickej efektívnosti a fyzickej a morálnej zastaranosti je potrebné konštatovať, že </w:t>
      </w:r>
      <w:r>
        <w:rPr>
          <w:sz w:val="22"/>
          <w:szCs w:val="22"/>
        </w:rPr>
        <w:t xml:space="preserve">vo väčšine prípadov už </w:t>
      </w:r>
      <w:r w:rsidRPr="00D00B45">
        <w:rPr>
          <w:sz w:val="22"/>
          <w:szCs w:val="22"/>
        </w:rPr>
        <w:t xml:space="preserve">nespĺňajú </w:t>
      </w:r>
      <w:r>
        <w:rPr>
          <w:sz w:val="22"/>
          <w:szCs w:val="22"/>
        </w:rPr>
        <w:t xml:space="preserve">kvalitatívne parametre a štandardy kladené na prevádzku MHD. </w:t>
      </w:r>
      <w:r w:rsidRPr="00D00B45">
        <w:rPr>
          <w:sz w:val="22"/>
          <w:szCs w:val="22"/>
        </w:rPr>
        <w:t>Z tohto dôvodu je</w:t>
      </w:r>
      <w:r w:rsidRPr="006424E3">
        <w:rPr>
          <w:sz w:val="22"/>
          <w:szCs w:val="22"/>
        </w:rPr>
        <w:t xml:space="preserve"> j</w:t>
      </w:r>
      <w:r w:rsidRPr="006424E3">
        <w:rPr>
          <w:color w:val="000000"/>
          <w:sz w:val="22"/>
          <w:szCs w:val="22"/>
        </w:rPr>
        <w:t>edným</w:t>
      </w:r>
      <w:r>
        <w:rPr>
          <w:color w:val="000000"/>
          <w:sz w:val="22"/>
          <w:szCs w:val="22"/>
        </w:rPr>
        <w:t xml:space="preserve"> z cieľov stratégie podpory verejnej osobnej dopravy v Bratislave </w:t>
      </w:r>
      <w:r w:rsidRPr="00787A15">
        <w:rPr>
          <w:b/>
          <w:color w:val="000000"/>
          <w:sz w:val="22"/>
          <w:szCs w:val="22"/>
        </w:rPr>
        <w:t>ob</w:t>
      </w:r>
      <w:r w:rsidRPr="00787A15">
        <w:rPr>
          <w:b/>
          <w:sz w:val="22"/>
          <w:szCs w:val="22"/>
        </w:rPr>
        <w:t>staranie moderných nízkopodlažných električi</w:t>
      </w:r>
      <w:r>
        <w:rPr>
          <w:b/>
          <w:sz w:val="22"/>
          <w:szCs w:val="22"/>
        </w:rPr>
        <w:t xml:space="preserve">ek a trolejbusov (vrátane trolejbusov s pomocným pohonom) </w:t>
      </w:r>
      <w:r w:rsidRPr="00787A15">
        <w:rPr>
          <w:b/>
          <w:sz w:val="22"/>
          <w:szCs w:val="22"/>
        </w:rPr>
        <w:t>s nízkou energetickou náročnosťou</w:t>
      </w:r>
      <w:r>
        <w:rPr>
          <w:b/>
          <w:sz w:val="22"/>
          <w:szCs w:val="22"/>
        </w:rPr>
        <w:t xml:space="preserve">. </w:t>
      </w:r>
      <w:r>
        <w:rPr>
          <w:color w:val="000000"/>
          <w:sz w:val="22"/>
          <w:szCs w:val="22"/>
        </w:rPr>
        <w:t xml:space="preserve">Projekty plynule nadviažu na aktivity programového obdobia 2007 – 2013, keď do hlavného mesta pribudne 30 ks električiek a 80 ks </w:t>
      </w:r>
      <w:r w:rsidR="0039330E">
        <w:rPr>
          <w:color w:val="000000"/>
          <w:sz w:val="22"/>
          <w:szCs w:val="22"/>
        </w:rPr>
        <w:t xml:space="preserve">nových </w:t>
      </w:r>
      <w:r>
        <w:rPr>
          <w:color w:val="000000"/>
          <w:sz w:val="22"/>
          <w:szCs w:val="22"/>
        </w:rPr>
        <w:t>trolejbusov. Projekt obnovy trolejbusov paralelne rieši doterajší problém spočívajúci v rozširovaní siete trolejbusov</w:t>
      </w:r>
      <w:r w:rsidR="009F5363">
        <w:rPr>
          <w:color w:val="000000"/>
          <w:sz w:val="22"/>
          <w:szCs w:val="22"/>
        </w:rPr>
        <w:t>ej dopravy</w:t>
      </w:r>
      <w:r>
        <w:rPr>
          <w:color w:val="000000"/>
          <w:sz w:val="22"/>
          <w:szCs w:val="22"/>
        </w:rPr>
        <w:t xml:space="preserve"> bez obstarania dodatočných vozidiel. S oboma projektmi súvisí aj modernizácia údržbovej základne vozidiel tak, aby bolo možné moderné vozidlá adekvátne </w:t>
      </w:r>
      <w:r w:rsidRPr="00161034">
        <w:rPr>
          <w:color w:val="000000"/>
          <w:sz w:val="22"/>
          <w:szCs w:val="22"/>
        </w:rPr>
        <w:t>udržiavať.</w:t>
      </w:r>
    </w:p>
    <w:p w:rsidR="004A479A" w:rsidRPr="004A479A" w:rsidRDefault="004A479A" w:rsidP="004A479A">
      <w:pPr>
        <w:spacing w:before="180"/>
        <w:jc w:val="both"/>
        <w:rPr>
          <w:sz w:val="22"/>
          <w:szCs w:val="22"/>
        </w:rPr>
      </w:pPr>
      <w:r w:rsidRPr="004A479A">
        <w:rPr>
          <w:sz w:val="22"/>
          <w:szCs w:val="22"/>
        </w:rPr>
        <w:t xml:space="preserve">Sumarizácia plánovaných aktivít v oblasti </w:t>
      </w:r>
      <w:r>
        <w:rPr>
          <w:sz w:val="22"/>
          <w:szCs w:val="22"/>
        </w:rPr>
        <w:t>obstarania mobilných prostriedkov dráhovej MHD</w:t>
      </w:r>
      <w:r w:rsidRPr="004A479A">
        <w:rPr>
          <w:sz w:val="22"/>
          <w:szCs w:val="22"/>
        </w:rPr>
        <w:t>:</w:t>
      </w:r>
    </w:p>
    <w:p w:rsidR="004A479A" w:rsidRPr="004A479A" w:rsidRDefault="004A479A" w:rsidP="00FE6025">
      <w:pPr>
        <w:pStyle w:val="Odsekzoznamu"/>
        <w:numPr>
          <w:ilvl w:val="0"/>
          <w:numId w:val="61"/>
        </w:numPr>
        <w:spacing w:before="120" w:after="120"/>
        <w:ind w:left="567" w:hanging="283"/>
        <w:jc w:val="both"/>
        <w:rPr>
          <w:i/>
          <w:sz w:val="22"/>
          <w:szCs w:val="22"/>
        </w:rPr>
      </w:pPr>
      <w:r w:rsidRPr="004A479A">
        <w:rPr>
          <w:i/>
          <w:sz w:val="22"/>
          <w:szCs w:val="22"/>
        </w:rPr>
        <w:t>obnova vozidlového parku dráhovej MHD (električky, trolejbusy)</w:t>
      </w:r>
      <w:r>
        <w:rPr>
          <w:i/>
          <w:sz w:val="22"/>
          <w:szCs w:val="22"/>
        </w:rPr>
        <w:t>.</w:t>
      </w:r>
    </w:p>
    <w:p w:rsidR="00E01D5B" w:rsidRPr="006424E3" w:rsidRDefault="00E01D5B" w:rsidP="00E01D5B">
      <w:pPr>
        <w:spacing w:before="180" w:after="120"/>
        <w:jc w:val="both"/>
        <w:rPr>
          <w:sz w:val="22"/>
          <w:szCs w:val="22"/>
          <w:u w:val="single"/>
        </w:rPr>
      </w:pPr>
      <w:r w:rsidRPr="006424E3">
        <w:rPr>
          <w:sz w:val="22"/>
          <w:szCs w:val="22"/>
          <w:u w:val="single"/>
        </w:rPr>
        <w:t xml:space="preserve">Obnova prostriedkov dráhovej MHD v </w:t>
      </w:r>
      <w:r>
        <w:rPr>
          <w:sz w:val="22"/>
          <w:szCs w:val="22"/>
          <w:u w:val="single"/>
        </w:rPr>
        <w:t>Košiciach</w:t>
      </w:r>
    </w:p>
    <w:p w:rsidR="00E01D5B" w:rsidRDefault="00E01D5B" w:rsidP="00E01D5B">
      <w:pPr>
        <w:jc w:val="both"/>
        <w:rPr>
          <w:sz w:val="22"/>
          <w:szCs w:val="22"/>
        </w:rPr>
      </w:pPr>
      <w:r>
        <w:rPr>
          <w:color w:val="000000"/>
          <w:sz w:val="22"/>
          <w:szCs w:val="22"/>
        </w:rPr>
        <w:t xml:space="preserve">Z podobných dôvodov a sledujúc rovnaké ciele ako v Bratislave aj v Košiciach je zámerom podporiť obnovu prostriedkov dráhovej MHD </w:t>
      </w:r>
      <w:r w:rsidRPr="00161034">
        <w:rPr>
          <w:b/>
          <w:color w:val="000000"/>
          <w:sz w:val="22"/>
          <w:szCs w:val="22"/>
        </w:rPr>
        <w:t>obstaraním</w:t>
      </w:r>
      <w:r>
        <w:rPr>
          <w:color w:val="000000"/>
          <w:sz w:val="22"/>
          <w:szCs w:val="22"/>
        </w:rPr>
        <w:t xml:space="preserve"> </w:t>
      </w:r>
      <w:r w:rsidRPr="00787A15">
        <w:rPr>
          <w:b/>
          <w:sz w:val="22"/>
          <w:szCs w:val="22"/>
        </w:rPr>
        <w:t>moderných nízkopodlažných električi</w:t>
      </w:r>
      <w:r>
        <w:rPr>
          <w:b/>
          <w:sz w:val="22"/>
          <w:szCs w:val="22"/>
        </w:rPr>
        <w:t xml:space="preserve">ek </w:t>
      </w:r>
      <w:r w:rsidRPr="00787A15">
        <w:rPr>
          <w:b/>
          <w:sz w:val="22"/>
          <w:szCs w:val="22"/>
        </w:rPr>
        <w:t>s nízkou energetickou náročnosťou</w:t>
      </w:r>
      <w:r>
        <w:rPr>
          <w:b/>
          <w:sz w:val="22"/>
          <w:szCs w:val="22"/>
        </w:rPr>
        <w:t>.</w:t>
      </w:r>
      <w:r w:rsidRPr="00161034">
        <w:t xml:space="preserve"> </w:t>
      </w:r>
      <w:r>
        <w:rPr>
          <w:sz w:val="22"/>
          <w:szCs w:val="22"/>
        </w:rPr>
        <w:t>Projekt plynule nadviaže</w:t>
      </w:r>
      <w:r w:rsidRPr="00161034">
        <w:rPr>
          <w:sz w:val="22"/>
          <w:szCs w:val="22"/>
        </w:rPr>
        <w:t xml:space="preserve"> na aktivity programového obdobia 2007 – 2013, keď do </w:t>
      </w:r>
      <w:r>
        <w:rPr>
          <w:sz w:val="22"/>
          <w:szCs w:val="22"/>
        </w:rPr>
        <w:t>Košíc pribudne</w:t>
      </w:r>
      <w:r w:rsidR="0097314E">
        <w:rPr>
          <w:sz w:val="22"/>
          <w:szCs w:val="22"/>
        </w:rPr>
        <w:t> </w:t>
      </w:r>
      <w:r>
        <w:rPr>
          <w:sz w:val="22"/>
          <w:szCs w:val="22"/>
        </w:rPr>
        <w:t xml:space="preserve">28 ks </w:t>
      </w:r>
      <w:r w:rsidRPr="00161034">
        <w:rPr>
          <w:sz w:val="22"/>
          <w:szCs w:val="22"/>
        </w:rPr>
        <w:t>električiek</w:t>
      </w:r>
      <w:r>
        <w:rPr>
          <w:sz w:val="22"/>
          <w:szCs w:val="22"/>
        </w:rPr>
        <w:t>. S projektom úzko</w:t>
      </w:r>
      <w:r w:rsidRPr="00161034">
        <w:rPr>
          <w:sz w:val="22"/>
          <w:szCs w:val="22"/>
        </w:rPr>
        <w:t xml:space="preserve"> súvisí modernizácia údržbovej základne vozidiel tak, aby bolo možné moderné vozidlá adekvátne udržiavať.</w:t>
      </w:r>
    </w:p>
    <w:p w:rsidR="00413843" w:rsidRPr="004A479A" w:rsidRDefault="00413843" w:rsidP="00413843">
      <w:pPr>
        <w:spacing w:before="180"/>
        <w:jc w:val="both"/>
        <w:rPr>
          <w:sz w:val="22"/>
          <w:szCs w:val="22"/>
        </w:rPr>
      </w:pPr>
      <w:r w:rsidRPr="004A479A">
        <w:rPr>
          <w:sz w:val="22"/>
          <w:szCs w:val="22"/>
        </w:rPr>
        <w:t xml:space="preserve">Sumarizácia plánovaných aktivít v oblasti </w:t>
      </w:r>
      <w:r>
        <w:rPr>
          <w:sz w:val="22"/>
          <w:szCs w:val="22"/>
        </w:rPr>
        <w:t>obstarania mobilných prostriedkov dráhovej MHD</w:t>
      </w:r>
      <w:r w:rsidRPr="004A479A">
        <w:rPr>
          <w:sz w:val="22"/>
          <w:szCs w:val="22"/>
        </w:rPr>
        <w:t>:</w:t>
      </w:r>
    </w:p>
    <w:p w:rsidR="00413843" w:rsidRPr="004A479A" w:rsidRDefault="00413843" w:rsidP="00FE6025">
      <w:pPr>
        <w:pStyle w:val="Odsekzoznamu"/>
        <w:numPr>
          <w:ilvl w:val="0"/>
          <w:numId w:val="61"/>
        </w:numPr>
        <w:spacing w:before="120" w:after="120"/>
        <w:ind w:left="567" w:hanging="283"/>
        <w:jc w:val="both"/>
        <w:rPr>
          <w:i/>
          <w:sz w:val="22"/>
          <w:szCs w:val="22"/>
        </w:rPr>
      </w:pPr>
      <w:r w:rsidRPr="004A479A">
        <w:rPr>
          <w:i/>
          <w:sz w:val="22"/>
          <w:szCs w:val="22"/>
        </w:rPr>
        <w:t>obnova vozidlového</w:t>
      </w:r>
      <w:r>
        <w:rPr>
          <w:i/>
          <w:sz w:val="22"/>
          <w:szCs w:val="22"/>
        </w:rPr>
        <w:t xml:space="preserve"> parku dráhovej MHD (električky</w:t>
      </w:r>
      <w:r w:rsidRPr="004A479A">
        <w:rPr>
          <w:i/>
          <w:sz w:val="22"/>
          <w:szCs w:val="22"/>
        </w:rPr>
        <w:t>)</w:t>
      </w:r>
      <w:r>
        <w:rPr>
          <w:i/>
          <w:sz w:val="22"/>
          <w:szCs w:val="22"/>
        </w:rPr>
        <w:t>.</w:t>
      </w:r>
    </w:p>
    <w:p w:rsidR="00E01D5B" w:rsidRPr="006424E3" w:rsidRDefault="00E01D5B" w:rsidP="00E01D5B">
      <w:pPr>
        <w:spacing w:before="180" w:after="120"/>
        <w:jc w:val="both"/>
        <w:rPr>
          <w:sz w:val="22"/>
          <w:szCs w:val="22"/>
          <w:u w:val="single"/>
        </w:rPr>
      </w:pPr>
      <w:r w:rsidRPr="006424E3">
        <w:rPr>
          <w:sz w:val="22"/>
          <w:szCs w:val="22"/>
          <w:u w:val="single"/>
        </w:rPr>
        <w:t xml:space="preserve">Obnova prostriedkov dráhovej MHD v </w:t>
      </w:r>
      <w:r>
        <w:rPr>
          <w:sz w:val="22"/>
          <w:szCs w:val="22"/>
          <w:u w:val="single"/>
        </w:rPr>
        <w:t>Prešove</w:t>
      </w:r>
    </w:p>
    <w:p w:rsidR="00E01D5B" w:rsidRDefault="00E01D5B" w:rsidP="00E01D5B">
      <w:pPr>
        <w:jc w:val="both"/>
        <w:rPr>
          <w:sz w:val="22"/>
          <w:szCs w:val="22"/>
        </w:rPr>
      </w:pPr>
      <w:r w:rsidRPr="000A52CE">
        <w:rPr>
          <w:sz w:val="22"/>
          <w:szCs w:val="22"/>
        </w:rPr>
        <w:t xml:space="preserve">Prešov </w:t>
      </w:r>
      <w:r>
        <w:rPr>
          <w:sz w:val="22"/>
          <w:szCs w:val="22"/>
        </w:rPr>
        <w:t xml:space="preserve">síce kontinuálne rieši obnovu vozidlového parku, avšak </w:t>
      </w:r>
      <w:r w:rsidRPr="000A52CE">
        <w:rPr>
          <w:sz w:val="22"/>
          <w:szCs w:val="22"/>
        </w:rPr>
        <w:t xml:space="preserve">nedisponuje žiadnymi </w:t>
      </w:r>
      <w:r>
        <w:rPr>
          <w:sz w:val="22"/>
          <w:szCs w:val="22"/>
        </w:rPr>
        <w:t>trolejbusmi s pomocným pohonom, resp. duobusmi</w:t>
      </w:r>
      <w:r w:rsidRPr="000A52CE">
        <w:rPr>
          <w:sz w:val="22"/>
          <w:szCs w:val="22"/>
        </w:rPr>
        <w:t xml:space="preserve">. </w:t>
      </w:r>
      <w:r>
        <w:rPr>
          <w:sz w:val="22"/>
          <w:szCs w:val="22"/>
        </w:rPr>
        <w:t>To spôsobuje prevádzkové problémy v prípade výluk trolejbusovej siete a taktiež spôsobuje nutnosť obsluhovať koncové lokality</w:t>
      </w:r>
      <w:r w:rsidR="00455479">
        <w:rPr>
          <w:sz w:val="22"/>
          <w:szCs w:val="22"/>
        </w:rPr>
        <w:t xml:space="preserve"> v meste</w:t>
      </w:r>
      <w:r>
        <w:rPr>
          <w:sz w:val="22"/>
          <w:szCs w:val="22"/>
        </w:rPr>
        <w:t xml:space="preserve"> menej ekologickou autobusovou dopravou. Odstránenie týchto problémov je možné dosiahnuť </w:t>
      </w:r>
      <w:r w:rsidRPr="00D13E25">
        <w:rPr>
          <w:b/>
          <w:sz w:val="22"/>
          <w:szCs w:val="22"/>
        </w:rPr>
        <w:t>obstaraním</w:t>
      </w:r>
      <w:r>
        <w:rPr>
          <w:sz w:val="22"/>
          <w:szCs w:val="22"/>
        </w:rPr>
        <w:t xml:space="preserve"> </w:t>
      </w:r>
      <w:r w:rsidR="0039330E">
        <w:rPr>
          <w:b/>
          <w:sz w:val="22"/>
          <w:szCs w:val="22"/>
        </w:rPr>
        <w:t>nových</w:t>
      </w:r>
      <w:r w:rsidRPr="00D1373A">
        <w:rPr>
          <w:b/>
          <w:sz w:val="22"/>
          <w:szCs w:val="22"/>
        </w:rPr>
        <w:t xml:space="preserve"> nízkopodlažných trolejbusov </w:t>
      </w:r>
      <w:r>
        <w:rPr>
          <w:b/>
          <w:sz w:val="22"/>
          <w:szCs w:val="22"/>
        </w:rPr>
        <w:t>s pomocným pohonom</w:t>
      </w:r>
      <w:r w:rsidRPr="00D1373A">
        <w:rPr>
          <w:b/>
          <w:sz w:val="22"/>
          <w:szCs w:val="22"/>
        </w:rPr>
        <w:t xml:space="preserve"> s </w:t>
      </w:r>
      <w:r>
        <w:rPr>
          <w:b/>
          <w:sz w:val="22"/>
          <w:szCs w:val="22"/>
        </w:rPr>
        <w:t>nízkou energetickou náročnosťou</w:t>
      </w:r>
      <w:r w:rsidRPr="005574FF">
        <w:rPr>
          <w:sz w:val="22"/>
          <w:szCs w:val="22"/>
        </w:rPr>
        <w:t>.</w:t>
      </w:r>
    </w:p>
    <w:p w:rsidR="00413843" w:rsidRPr="004A479A" w:rsidRDefault="00413843" w:rsidP="00413843">
      <w:pPr>
        <w:spacing w:before="180"/>
        <w:jc w:val="both"/>
        <w:rPr>
          <w:sz w:val="22"/>
          <w:szCs w:val="22"/>
        </w:rPr>
      </w:pPr>
      <w:r w:rsidRPr="004A479A">
        <w:rPr>
          <w:sz w:val="22"/>
          <w:szCs w:val="22"/>
        </w:rPr>
        <w:t xml:space="preserve">Sumarizácia plánovaných aktivít v oblasti </w:t>
      </w:r>
      <w:r>
        <w:rPr>
          <w:sz w:val="22"/>
          <w:szCs w:val="22"/>
        </w:rPr>
        <w:t>obstarania mobilných prostriedkov dráhovej MHD</w:t>
      </w:r>
      <w:r w:rsidRPr="004A479A">
        <w:rPr>
          <w:sz w:val="22"/>
          <w:szCs w:val="22"/>
        </w:rPr>
        <w:t>:</w:t>
      </w:r>
    </w:p>
    <w:p w:rsidR="00413843" w:rsidRPr="004A479A" w:rsidRDefault="00413843" w:rsidP="00FE6025">
      <w:pPr>
        <w:pStyle w:val="Odsekzoznamu"/>
        <w:numPr>
          <w:ilvl w:val="0"/>
          <w:numId w:val="61"/>
        </w:numPr>
        <w:spacing w:before="120" w:after="120"/>
        <w:ind w:left="567" w:hanging="283"/>
        <w:jc w:val="both"/>
        <w:rPr>
          <w:i/>
          <w:sz w:val="22"/>
          <w:szCs w:val="22"/>
        </w:rPr>
      </w:pPr>
      <w:r w:rsidRPr="004A479A">
        <w:rPr>
          <w:i/>
          <w:sz w:val="22"/>
          <w:szCs w:val="22"/>
        </w:rPr>
        <w:t>obnova vozidlového parku dráhovej MHD (trolejbusy)</w:t>
      </w:r>
      <w:r>
        <w:rPr>
          <w:i/>
          <w:sz w:val="22"/>
          <w:szCs w:val="22"/>
        </w:rPr>
        <w:t>.</w:t>
      </w:r>
    </w:p>
    <w:p w:rsidR="00E01D5B" w:rsidRPr="006424E3" w:rsidRDefault="00E01D5B" w:rsidP="00E01D5B">
      <w:pPr>
        <w:spacing w:before="180" w:after="120"/>
        <w:jc w:val="both"/>
        <w:rPr>
          <w:sz w:val="22"/>
          <w:szCs w:val="22"/>
          <w:u w:val="single"/>
        </w:rPr>
      </w:pPr>
      <w:r w:rsidRPr="006424E3">
        <w:rPr>
          <w:sz w:val="22"/>
          <w:szCs w:val="22"/>
          <w:u w:val="single"/>
        </w:rPr>
        <w:t xml:space="preserve">Obnova prostriedkov dráhovej MHD v </w:t>
      </w:r>
      <w:r w:rsidR="0059698C">
        <w:rPr>
          <w:sz w:val="22"/>
          <w:szCs w:val="22"/>
          <w:u w:val="single"/>
        </w:rPr>
        <w:t>Žiline</w:t>
      </w:r>
    </w:p>
    <w:p w:rsidR="00E01D5B" w:rsidRDefault="00E01D5B" w:rsidP="00E01D5B">
      <w:pPr>
        <w:spacing w:before="120" w:after="120"/>
        <w:jc w:val="both"/>
        <w:rPr>
          <w:sz w:val="22"/>
          <w:szCs w:val="22"/>
        </w:rPr>
      </w:pPr>
      <w:r>
        <w:rPr>
          <w:sz w:val="22"/>
          <w:szCs w:val="22"/>
        </w:rPr>
        <w:t xml:space="preserve">Podobne ako v Prešove, aj v Žiline je trolejbusová doprava nosná a z hľadiska prepravných výkonov prevažuje nad autobusovou </w:t>
      </w:r>
      <w:r w:rsidR="0059698C">
        <w:rPr>
          <w:sz w:val="22"/>
          <w:szCs w:val="22"/>
        </w:rPr>
        <w:t>MHD. To však so sebou prináša aj</w:t>
      </w:r>
      <w:r>
        <w:rPr>
          <w:sz w:val="22"/>
          <w:szCs w:val="22"/>
        </w:rPr>
        <w:t xml:space="preserve"> prevádzkové problémy, pretože vzhľadom na absenciu trolejbusov s pomocným pohonom je problematickým riešenie napäťových výluk, porúch na trakčnom vedení či mimoriadnych udalostí. Je nutné tiež konštatovať výraznú zastaranosť vozidlového parku trolejbusov. Z týchto dôvodov sa navrhujú intervencie vo forme </w:t>
      </w:r>
      <w:r w:rsidRPr="00787A15">
        <w:rPr>
          <w:b/>
          <w:color w:val="000000"/>
          <w:sz w:val="22"/>
          <w:szCs w:val="22"/>
        </w:rPr>
        <w:lastRenderedPageBreak/>
        <w:t>ob</w:t>
      </w:r>
      <w:r>
        <w:rPr>
          <w:b/>
          <w:sz w:val="22"/>
          <w:szCs w:val="22"/>
        </w:rPr>
        <w:t xml:space="preserve">starania </w:t>
      </w:r>
      <w:r w:rsidRPr="00D1373A">
        <w:rPr>
          <w:b/>
          <w:sz w:val="22"/>
          <w:szCs w:val="22"/>
        </w:rPr>
        <w:t xml:space="preserve">moderných nízkopodlažných trolejbusov (vrátane </w:t>
      </w:r>
      <w:r>
        <w:rPr>
          <w:b/>
          <w:sz w:val="22"/>
          <w:szCs w:val="22"/>
        </w:rPr>
        <w:t>trolejbusov s pomocným pohonom)</w:t>
      </w:r>
      <w:r w:rsidRPr="00D1373A">
        <w:rPr>
          <w:b/>
          <w:sz w:val="22"/>
          <w:szCs w:val="22"/>
        </w:rPr>
        <w:t xml:space="preserve"> s </w:t>
      </w:r>
      <w:r>
        <w:rPr>
          <w:b/>
          <w:sz w:val="22"/>
          <w:szCs w:val="22"/>
        </w:rPr>
        <w:t>nízkou energetickou náročnosťou</w:t>
      </w:r>
      <w:r w:rsidRPr="005574FF">
        <w:rPr>
          <w:sz w:val="22"/>
          <w:szCs w:val="22"/>
        </w:rPr>
        <w:t>.</w:t>
      </w:r>
    </w:p>
    <w:p w:rsidR="00413843" w:rsidRPr="004A479A" w:rsidRDefault="00413843" w:rsidP="00413843">
      <w:pPr>
        <w:spacing w:before="180"/>
        <w:jc w:val="both"/>
        <w:rPr>
          <w:sz w:val="22"/>
          <w:szCs w:val="22"/>
        </w:rPr>
      </w:pPr>
      <w:r w:rsidRPr="004A479A">
        <w:rPr>
          <w:sz w:val="22"/>
          <w:szCs w:val="22"/>
        </w:rPr>
        <w:t xml:space="preserve">Sumarizácia plánovaných aktivít v oblasti </w:t>
      </w:r>
      <w:r>
        <w:rPr>
          <w:sz w:val="22"/>
          <w:szCs w:val="22"/>
        </w:rPr>
        <w:t>obstarania mobilných prostriedkov dráhovej MHD</w:t>
      </w:r>
      <w:r w:rsidRPr="004A479A">
        <w:rPr>
          <w:sz w:val="22"/>
          <w:szCs w:val="22"/>
        </w:rPr>
        <w:t>:</w:t>
      </w:r>
    </w:p>
    <w:p w:rsidR="00413843" w:rsidRDefault="00413843" w:rsidP="00FE6025">
      <w:pPr>
        <w:pStyle w:val="Odsekzoznamu"/>
        <w:numPr>
          <w:ilvl w:val="0"/>
          <w:numId w:val="61"/>
        </w:numPr>
        <w:spacing w:before="120" w:after="120"/>
        <w:ind w:left="567" w:hanging="283"/>
        <w:jc w:val="both"/>
        <w:rPr>
          <w:i/>
          <w:sz w:val="22"/>
          <w:szCs w:val="22"/>
        </w:rPr>
      </w:pPr>
      <w:r w:rsidRPr="004A479A">
        <w:rPr>
          <w:i/>
          <w:sz w:val="22"/>
          <w:szCs w:val="22"/>
        </w:rPr>
        <w:t>obnova vozidlového parku dráhovej MHD (trolejbusy)</w:t>
      </w:r>
      <w:r>
        <w:rPr>
          <w:i/>
          <w:sz w:val="22"/>
          <w:szCs w:val="22"/>
        </w:rPr>
        <w:t>.</w:t>
      </w:r>
    </w:p>
    <w:p w:rsidR="00413843" w:rsidRDefault="00413843" w:rsidP="00413843">
      <w:pPr>
        <w:spacing w:before="180" w:after="120"/>
        <w:jc w:val="both"/>
        <w:rPr>
          <w:sz w:val="22"/>
          <w:szCs w:val="22"/>
          <w:u w:val="single"/>
        </w:rPr>
      </w:pPr>
      <w:r>
        <w:rPr>
          <w:sz w:val="22"/>
          <w:szCs w:val="22"/>
          <w:u w:val="single"/>
        </w:rPr>
        <w:t>Podpora verejnej osobnej dopravy v meste Banská Bystrica</w:t>
      </w:r>
    </w:p>
    <w:p w:rsidR="00413843" w:rsidRDefault="00413843" w:rsidP="00754B38">
      <w:pPr>
        <w:spacing w:before="180" w:after="120"/>
        <w:jc w:val="both"/>
        <w:rPr>
          <w:sz w:val="22"/>
          <w:szCs w:val="22"/>
        </w:rPr>
      </w:pPr>
      <w:r>
        <w:rPr>
          <w:sz w:val="22"/>
          <w:szCs w:val="22"/>
        </w:rPr>
        <w:t>V Banskej Bystrici tvorí trolejbusová doprava významnú časť MHD, jej podiel na výkonoch je však nižší ako u autobusovej dopravy. Potenciálnou možnosťou rozvoja je rozšírenie trolejbusovej siete, resp. prepojenie existujúcich úsekov, čím by sa dosiahol vyšší podiel tohto ekologického módu dopravy na MHD, a s ním spojené obstaranie dodatočných trolejbusov.</w:t>
      </w:r>
      <w:r w:rsidR="00754B38">
        <w:rPr>
          <w:sz w:val="22"/>
          <w:szCs w:val="22"/>
        </w:rPr>
        <w:t xml:space="preserve"> Zámery v oblasti rozvoja trolejbusovej dopravy však musia byť potvrdené lokálnymi strategickými dokumentmi vrátan</w:t>
      </w:r>
      <w:r w:rsidR="0083727B">
        <w:rPr>
          <w:sz w:val="22"/>
          <w:szCs w:val="22"/>
        </w:rPr>
        <w:t>ie posúdenia ich udržateľnosti.</w:t>
      </w:r>
    </w:p>
    <w:p w:rsidR="00413843" w:rsidRPr="004A479A" w:rsidRDefault="00413843" w:rsidP="00413843">
      <w:pPr>
        <w:spacing w:before="180"/>
        <w:jc w:val="both"/>
        <w:rPr>
          <w:sz w:val="22"/>
          <w:szCs w:val="22"/>
        </w:rPr>
      </w:pPr>
      <w:r w:rsidRPr="004A479A">
        <w:rPr>
          <w:sz w:val="22"/>
          <w:szCs w:val="22"/>
        </w:rPr>
        <w:t xml:space="preserve">Sumarizácia plánovaných aktivít v oblasti </w:t>
      </w:r>
      <w:r>
        <w:rPr>
          <w:sz w:val="22"/>
          <w:szCs w:val="22"/>
        </w:rPr>
        <w:t>obstarania mobilných prostriedkov dráhovej MHD</w:t>
      </w:r>
      <w:r w:rsidRPr="004A479A">
        <w:rPr>
          <w:sz w:val="22"/>
          <w:szCs w:val="22"/>
        </w:rPr>
        <w:t>:</w:t>
      </w:r>
    </w:p>
    <w:p w:rsidR="00413843" w:rsidRDefault="00413843" w:rsidP="00FE6025">
      <w:pPr>
        <w:pStyle w:val="Odsekzoznamu"/>
        <w:numPr>
          <w:ilvl w:val="0"/>
          <w:numId w:val="61"/>
        </w:numPr>
        <w:spacing w:before="120" w:after="120"/>
        <w:ind w:left="567" w:hanging="283"/>
        <w:jc w:val="both"/>
        <w:rPr>
          <w:i/>
          <w:sz w:val="22"/>
          <w:szCs w:val="22"/>
        </w:rPr>
      </w:pPr>
      <w:r w:rsidRPr="004A479A">
        <w:rPr>
          <w:i/>
          <w:sz w:val="22"/>
          <w:szCs w:val="22"/>
        </w:rPr>
        <w:t>obnova vozidlového parku dráhovej MHD (trolejbusy)</w:t>
      </w:r>
      <w:r>
        <w:rPr>
          <w:i/>
          <w:sz w:val="22"/>
          <w:szCs w:val="22"/>
        </w:rPr>
        <w:t>.</w:t>
      </w:r>
    </w:p>
    <w:p w:rsidR="006E5486" w:rsidRDefault="006E5486" w:rsidP="006E5486">
      <w:pPr>
        <w:numPr>
          <w:ilvl w:val="2"/>
          <w:numId w:val="39"/>
        </w:numPr>
        <w:spacing w:before="180" w:after="120"/>
        <w:ind w:left="851" w:hanging="425"/>
        <w:jc w:val="both"/>
        <w:rPr>
          <w:b/>
          <w:i/>
          <w:color w:val="4F81BD" w:themeColor="accent1"/>
          <w:sz w:val="22"/>
          <w:szCs w:val="22"/>
        </w:rPr>
      </w:pPr>
      <w:r w:rsidRPr="00AF56C3">
        <w:rPr>
          <w:b/>
          <w:i/>
          <w:color w:val="4F81BD" w:themeColor="accent1"/>
          <w:sz w:val="22"/>
          <w:szCs w:val="22"/>
        </w:rPr>
        <w:t>Výstavba a moder</w:t>
      </w:r>
      <w:r>
        <w:rPr>
          <w:b/>
          <w:i/>
          <w:color w:val="4F81BD" w:themeColor="accent1"/>
          <w:sz w:val="22"/>
          <w:szCs w:val="22"/>
        </w:rPr>
        <w:t>nizácia infraštruktúry pre IDS</w:t>
      </w:r>
      <w:r w:rsidRPr="00AF56C3">
        <w:rPr>
          <w:b/>
          <w:i/>
          <w:color w:val="4F81BD" w:themeColor="accent1"/>
          <w:sz w:val="22"/>
          <w:szCs w:val="22"/>
        </w:rPr>
        <w:t xml:space="preserve"> </w:t>
      </w:r>
      <w:r>
        <w:rPr>
          <w:b/>
          <w:i/>
          <w:color w:val="4F81BD" w:themeColor="accent1"/>
          <w:sz w:val="22"/>
          <w:szCs w:val="22"/>
        </w:rPr>
        <w:t>(</w:t>
      </w:r>
      <w:r w:rsidRPr="00AF56C3">
        <w:rPr>
          <w:b/>
          <w:i/>
          <w:color w:val="4F81BD" w:themeColor="accent1"/>
          <w:sz w:val="22"/>
          <w:szCs w:val="22"/>
        </w:rPr>
        <w:t>modernizácia a výstavba prestupných terminálov so zásahom do železničnej infraštruktúry</w:t>
      </w:r>
      <w:r w:rsidR="0083727B">
        <w:rPr>
          <w:b/>
          <w:i/>
          <w:color w:val="4F81BD" w:themeColor="accent1"/>
          <w:sz w:val="22"/>
          <w:szCs w:val="22"/>
        </w:rPr>
        <w:t>)</w:t>
      </w:r>
    </w:p>
    <w:p w:rsidR="006E5486" w:rsidRPr="006E5486" w:rsidRDefault="006E5486" w:rsidP="006E5486">
      <w:pPr>
        <w:autoSpaceDE w:val="0"/>
        <w:autoSpaceDN w:val="0"/>
        <w:adjustRightInd w:val="0"/>
        <w:spacing w:before="180"/>
        <w:jc w:val="both"/>
        <w:rPr>
          <w:sz w:val="22"/>
          <w:szCs w:val="22"/>
        </w:rPr>
      </w:pPr>
      <w:r w:rsidRPr="006E5486">
        <w:rPr>
          <w:sz w:val="22"/>
          <w:szCs w:val="22"/>
        </w:rPr>
        <w:t>Nevyhovujúce prestupné body negatívne poznačujú zámery efektívnejšej organizácie dopravy, keď z dôvodu komplikovanosti prestupov a nízkej atraktivity prestupných miest vystupujú do popredia obavy zo straty existujúcich zákazníkov verejnej osobnej dopravy namiesto deklarovaného cieľa získania nových zákazníkov. Intervencie do prestupných terminálov pre IDS tak majú za cieľ vytvorenie predpokladov na zavedenie efektívnejšej organizácie verejnej osobnej dopravy.</w:t>
      </w:r>
    </w:p>
    <w:p w:rsidR="006E5486" w:rsidRPr="006E5486" w:rsidRDefault="006E5486" w:rsidP="006E5486">
      <w:pPr>
        <w:spacing w:before="120"/>
        <w:jc w:val="both"/>
        <w:rPr>
          <w:sz w:val="22"/>
          <w:szCs w:val="22"/>
        </w:rPr>
      </w:pPr>
      <w:r w:rsidRPr="006E5486">
        <w:rPr>
          <w:sz w:val="22"/>
          <w:szCs w:val="22"/>
        </w:rPr>
        <w:t>Cieľom výstavby terminálov osobnej prepravy je zároveň optimalizovať počet a umiestnenie prestupných bodov na sieti verejnej hromadnej osobnej dopra</w:t>
      </w:r>
      <w:r w:rsidR="0083727B">
        <w:rPr>
          <w:sz w:val="22"/>
          <w:szCs w:val="22"/>
        </w:rPr>
        <w:t>vy a tým vytvárať podmienky pre </w:t>
      </w:r>
      <w:r w:rsidRPr="006E5486">
        <w:rPr>
          <w:sz w:val="22"/>
          <w:szCs w:val="22"/>
        </w:rPr>
        <w:t>efektívne zabezpečenie prepravných potrieb obyvateľstva. Motivačné prvky pre budúcich používateľov by mali predstavovať časovú a ekonomickú úsporu. Výstavba prestupných bodov bude realizovaná v úzkej spolupráci s modernizáciou dopravnej infraštruktúry a obnovou mobilných prostriedkov. Zo zdrojov OPII sa uvažuje s intervenciami do prestupných terminálov so zásahom do železničnej infraštruktúry v Bratislavskom a Košickom kraji.</w:t>
      </w:r>
    </w:p>
    <w:p w:rsidR="006E5486" w:rsidRPr="006E5486" w:rsidRDefault="006E5486" w:rsidP="006E5486">
      <w:pPr>
        <w:spacing w:before="120"/>
        <w:jc w:val="both"/>
        <w:rPr>
          <w:sz w:val="22"/>
          <w:szCs w:val="22"/>
        </w:rPr>
      </w:pPr>
      <w:r w:rsidRPr="006E5486">
        <w:rPr>
          <w:sz w:val="22"/>
          <w:szCs w:val="22"/>
        </w:rPr>
        <w:t>Počet, rozmiestnenie a technické riešenie terminálov budú stanovené na základe výsledkov plánov dopravnej obslužnosti. Cieľom stavieb bude presmerovanie prímestskej dopravy z individuálnej dopravy na koľajovú dopravu, ako aj prevzatie dopravy zo zaťažených tratí z cestnej hromadnej dopravy – autobusov na veľkokapacitnú železničnú dopravu. K bezproblémovému prestupu má slúžiť stavebné riešenie a technické vybavenie terminálu.</w:t>
      </w:r>
    </w:p>
    <w:p w:rsidR="00E01D5B" w:rsidRDefault="00E01D5B" w:rsidP="006E5486">
      <w:pPr>
        <w:numPr>
          <w:ilvl w:val="2"/>
          <w:numId w:val="39"/>
        </w:numPr>
        <w:spacing w:before="180" w:after="120"/>
        <w:ind w:left="851" w:hanging="425"/>
        <w:jc w:val="both"/>
        <w:rPr>
          <w:b/>
          <w:i/>
          <w:color w:val="4F81BD" w:themeColor="accent1"/>
          <w:sz w:val="22"/>
          <w:szCs w:val="22"/>
        </w:rPr>
      </w:pPr>
      <w:r w:rsidRPr="005139F6">
        <w:rPr>
          <w:b/>
          <w:i/>
          <w:color w:val="4F81BD" w:themeColor="accent1"/>
          <w:sz w:val="22"/>
          <w:szCs w:val="22"/>
        </w:rPr>
        <w:t>Vybudovanie a modernizácia technickej základne na opravu a údržbu vozidlového parku dráhovej MHD</w:t>
      </w:r>
    </w:p>
    <w:p w:rsidR="000001AA" w:rsidRPr="000001AA" w:rsidRDefault="000001AA" w:rsidP="000001AA">
      <w:pPr>
        <w:spacing w:before="180" w:after="120"/>
        <w:jc w:val="both"/>
        <w:rPr>
          <w:sz w:val="22"/>
          <w:szCs w:val="22"/>
        </w:rPr>
      </w:pPr>
      <w:r w:rsidRPr="000001AA">
        <w:rPr>
          <w:sz w:val="22"/>
          <w:szCs w:val="22"/>
        </w:rPr>
        <w:t>Z obnovy vozového parku dráhovej MHD, tzn. obstarania nových električiek a trolejbusov vyplývajú špecifické nároky aj na ich budúcu údržbu a opravy, ktoré sa premietajú do potreby výstavby novej, resp. modernizácie existujúcej údržbovej základe, ktorá v súčasnosti nie je dostatočne te</w:t>
      </w:r>
      <w:r w:rsidR="0097314E">
        <w:rPr>
          <w:sz w:val="22"/>
          <w:szCs w:val="22"/>
        </w:rPr>
        <w:t>chnicky a kapacitne vybavená na</w:t>
      </w:r>
      <w:r w:rsidRPr="000001AA">
        <w:rPr>
          <w:sz w:val="22"/>
          <w:szCs w:val="22"/>
        </w:rPr>
        <w:t xml:space="preserve"> údržbu a opravy </w:t>
      </w:r>
      <w:r w:rsidR="0097314E">
        <w:rPr>
          <w:sz w:val="22"/>
          <w:szCs w:val="22"/>
        </w:rPr>
        <w:t>nových dopravných prostriedkov.</w:t>
      </w:r>
    </w:p>
    <w:p w:rsidR="000001AA" w:rsidRPr="000001AA" w:rsidRDefault="000001AA" w:rsidP="000001AA">
      <w:pPr>
        <w:spacing w:before="180" w:after="120"/>
        <w:jc w:val="both"/>
        <w:rPr>
          <w:sz w:val="22"/>
          <w:szCs w:val="22"/>
        </w:rPr>
      </w:pPr>
      <w:r w:rsidRPr="000001AA">
        <w:rPr>
          <w:sz w:val="22"/>
          <w:szCs w:val="22"/>
        </w:rPr>
        <w:t xml:space="preserve">Súčasný stav v oblasti mestskej hromadnej dopravy je charakteristický popri nevyhovujúcej dopravnej infraštruktúre </w:t>
      </w:r>
      <w:r w:rsidR="006D086E">
        <w:rPr>
          <w:sz w:val="22"/>
          <w:szCs w:val="22"/>
        </w:rPr>
        <w:t>taktiež</w:t>
      </w:r>
      <w:r w:rsidRPr="000001AA">
        <w:rPr>
          <w:sz w:val="22"/>
          <w:szCs w:val="22"/>
        </w:rPr>
        <w:t xml:space="preserve"> nedostatočnou kvalitou poskytovaných služieb</w:t>
      </w:r>
      <w:r w:rsidR="00513743">
        <w:rPr>
          <w:sz w:val="22"/>
          <w:szCs w:val="22"/>
        </w:rPr>
        <w:t>, ktorá je</w:t>
      </w:r>
      <w:r w:rsidRPr="000001AA">
        <w:rPr>
          <w:sz w:val="22"/>
          <w:szCs w:val="22"/>
        </w:rPr>
        <w:t xml:space="preserve"> zapríčinen</w:t>
      </w:r>
      <w:r w:rsidR="00513743">
        <w:rPr>
          <w:sz w:val="22"/>
          <w:szCs w:val="22"/>
        </w:rPr>
        <w:t>á</w:t>
      </w:r>
      <w:r w:rsidRPr="000001AA">
        <w:rPr>
          <w:sz w:val="22"/>
          <w:szCs w:val="22"/>
        </w:rPr>
        <w:t xml:space="preserve"> predovšetkým nevyhovujúcim technickým stavom vozidiel MHD</w:t>
      </w:r>
      <w:r w:rsidR="00513743">
        <w:rPr>
          <w:sz w:val="22"/>
          <w:szCs w:val="22"/>
        </w:rPr>
        <w:t>.</w:t>
      </w:r>
      <w:r w:rsidRPr="000001AA">
        <w:rPr>
          <w:sz w:val="22"/>
          <w:szCs w:val="22"/>
        </w:rPr>
        <w:t xml:space="preserve"> </w:t>
      </w:r>
      <w:r w:rsidR="00513743">
        <w:rPr>
          <w:sz w:val="22"/>
          <w:szCs w:val="22"/>
        </w:rPr>
        <w:t>V</w:t>
      </w:r>
      <w:r w:rsidRPr="000001AA">
        <w:rPr>
          <w:sz w:val="22"/>
          <w:szCs w:val="22"/>
        </w:rPr>
        <w:t> prípade neprijatia vhodných opatrení indikuje</w:t>
      </w:r>
      <w:r w:rsidR="00620751">
        <w:rPr>
          <w:sz w:val="22"/>
          <w:szCs w:val="22"/>
        </w:rPr>
        <w:t xml:space="preserve"> tento stav</w:t>
      </w:r>
      <w:r w:rsidRPr="000001AA">
        <w:rPr>
          <w:sz w:val="22"/>
          <w:szCs w:val="22"/>
        </w:rPr>
        <w:t xml:space="preserve"> ďalšie zníženie dopytu po využívaní služieb MHD</w:t>
      </w:r>
      <w:r w:rsidR="00620751">
        <w:rPr>
          <w:sz w:val="22"/>
          <w:szCs w:val="22"/>
        </w:rPr>
        <w:t>,</w:t>
      </w:r>
      <w:r w:rsidRPr="000001AA">
        <w:rPr>
          <w:sz w:val="22"/>
          <w:szCs w:val="22"/>
        </w:rPr>
        <w:t xml:space="preserve"> </w:t>
      </w:r>
      <w:r w:rsidR="00620751">
        <w:rPr>
          <w:sz w:val="22"/>
          <w:szCs w:val="22"/>
        </w:rPr>
        <w:t xml:space="preserve">čo </w:t>
      </w:r>
      <w:r w:rsidR="00424A41">
        <w:rPr>
          <w:sz w:val="22"/>
          <w:szCs w:val="22"/>
        </w:rPr>
        <w:t>by</w:t>
      </w:r>
      <w:r w:rsidR="00620751">
        <w:rPr>
          <w:sz w:val="22"/>
          <w:szCs w:val="22"/>
        </w:rPr>
        <w:t xml:space="preserve"> následne</w:t>
      </w:r>
      <w:r w:rsidR="00424A41">
        <w:rPr>
          <w:sz w:val="22"/>
          <w:szCs w:val="22"/>
        </w:rPr>
        <w:t xml:space="preserve"> viedlo</w:t>
      </w:r>
      <w:r w:rsidRPr="000001AA">
        <w:rPr>
          <w:sz w:val="22"/>
          <w:szCs w:val="22"/>
        </w:rPr>
        <w:t xml:space="preserve"> k ďalšiemu postupnému znižovaniu poskytovaných výkonov MHD a zvyšovaniu podielu individuálnej au</w:t>
      </w:r>
      <w:r w:rsidR="0083727B">
        <w:rPr>
          <w:sz w:val="22"/>
          <w:szCs w:val="22"/>
        </w:rPr>
        <w:t>tomobilovej dopravy.</w:t>
      </w:r>
    </w:p>
    <w:p w:rsidR="000001AA" w:rsidRPr="000001AA" w:rsidRDefault="000001AA" w:rsidP="000001AA">
      <w:pPr>
        <w:spacing w:before="180" w:after="120"/>
        <w:jc w:val="both"/>
        <w:rPr>
          <w:sz w:val="22"/>
          <w:szCs w:val="22"/>
        </w:rPr>
      </w:pPr>
      <w:r w:rsidRPr="000001AA">
        <w:rPr>
          <w:sz w:val="22"/>
          <w:szCs w:val="22"/>
        </w:rPr>
        <w:t xml:space="preserve">Súčasné technické zázemie nevyhovuje nárokom na údržbu a opravy moderných vozidiel. </w:t>
      </w:r>
      <w:r w:rsidR="0083727B">
        <w:rPr>
          <w:sz w:val="22"/>
          <w:szCs w:val="22"/>
        </w:rPr>
        <w:t>Cieľom</w:t>
      </w:r>
      <w:r w:rsidRPr="000001AA">
        <w:rPr>
          <w:sz w:val="22"/>
          <w:szCs w:val="22"/>
        </w:rPr>
        <w:t xml:space="preserve"> realizácie projektov údržbovej základne je tak vytvoriť</w:t>
      </w:r>
      <w:r w:rsidR="00620751">
        <w:rPr>
          <w:sz w:val="22"/>
          <w:szCs w:val="22"/>
        </w:rPr>
        <w:t xml:space="preserve"> vhodné</w:t>
      </w:r>
      <w:r w:rsidRPr="000001AA">
        <w:rPr>
          <w:sz w:val="22"/>
          <w:szCs w:val="22"/>
        </w:rPr>
        <w:t xml:space="preserve"> technické podmienky pre údržbu </w:t>
      </w:r>
      <w:r w:rsidRPr="000001AA">
        <w:rPr>
          <w:sz w:val="22"/>
          <w:szCs w:val="22"/>
        </w:rPr>
        <w:lastRenderedPageBreak/>
        <w:t>a opravy nových nízkopodlažných vozidiel s cieľom zabezpečenia ich plnej prevádzkyschopnosti. Modernizovaná údržbová základňa bude aj naďalej slúžiť na vykonávanie údržby a</w:t>
      </w:r>
      <w:r w:rsidR="0083727B">
        <w:rPr>
          <w:sz w:val="22"/>
          <w:szCs w:val="22"/>
        </w:rPr>
        <w:t> </w:t>
      </w:r>
      <w:r w:rsidRPr="000001AA">
        <w:rPr>
          <w:sz w:val="22"/>
          <w:szCs w:val="22"/>
        </w:rPr>
        <w:t>opráv</w:t>
      </w:r>
      <w:r w:rsidR="0083727B">
        <w:rPr>
          <w:sz w:val="22"/>
          <w:szCs w:val="22"/>
        </w:rPr>
        <w:t xml:space="preserve"> v </w:t>
      </w:r>
      <w:r w:rsidRPr="000001AA">
        <w:rPr>
          <w:sz w:val="22"/>
          <w:szCs w:val="22"/>
        </w:rPr>
        <w:t xml:space="preserve">súčasnosti </w:t>
      </w:r>
      <w:r w:rsidR="0083727B">
        <w:rPr>
          <w:sz w:val="22"/>
          <w:szCs w:val="22"/>
        </w:rPr>
        <w:t>prevádzkovaného vozového parku.</w:t>
      </w:r>
    </w:p>
    <w:p w:rsidR="000001AA" w:rsidRPr="000001AA" w:rsidRDefault="000001AA" w:rsidP="000001AA">
      <w:pPr>
        <w:spacing w:before="180" w:after="120"/>
        <w:jc w:val="both"/>
        <w:rPr>
          <w:sz w:val="22"/>
          <w:szCs w:val="22"/>
        </w:rPr>
      </w:pPr>
      <w:r w:rsidRPr="000001AA">
        <w:rPr>
          <w:sz w:val="22"/>
          <w:szCs w:val="22"/>
        </w:rPr>
        <w:t>Hlavným cieľom výstavby a modernizácie technickej zá</w:t>
      </w:r>
      <w:r w:rsidR="00AE2A87">
        <w:rPr>
          <w:sz w:val="22"/>
          <w:szCs w:val="22"/>
        </w:rPr>
        <w:t>kladne je podporiť rast výkonov</w:t>
      </w:r>
      <w:r w:rsidRPr="000001AA">
        <w:rPr>
          <w:sz w:val="22"/>
          <w:szCs w:val="22"/>
        </w:rPr>
        <w:t xml:space="preserve"> dráhovej mestskej hromadnej dopravy prostredníctvom zvýšeného dopytu spokojných zákazníkov po kvalitnej preprave v modernizovaných dopravných prostriedkoch. Výstavba a modernizácia údržbovej základne (v synergii s projektmi zameranými na obnovu vozidlového parku a výstavbu a modernizáciu infraštruktúry pre dráhovú MHD) prispeje k zvýšeniu kvality služieb ponúkaných MHD, zlepšeniu kultúry a komfortu cestovania v rámci MHD, zlepšeniu jej spoľahlivosti a bezpečnosti a podnieti rast dopytu po službách MHD. Tým sa vytvoria základné predpoklady pre zvýšenie podielu ekologickej dráhovej mestskej hromadnej dopravy, ktorá bude základom budúcej dopravnej sústavy</w:t>
      </w:r>
      <w:r w:rsidR="00DA4B38">
        <w:rPr>
          <w:sz w:val="22"/>
          <w:szCs w:val="22"/>
        </w:rPr>
        <w:t xml:space="preserve"> </w:t>
      </w:r>
      <w:r w:rsidR="00620751">
        <w:rPr>
          <w:sz w:val="22"/>
          <w:szCs w:val="22"/>
        </w:rPr>
        <w:t>mestských aglomerácií</w:t>
      </w:r>
      <w:r w:rsidRPr="000001AA">
        <w:rPr>
          <w:sz w:val="22"/>
          <w:szCs w:val="22"/>
        </w:rPr>
        <w:t>.</w:t>
      </w:r>
    </w:p>
    <w:p w:rsidR="000001AA" w:rsidRPr="000001AA" w:rsidRDefault="000001AA" w:rsidP="000001AA">
      <w:pPr>
        <w:spacing w:before="180" w:after="120"/>
        <w:jc w:val="both"/>
        <w:rPr>
          <w:color w:val="4F81BD" w:themeColor="accent1"/>
          <w:sz w:val="22"/>
          <w:szCs w:val="22"/>
        </w:rPr>
      </w:pPr>
      <w:r w:rsidRPr="000001AA">
        <w:rPr>
          <w:sz w:val="22"/>
          <w:szCs w:val="22"/>
        </w:rPr>
        <w:t xml:space="preserve">Realizáciou projektov technickej základne pre MHD sa zároveň podporí napĺňanie čiastkových cieľov v oblasti zvýšenia kvality životného prostredia prostredníctvom zníženia znečisťovania zložiek životného prostredia. Tvorba kapacít pre </w:t>
      </w:r>
      <w:r w:rsidR="00AE2A87">
        <w:rPr>
          <w:sz w:val="22"/>
          <w:szCs w:val="22"/>
        </w:rPr>
        <w:t>splnenie špecifických podmienok</w:t>
      </w:r>
      <w:r w:rsidRPr="000001AA">
        <w:rPr>
          <w:sz w:val="22"/>
          <w:szCs w:val="22"/>
        </w:rPr>
        <w:t xml:space="preserve"> údržby a opráv nových vozidiel MHD umožní realizovať zmenu štruktúry vozidlového parku v prospech vozidiel s nulovou emisiou znečisťujúcich látok (električky, trolejbusy) na úkor autobusov, čo zároveň umožní zvýšiť kvalitu životného prostredia v dotknutých mestách prostredníctvom zníženia produkcie znečisťujúcich látok do ovzdušia.</w:t>
      </w:r>
    </w:p>
    <w:p w:rsidR="003C0531" w:rsidRDefault="003C0531" w:rsidP="006E5486">
      <w:pPr>
        <w:numPr>
          <w:ilvl w:val="2"/>
          <w:numId w:val="39"/>
        </w:numPr>
        <w:spacing w:before="180" w:after="120"/>
        <w:ind w:left="851" w:hanging="425"/>
        <w:jc w:val="both"/>
        <w:rPr>
          <w:b/>
          <w:i/>
          <w:color w:val="4F81BD" w:themeColor="accent1"/>
          <w:sz w:val="22"/>
          <w:szCs w:val="22"/>
        </w:rPr>
      </w:pPr>
      <w:r>
        <w:rPr>
          <w:b/>
          <w:i/>
          <w:color w:val="4F81BD" w:themeColor="accent1"/>
          <w:sz w:val="22"/>
          <w:szCs w:val="22"/>
        </w:rPr>
        <w:t>Projektová príprava.</w:t>
      </w:r>
    </w:p>
    <w:p w:rsidR="000E41D5" w:rsidRDefault="000E41D5" w:rsidP="000E41D5">
      <w:pPr>
        <w:spacing w:after="180"/>
        <w:jc w:val="both"/>
        <w:rPr>
          <w:sz w:val="22"/>
          <w:szCs w:val="22"/>
        </w:rPr>
      </w:pPr>
      <w:r w:rsidRPr="000E41D5">
        <w:rPr>
          <w:sz w:val="22"/>
          <w:szCs w:val="22"/>
        </w:rPr>
        <w:t>Súčasný stav projektovej prípravy investičných stavieb je možné označiť ako prierezový problém systémového charakteru. Na základe uvedeného bude náležitá pozornosť i zdroje venované predprojektovej a projektov</w:t>
      </w:r>
      <w:r>
        <w:rPr>
          <w:sz w:val="22"/>
          <w:szCs w:val="22"/>
        </w:rPr>
        <w:t>ej príprave</w:t>
      </w:r>
      <w:r w:rsidRPr="000E41D5">
        <w:rPr>
          <w:sz w:val="22"/>
          <w:szCs w:val="22"/>
        </w:rPr>
        <w:t>.</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289"/>
        <w:gridCol w:w="5783"/>
      </w:tblGrid>
      <w:tr w:rsidR="00FE6C5A" w:rsidTr="00532DA2">
        <w:trPr>
          <w:trHeight w:val="284"/>
          <w:jc w:val="center"/>
        </w:trPr>
        <w:tc>
          <w:tcPr>
            <w:tcW w:w="3289" w:type="dxa"/>
            <w:shd w:val="clear" w:color="auto" w:fill="DBE5F1" w:themeFill="accent1" w:themeFillTint="33"/>
            <w:vAlign w:val="center"/>
          </w:tcPr>
          <w:p w:rsidR="00FE6C5A" w:rsidRPr="009553A0" w:rsidRDefault="00FE6C5A" w:rsidP="00532DA2">
            <w:pPr>
              <w:autoSpaceDE w:val="0"/>
              <w:autoSpaceDN w:val="0"/>
              <w:adjustRightInd w:val="0"/>
              <w:ind w:left="0"/>
              <w:rPr>
                <w:i/>
                <w:sz w:val="22"/>
                <w:szCs w:val="22"/>
              </w:rPr>
            </w:pPr>
            <w:r w:rsidRPr="009553A0">
              <w:rPr>
                <w:i/>
                <w:sz w:val="22"/>
                <w:szCs w:val="22"/>
              </w:rPr>
              <w:t>Cieľové skupiny:</w:t>
            </w:r>
          </w:p>
        </w:tc>
        <w:tc>
          <w:tcPr>
            <w:tcW w:w="5783" w:type="dxa"/>
            <w:vAlign w:val="center"/>
          </w:tcPr>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široká verejnosť</w:t>
            </w:r>
          </w:p>
        </w:tc>
      </w:tr>
      <w:tr w:rsidR="00FE6C5A" w:rsidTr="00532DA2">
        <w:trPr>
          <w:trHeight w:val="284"/>
          <w:jc w:val="center"/>
        </w:trPr>
        <w:tc>
          <w:tcPr>
            <w:tcW w:w="3289" w:type="dxa"/>
            <w:shd w:val="clear" w:color="auto" w:fill="DBE5F1" w:themeFill="accent1" w:themeFillTint="33"/>
            <w:vAlign w:val="center"/>
          </w:tcPr>
          <w:p w:rsidR="00FE6C5A" w:rsidRPr="009553A0" w:rsidRDefault="00FE6C5A" w:rsidP="00532DA2">
            <w:pPr>
              <w:autoSpaceDE w:val="0"/>
              <w:autoSpaceDN w:val="0"/>
              <w:adjustRightInd w:val="0"/>
              <w:ind w:left="0"/>
              <w:rPr>
                <w:i/>
                <w:sz w:val="22"/>
                <w:szCs w:val="22"/>
              </w:rPr>
            </w:pPr>
            <w:r w:rsidRPr="009553A0">
              <w:rPr>
                <w:i/>
                <w:sz w:val="22"/>
                <w:szCs w:val="22"/>
              </w:rPr>
              <w:t>Cieľové územia:</w:t>
            </w:r>
          </w:p>
        </w:tc>
        <w:tc>
          <w:tcPr>
            <w:tcW w:w="5783" w:type="dxa"/>
            <w:vAlign w:val="center"/>
          </w:tcPr>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NUTS 1 (celé územie SR)</w:t>
            </w:r>
          </w:p>
        </w:tc>
      </w:tr>
      <w:tr w:rsidR="00FE6C5A" w:rsidTr="00532DA2">
        <w:trPr>
          <w:trHeight w:val="284"/>
          <w:jc w:val="center"/>
        </w:trPr>
        <w:tc>
          <w:tcPr>
            <w:tcW w:w="3289" w:type="dxa"/>
            <w:shd w:val="clear" w:color="auto" w:fill="DBE5F1" w:themeFill="accent1" w:themeFillTint="33"/>
            <w:vAlign w:val="center"/>
          </w:tcPr>
          <w:p w:rsidR="00FE6C5A" w:rsidRPr="009553A0" w:rsidRDefault="00FE6C5A" w:rsidP="00532DA2">
            <w:pPr>
              <w:autoSpaceDE w:val="0"/>
              <w:autoSpaceDN w:val="0"/>
              <w:adjustRightInd w:val="0"/>
              <w:ind w:left="0"/>
              <w:rPr>
                <w:i/>
                <w:sz w:val="22"/>
                <w:szCs w:val="22"/>
              </w:rPr>
            </w:pPr>
            <w:r w:rsidRPr="009553A0">
              <w:rPr>
                <w:i/>
                <w:sz w:val="22"/>
                <w:szCs w:val="22"/>
              </w:rPr>
              <w:t>Prijímatelia:</w:t>
            </w:r>
          </w:p>
        </w:tc>
        <w:tc>
          <w:tcPr>
            <w:tcW w:w="5783" w:type="dxa"/>
            <w:vAlign w:val="center"/>
          </w:tcPr>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Dopravný podnik Bratislava, a. s.</w:t>
            </w:r>
          </w:p>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Dopravný podnik mesta Košice, a. s.</w:t>
            </w:r>
          </w:p>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Dopravný podnik mesta Prešov, a. s.</w:t>
            </w:r>
          </w:p>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Dopravný podnik mesta Žilina, s. r. o.</w:t>
            </w:r>
          </w:p>
          <w:p w:rsidR="00FE6C5A" w:rsidRPr="00AE2A87" w:rsidRDefault="00FE6C5A" w:rsidP="00532DA2">
            <w:pPr>
              <w:pStyle w:val="Odsekzoznamu"/>
              <w:numPr>
                <w:ilvl w:val="0"/>
                <w:numId w:val="28"/>
              </w:numPr>
              <w:autoSpaceDE w:val="0"/>
              <w:autoSpaceDN w:val="0"/>
              <w:adjustRightInd w:val="0"/>
              <w:ind w:left="284" w:hanging="284"/>
              <w:rPr>
                <w:sz w:val="22"/>
                <w:szCs w:val="22"/>
              </w:rPr>
            </w:pPr>
            <w:r w:rsidRPr="00AE2A87">
              <w:rPr>
                <w:sz w:val="22"/>
                <w:szCs w:val="22"/>
              </w:rPr>
              <w:t>hlavné mesto SR Bratislava</w:t>
            </w:r>
          </w:p>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mesto Košice</w:t>
            </w:r>
          </w:p>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mesto Prešov</w:t>
            </w:r>
          </w:p>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mesto Žilina</w:t>
            </w:r>
          </w:p>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mesto Banská Bystrica</w:t>
            </w:r>
          </w:p>
          <w:p w:rsidR="00FE6C5A" w:rsidRPr="00C26329" w:rsidRDefault="00FE6C5A" w:rsidP="00532DA2">
            <w:pPr>
              <w:pStyle w:val="Odsekzoznamu"/>
              <w:numPr>
                <w:ilvl w:val="0"/>
                <w:numId w:val="28"/>
              </w:numPr>
              <w:autoSpaceDE w:val="0"/>
              <w:autoSpaceDN w:val="0"/>
              <w:adjustRightInd w:val="0"/>
              <w:ind w:left="284" w:hanging="284"/>
              <w:rPr>
                <w:sz w:val="22"/>
                <w:szCs w:val="22"/>
              </w:rPr>
            </w:pPr>
            <w:r>
              <w:rPr>
                <w:sz w:val="22"/>
                <w:szCs w:val="22"/>
              </w:rPr>
              <w:t>Železnice Slovenskej republiky</w:t>
            </w:r>
          </w:p>
        </w:tc>
      </w:tr>
    </w:tbl>
    <w:p w:rsidR="005972A7" w:rsidRDefault="005972A7" w:rsidP="00161034">
      <w:pPr>
        <w:pStyle w:val="Nadpis4"/>
      </w:pPr>
      <w:r>
        <w:t>Hlavné princípy výberu projektov</w:t>
      </w:r>
    </w:p>
    <w:p w:rsidR="005972A7" w:rsidRDefault="005972A7" w:rsidP="005972A7">
      <w:pPr>
        <w:tabs>
          <w:tab w:val="left" w:pos="540"/>
        </w:tabs>
        <w:jc w:val="both"/>
        <w:rPr>
          <w:sz w:val="22"/>
          <w:szCs w:val="22"/>
        </w:rPr>
      </w:pPr>
      <w:r>
        <w:rPr>
          <w:sz w:val="22"/>
          <w:szCs w:val="22"/>
        </w:rPr>
        <w:t>Vzhľadom na </w:t>
      </w:r>
      <w:r w:rsidRPr="00FE75AD">
        <w:rPr>
          <w:sz w:val="22"/>
          <w:szCs w:val="22"/>
        </w:rPr>
        <w:t>špecifické postavenie MDVRR SR vo vzťahu k</w:t>
      </w:r>
      <w:r>
        <w:rPr>
          <w:sz w:val="22"/>
          <w:szCs w:val="22"/>
        </w:rPr>
        <w:t> </w:t>
      </w:r>
      <w:r w:rsidRPr="00FE75AD">
        <w:rPr>
          <w:sz w:val="22"/>
          <w:szCs w:val="22"/>
        </w:rPr>
        <w:t>podporovaným aktivitám budú jednotliví prijímatelia stanovení vopred a</w:t>
      </w:r>
      <w:r>
        <w:rPr>
          <w:sz w:val="22"/>
          <w:szCs w:val="22"/>
        </w:rPr>
        <w:t> </w:t>
      </w:r>
      <w:r w:rsidRPr="00FE75AD">
        <w:rPr>
          <w:sz w:val="22"/>
          <w:szCs w:val="22"/>
        </w:rPr>
        <w:t>písomnými vyzvaniami (pre stanovené oblasti) žiadaní o</w:t>
      </w:r>
      <w:r>
        <w:rPr>
          <w:sz w:val="22"/>
          <w:szCs w:val="22"/>
        </w:rPr>
        <w:t> </w:t>
      </w:r>
      <w:r w:rsidRPr="00FE75AD">
        <w:rPr>
          <w:sz w:val="22"/>
          <w:szCs w:val="22"/>
        </w:rPr>
        <w:t>predkladanie projektových žiadostí.</w:t>
      </w:r>
      <w:r>
        <w:rPr>
          <w:sz w:val="22"/>
          <w:szCs w:val="22"/>
        </w:rPr>
        <w:t xml:space="preserve"> </w:t>
      </w:r>
      <w:r w:rsidRPr="00FE75AD">
        <w:rPr>
          <w:sz w:val="22"/>
          <w:szCs w:val="22"/>
        </w:rPr>
        <w:t xml:space="preserve">Výber </w:t>
      </w:r>
      <w:r>
        <w:rPr>
          <w:sz w:val="22"/>
          <w:szCs w:val="22"/>
        </w:rPr>
        <w:t>projektov na </w:t>
      </w:r>
      <w:r w:rsidRPr="00FE75AD">
        <w:rPr>
          <w:sz w:val="22"/>
          <w:szCs w:val="22"/>
        </w:rPr>
        <w:t>implementáci</w:t>
      </w:r>
      <w:r>
        <w:rPr>
          <w:sz w:val="22"/>
          <w:szCs w:val="22"/>
        </w:rPr>
        <w:t xml:space="preserve">u bude rešpektovať </w:t>
      </w:r>
      <w:r w:rsidR="009B76DD">
        <w:rPr>
          <w:sz w:val="22"/>
          <w:szCs w:val="22"/>
        </w:rPr>
        <w:t>výstupy strategických dokumentov spracovaných pre potreby programového obdobia, ako aj ich prípad</w:t>
      </w:r>
      <w:r w:rsidR="00DA4B38">
        <w:rPr>
          <w:sz w:val="22"/>
          <w:szCs w:val="22"/>
        </w:rPr>
        <w:t xml:space="preserve">né aktualizácie, ktoré </w:t>
      </w:r>
      <w:r w:rsidR="0095191D">
        <w:rPr>
          <w:sz w:val="22"/>
          <w:szCs w:val="22"/>
        </w:rPr>
        <w:t>zohľadňujú</w:t>
      </w:r>
      <w:r w:rsidR="009B76DD">
        <w:rPr>
          <w:sz w:val="22"/>
          <w:szCs w:val="22"/>
        </w:rPr>
        <w:t xml:space="preserve"> rezortné potreby v širšom kontexte. Ide predovšetkým o Strategický plán a Stratégiu </w:t>
      </w:r>
      <w:r w:rsidR="005A1A06">
        <w:rPr>
          <w:sz w:val="22"/>
          <w:szCs w:val="22"/>
        </w:rPr>
        <w:t>VOD</w:t>
      </w:r>
      <w:r w:rsidR="009B76DD">
        <w:rPr>
          <w:sz w:val="22"/>
          <w:szCs w:val="22"/>
        </w:rPr>
        <w:t>.</w:t>
      </w:r>
    </w:p>
    <w:p w:rsidR="00266DA8" w:rsidRDefault="00266DA8" w:rsidP="00740654">
      <w:pPr>
        <w:pStyle w:val="Nadpis4"/>
      </w:pPr>
      <w:r>
        <w:t>Plánované využitie finančných nástrojov</w:t>
      </w:r>
    </w:p>
    <w:p w:rsidR="00266DA8" w:rsidRPr="00AB00A4" w:rsidRDefault="00266DA8" w:rsidP="00266DA8">
      <w:pPr>
        <w:jc w:val="both"/>
        <w:rPr>
          <w:sz w:val="22"/>
          <w:szCs w:val="22"/>
        </w:rPr>
      </w:pPr>
      <w:r w:rsidRPr="00AB00A4">
        <w:rPr>
          <w:sz w:val="22"/>
          <w:szCs w:val="22"/>
        </w:rPr>
        <w:t xml:space="preserve">Finančné nástroje budú použité na podporu implementácie tých aktivít, pri ktorých bude preukázané efektívnejšie využitie finančných prostriedkov z EŠIF takouto formou podpory. Pri ekonomicky životaschopných projektoch, kde sa predpokladá návratnosť prostriedkov alebo úspora nákladov, predstavujú finančné nástroje vhodnejšiu formu podpory, ktorá vedie len k minimálnej, prípadne žiadnej deformácii trhu a nenarúša tak hospodársku súťaž. Finančné nástroje budú zamerané </w:t>
      </w:r>
      <w:r w:rsidRPr="00AB00A4">
        <w:rPr>
          <w:sz w:val="22"/>
          <w:szCs w:val="22"/>
        </w:rPr>
        <w:lastRenderedPageBreak/>
        <w:t>na podporu tých aktivít, ktoré nenachádzajú financovanie na trhu, prípadne nenachádzajú adekvátne financovanie, pri ktorom by ich realizácia bola efektívnou.</w:t>
      </w:r>
    </w:p>
    <w:p w:rsidR="00266DA8" w:rsidRDefault="00266DA8" w:rsidP="00266DA8">
      <w:pPr>
        <w:spacing w:before="180"/>
        <w:jc w:val="both"/>
        <w:rPr>
          <w:sz w:val="22"/>
          <w:szCs w:val="22"/>
        </w:rPr>
      </w:pPr>
      <w:r w:rsidRPr="00430B9D">
        <w:rPr>
          <w:sz w:val="22"/>
          <w:szCs w:val="22"/>
        </w:rPr>
        <w:t>Okrem možnosti opakovateľného použitia prostriedkov</w:t>
      </w:r>
      <w:r w:rsidR="00DA4B38">
        <w:rPr>
          <w:sz w:val="22"/>
          <w:szCs w:val="22"/>
        </w:rPr>
        <w:t xml:space="preserve"> na realizáciu cieľov </w:t>
      </w:r>
      <w:r w:rsidRPr="00430B9D">
        <w:rPr>
          <w:sz w:val="22"/>
          <w:szCs w:val="22"/>
        </w:rPr>
        <w:t xml:space="preserve">prioritnej osi patrí medzi výhody využitia finančných nástrojov možnosť navýšenia </w:t>
      </w:r>
      <w:r w:rsidR="00DA4B38">
        <w:rPr>
          <w:sz w:val="22"/>
          <w:szCs w:val="22"/>
        </w:rPr>
        <w:t>prostriedkov na</w:t>
      </w:r>
      <w:r>
        <w:rPr>
          <w:sz w:val="22"/>
          <w:szCs w:val="22"/>
        </w:rPr>
        <w:t> </w:t>
      </w:r>
      <w:r w:rsidRPr="00430B9D">
        <w:rPr>
          <w:sz w:val="22"/>
          <w:szCs w:val="22"/>
        </w:rPr>
        <w:t>dosiahnutie príslušných cieľov prostredníctvom pritiahnutia dodatočného kapitálu vďaka atraktívnemu nastaveniu daných nástrojov. Pritiahnutie dodatočného kapi</w:t>
      </w:r>
      <w:r>
        <w:rPr>
          <w:sz w:val="22"/>
          <w:szCs w:val="22"/>
        </w:rPr>
        <w:t>tálu je potrebné aj vzhľadom na limitovaný</w:t>
      </w:r>
      <w:r w:rsidRPr="00430B9D">
        <w:rPr>
          <w:sz w:val="22"/>
          <w:szCs w:val="22"/>
        </w:rPr>
        <w:t xml:space="preserve"> objem prostriedkov z </w:t>
      </w:r>
      <w:r>
        <w:rPr>
          <w:sz w:val="22"/>
          <w:szCs w:val="22"/>
        </w:rPr>
        <w:t>EŠIF</w:t>
      </w:r>
      <w:r w:rsidRPr="00430B9D">
        <w:rPr>
          <w:sz w:val="22"/>
          <w:szCs w:val="22"/>
        </w:rPr>
        <w:t xml:space="preserve"> na pokrytie všetkých investičných potrieb v príslušných oblastiach. Účasť súkromných investorov môže prispieť aj ku skvalitneniu implementácie projektov, a teda dodatočne prispieva k celkovo efektívnejšiemu po</w:t>
      </w:r>
      <w:r>
        <w:rPr>
          <w:sz w:val="22"/>
          <w:szCs w:val="22"/>
        </w:rPr>
        <w:t>užitiu finančných prostriedkov.</w:t>
      </w:r>
    </w:p>
    <w:p w:rsidR="000A1A12" w:rsidRPr="00034021" w:rsidRDefault="000A1A12" w:rsidP="000A1A12">
      <w:pPr>
        <w:spacing w:before="180"/>
        <w:jc w:val="both"/>
        <w:rPr>
          <w:sz w:val="22"/>
          <w:szCs w:val="22"/>
        </w:rPr>
      </w:pPr>
      <w:r w:rsidRPr="00034021">
        <w:rPr>
          <w:sz w:val="22"/>
          <w:szCs w:val="22"/>
        </w:rPr>
        <w:t>Príslušné aktivity bude možné podporiť rôznymi finančnými produktmi (úvery, záruky, kapitálové vklady, mezanínové financovanie a</w:t>
      </w:r>
      <w:r>
        <w:rPr>
          <w:sz w:val="22"/>
          <w:szCs w:val="22"/>
        </w:rPr>
        <w:t> </w:t>
      </w:r>
      <w:r w:rsidRPr="00034021">
        <w:rPr>
          <w:sz w:val="22"/>
          <w:szCs w:val="22"/>
        </w:rPr>
        <w:t>pod</w:t>
      </w:r>
      <w:r>
        <w:rPr>
          <w:sz w:val="22"/>
          <w:szCs w:val="22"/>
        </w:rPr>
        <w:t>.</w:t>
      </w:r>
      <w:r w:rsidRPr="00034021">
        <w:rPr>
          <w:sz w:val="22"/>
          <w:szCs w:val="22"/>
        </w:rPr>
        <w:t xml:space="preserve">). V súlade s čl. 37(2) nariadenia č. 1303/2013, </w:t>
      </w:r>
      <w:r w:rsidRPr="00034021">
        <w:rPr>
          <w:b/>
          <w:sz w:val="22"/>
          <w:szCs w:val="22"/>
        </w:rPr>
        <w:t>konkrétne aktivity, vhodná suma prostriedkov a podmienky implementácie finančných nástrojov vrátane možnej multiplikácie alokovaných prostriedkov a ich kombinácie s inými formami podpory budú vychádzať z výsledkov ex ante hodnotenia pre finančné nástroje</w:t>
      </w:r>
      <w:r>
        <w:rPr>
          <w:b/>
          <w:sz w:val="22"/>
          <w:szCs w:val="22"/>
        </w:rPr>
        <w:t>.</w:t>
      </w:r>
    </w:p>
    <w:p w:rsidR="00266DA8" w:rsidRDefault="00266DA8" w:rsidP="00740654">
      <w:pPr>
        <w:pStyle w:val="Nadpis4"/>
      </w:pPr>
      <w:r>
        <w:t>Plánované využitie veľkých projektov</w:t>
      </w:r>
    </w:p>
    <w:p w:rsidR="00266DA8" w:rsidRPr="007B3B80" w:rsidRDefault="00266DA8" w:rsidP="00266DA8">
      <w:pPr>
        <w:jc w:val="both"/>
        <w:rPr>
          <w:sz w:val="22"/>
          <w:szCs w:val="22"/>
        </w:rPr>
      </w:pPr>
      <w:r w:rsidRPr="00FE75AD">
        <w:rPr>
          <w:sz w:val="22"/>
          <w:szCs w:val="22"/>
        </w:rPr>
        <w:t>Zoznam veľkých projektov, ktorých spolufinancovanie z</w:t>
      </w:r>
      <w:r>
        <w:rPr>
          <w:sz w:val="22"/>
          <w:szCs w:val="22"/>
        </w:rPr>
        <w:t> </w:t>
      </w:r>
      <w:r w:rsidRPr="00FE75AD">
        <w:rPr>
          <w:sz w:val="22"/>
          <w:szCs w:val="22"/>
        </w:rPr>
        <w:t>prostriedkov prioritnej osi navrhuje RO </w:t>
      </w:r>
      <w:r>
        <w:rPr>
          <w:sz w:val="22"/>
          <w:szCs w:val="22"/>
        </w:rPr>
        <w:t>OPII</w:t>
      </w:r>
      <w:r w:rsidRPr="00FE75AD">
        <w:rPr>
          <w:sz w:val="22"/>
          <w:szCs w:val="22"/>
        </w:rPr>
        <w:t xml:space="preserve"> je uvedený v</w:t>
      </w:r>
      <w:r>
        <w:rPr>
          <w:sz w:val="22"/>
          <w:szCs w:val="22"/>
        </w:rPr>
        <w:t> kapitole 13.1</w:t>
      </w:r>
      <w:r w:rsidRPr="00FE75AD">
        <w:rPr>
          <w:sz w:val="22"/>
          <w:szCs w:val="22"/>
        </w:rPr>
        <w:t>.</w:t>
      </w:r>
    </w:p>
    <w:p w:rsidR="00266DA8" w:rsidRDefault="00266DA8" w:rsidP="00740654">
      <w:pPr>
        <w:pStyle w:val="Nadpis4"/>
      </w:pPr>
      <w:r>
        <w:t>Ukazovatele výstupu na úrovni investičnej priority a kategórie regiónu</w:t>
      </w:r>
    </w:p>
    <w:p w:rsidR="00266DA8" w:rsidRPr="008C1732" w:rsidRDefault="00266DA8" w:rsidP="00266DA8">
      <w:pPr>
        <w:pStyle w:val="Tab"/>
      </w:pPr>
      <w:r>
        <w:t>Spoločné a špecifické ukazovatele výstupu</w:t>
      </w:r>
      <w:r w:rsidR="00E01D5B">
        <w:t xml:space="preserve"> investičnej priority 7c)</w:t>
      </w:r>
    </w:p>
    <w:tbl>
      <w:tblPr>
        <w:tblStyle w:val="Mriekatabuky"/>
        <w:tblW w:w="941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78"/>
        <w:gridCol w:w="2425"/>
        <w:gridCol w:w="903"/>
        <w:gridCol w:w="621"/>
        <w:gridCol w:w="1229"/>
        <w:gridCol w:w="1253"/>
        <w:gridCol w:w="1015"/>
        <w:gridCol w:w="1388"/>
      </w:tblGrid>
      <w:tr w:rsidR="00266DA8" w:rsidTr="0095191D">
        <w:trPr>
          <w:trHeight w:val="487"/>
          <w:jc w:val="center"/>
        </w:trPr>
        <w:tc>
          <w:tcPr>
            <w:tcW w:w="578" w:type="dxa"/>
            <w:shd w:val="clear" w:color="auto" w:fill="C6D9F1" w:themeFill="text2" w:themeFillTint="33"/>
            <w:vAlign w:val="center"/>
          </w:tcPr>
          <w:p w:rsidR="00266DA8" w:rsidRPr="008C1732" w:rsidRDefault="00AF56C3" w:rsidP="00350B96">
            <w:pPr>
              <w:ind w:left="0"/>
              <w:jc w:val="center"/>
              <w:rPr>
                <w:b/>
                <w:sz w:val="18"/>
                <w:szCs w:val="18"/>
              </w:rPr>
            </w:pPr>
            <w:r>
              <w:rPr>
                <w:b/>
                <w:sz w:val="18"/>
                <w:szCs w:val="18"/>
              </w:rPr>
              <w:t>P. č.</w:t>
            </w:r>
          </w:p>
        </w:tc>
        <w:tc>
          <w:tcPr>
            <w:tcW w:w="2425" w:type="dxa"/>
            <w:shd w:val="clear" w:color="auto" w:fill="C6D9F1" w:themeFill="text2" w:themeFillTint="33"/>
            <w:vAlign w:val="center"/>
          </w:tcPr>
          <w:p w:rsidR="00266DA8" w:rsidRPr="008C1732" w:rsidRDefault="00266DA8" w:rsidP="00350B96">
            <w:pPr>
              <w:ind w:left="0"/>
              <w:jc w:val="center"/>
              <w:rPr>
                <w:b/>
                <w:sz w:val="18"/>
                <w:szCs w:val="18"/>
              </w:rPr>
            </w:pPr>
            <w:r w:rsidRPr="008C1732">
              <w:rPr>
                <w:b/>
                <w:sz w:val="18"/>
                <w:szCs w:val="18"/>
              </w:rPr>
              <w:t>Ukazovateľ výstupu</w:t>
            </w:r>
          </w:p>
        </w:tc>
        <w:tc>
          <w:tcPr>
            <w:tcW w:w="903" w:type="dxa"/>
            <w:shd w:val="clear" w:color="auto" w:fill="C6D9F1" w:themeFill="text2" w:themeFillTint="33"/>
            <w:vAlign w:val="center"/>
          </w:tcPr>
          <w:p w:rsidR="00266DA8" w:rsidRPr="008C1732" w:rsidRDefault="00266DA8" w:rsidP="00350B96">
            <w:pPr>
              <w:ind w:left="0"/>
              <w:jc w:val="center"/>
              <w:rPr>
                <w:b/>
                <w:sz w:val="18"/>
                <w:szCs w:val="18"/>
              </w:rPr>
            </w:pPr>
            <w:r w:rsidRPr="008C1732">
              <w:rPr>
                <w:b/>
                <w:sz w:val="18"/>
                <w:szCs w:val="18"/>
              </w:rPr>
              <w:t>Merná jednotka</w:t>
            </w:r>
          </w:p>
        </w:tc>
        <w:tc>
          <w:tcPr>
            <w:tcW w:w="621" w:type="dxa"/>
            <w:shd w:val="clear" w:color="auto" w:fill="C6D9F1" w:themeFill="text2" w:themeFillTint="33"/>
            <w:vAlign w:val="center"/>
          </w:tcPr>
          <w:p w:rsidR="00266DA8" w:rsidRPr="008C1732" w:rsidRDefault="00266DA8" w:rsidP="00350B96">
            <w:pPr>
              <w:ind w:left="0"/>
              <w:jc w:val="center"/>
              <w:rPr>
                <w:b/>
                <w:sz w:val="18"/>
                <w:szCs w:val="18"/>
              </w:rPr>
            </w:pPr>
            <w:r w:rsidRPr="008C1732">
              <w:rPr>
                <w:b/>
                <w:sz w:val="18"/>
                <w:szCs w:val="18"/>
              </w:rPr>
              <w:t>Fond</w:t>
            </w:r>
          </w:p>
        </w:tc>
        <w:tc>
          <w:tcPr>
            <w:tcW w:w="1229" w:type="dxa"/>
            <w:shd w:val="clear" w:color="auto" w:fill="C6D9F1" w:themeFill="text2" w:themeFillTint="33"/>
            <w:vAlign w:val="center"/>
          </w:tcPr>
          <w:p w:rsidR="00266DA8" w:rsidRPr="008C1732" w:rsidRDefault="00266DA8" w:rsidP="00350B96">
            <w:pPr>
              <w:ind w:left="0"/>
              <w:jc w:val="center"/>
              <w:rPr>
                <w:b/>
                <w:sz w:val="18"/>
                <w:szCs w:val="18"/>
              </w:rPr>
            </w:pPr>
            <w:r w:rsidRPr="008C1732">
              <w:rPr>
                <w:b/>
                <w:sz w:val="18"/>
                <w:szCs w:val="18"/>
              </w:rPr>
              <w:t>Kategória regiónu</w:t>
            </w:r>
          </w:p>
        </w:tc>
        <w:tc>
          <w:tcPr>
            <w:tcW w:w="1253" w:type="dxa"/>
            <w:shd w:val="clear" w:color="auto" w:fill="C6D9F1" w:themeFill="text2" w:themeFillTint="33"/>
            <w:vAlign w:val="center"/>
          </w:tcPr>
          <w:p w:rsidR="00266DA8" w:rsidRPr="008C1732" w:rsidRDefault="00266DA8" w:rsidP="00350B96">
            <w:pPr>
              <w:ind w:left="0"/>
              <w:jc w:val="center"/>
              <w:rPr>
                <w:b/>
                <w:sz w:val="18"/>
                <w:szCs w:val="18"/>
              </w:rPr>
            </w:pPr>
            <w:r w:rsidRPr="008C1732">
              <w:rPr>
                <w:b/>
                <w:sz w:val="18"/>
                <w:szCs w:val="18"/>
              </w:rPr>
              <w:t>Cieľová hodnota (2023)</w:t>
            </w:r>
          </w:p>
        </w:tc>
        <w:tc>
          <w:tcPr>
            <w:tcW w:w="1015" w:type="dxa"/>
            <w:shd w:val="clear" w:color="auto" w:fill="C6D9F1" w:themeFill="text2" w:themeFillTint="33"/>
            <w:vAlign w:val="center"/>
          </w:tcPr>
          <w:p w:rsidR="00266DA8" w:rsidRPr="008C1732" w:rsidRDefault="00266DA8" w:rsidP="00350B96">
            <w:pPr>
              <w:ind w:left="0"/>
              <w:jc w:val="center"/>
              <w:rPr>
                <w:b/>
                <w:sz w:val="18"/>
                <w:szCs w:val="18"/>
              </w:rPr>
            </w:pPr>
            <w:r w:rsidRPr="008C1732">
              <w:rPr>
                <w:b/>
                <w:sz w:val="18"/>
                <w:szCs w:val="18"/>
              </w:rPr>
              <w:t>Zdroj údajov</w:t>
            </w:r>
          </w:p>
        </w:tc>
        <w:tc>
          <w:tcPr>
            <w:tcW w:w="1388" w:type="dxa"/>
            <w:shd w:val="clear" w:color="auto" w:fill="C6D9F1" w:themeFill="text2" w:themeFillTint="33"/>
            <w:vAlign w:val="center"/>
          </w:tcPr>
          <w:p w:rsidR="00266DA8" w:rsidRPr="008C1732" w:rsidRDefault="00266DA8" w:rsidP="00350B96">
            <w:pPr>
              <w:ind w:left="0"/>
              <w:jc w:val="center"/>
              <w:rPr>
                <w:b/>
                <w:sz w:val="18"/>
                <w:szCs w:val="18"/>
              </w:rPr>
            </w:pPr>
            <w:r w:rsidRPr="008C1732">
              <w:rPr>
                <w:b/>
                <w:sz w:val="18"/>
                <w:szCs w:val="18"/>
              </w:rPr>
              <w:t>Frekvencia vykazovania</w:t>
            </w:r>
          </w:p>
        </w:tc>
      </w:tr>
      <w:tr w:rsidR="00266DA8" w:rsidTr="0095191D">
        <w:trPr>
          <w:trHeight w:val="680"/>
          <w:jc w:val="center"/>
        </w:trPr>
        <w:tc>
          <w:tcPr>
            <w:tcW w:w="578" w:type="dxa"/>
            <w:shd w:val="clear" w:color="auto" w:fill="auto"/>
            <w:vAlign w:val="center"/>
          </w:tcPr>
          <w:p w:rsidR="00266DA8" w:rsidRPr="00737ED2" w:rsidRDefault="00266DA8" w:rsidP="00017B79">
            <w:pPr>
              <w:ind w:left="0"/>
              <w:jc w:val="center"/>
              <w:rPr>
                <w:sz w:val="18"/>
                <w:szCs w:val="18"/>
              </w:rPr>
            </w:pPr>
            <w:r>
              <w:rPr>
                <w:sz w:val="18"/>
                <w:szCs w:val="18"/>
              </w:rPr>
              <w:t>1</w:t>
            </w:r>
            <w:r w:rsidRPr="00737ED2">
              <w:rPr>
                <w:sz w:val="18"/>
                <w:szCs w:val="18"/>
              </w:rPr>
              <w:t>.</w:t>
            </w:r>
          </w:p>
        </w:tc>
        <w:tc>
          <w:tcPr>
            <w:tcW w:w="2425" w:type="dxa"/>
            <w:shd w:val="clear" w:color="auto" w:fill="auto"/>
            <w:vAlign w:val="center"/>
          </w:tcPr>
          <w:p w:rsidR="00266DA8" w:rsidRPr="00737ED2" w:rsidRDefault="00185512" w:rsidP="00017B79">
            <w:pPr>
              <w:ind w:left="0"/>
              <w:rPr>
                <w:sz w:val="18"/>
                <w:szCs w:val="18"/>
              </w:rPr>
            </w:pPr>
            <w:r w:rsidRPr="0009435A">
              <w:rPr>
                <w:sz w:val="18"/>
                <w:szCs w:val="18"/>
              </w:rPr>
              <w:t xml:space="preserve">Celková dĺžka nových alebo </w:t>
            </w:r>
            <w:r>
              <w:rPr>
                <w:sz w:val="18"/>
                <w:szCs w:val="18"/>
              </w:rPr>
              <w:t>zmodernizovaných</w:t>
            </w:r>
            <w:r w:rsidRPr="0009435A">
              <w:rPr>
                <w:sz w:val="18"/>
                <w:szCs w:val="18"/>
              </w:rPr>
              <w:t xml:space="preserve"> tratí </w:t>
            </w:r>
            <w:r>
              <w:rPr>
                <w:sz w:val="18"/>
                <w:szCs w:val="18"/>
              </w:rPr>
              <w:t xml:space="preserve">pre </w:t>
            </w:r>
            <w:r w:rsidRPr="0009435A">
              <w:rPr>
                <w:sz w:val="18"/>
                <w:szCs w:val="18"/>
              </w:rPr>
              <w:t>električky a</w:t>
            </w:r>
            <w:r>
              <w:rPr>
                <w:sz w:val="18"/>
                <w:szCs w:val="18"/>
              </w:rPr>
              <w:t>lebo</w:t>
            </w:r>
            <w:r w:rsidRPr="0009435A">
              <w:rPr>
                <w:sz w:val="18"/>
                <w:szCs w:val="18"/>
              </w:rPr>
              <w:t> metr</w:t>
            </w:r>
            <w:r>
              <w:rPr>
                <w:sz w:val="18"/>
                <w:szCs w:val="18"/>
              </w:rPr>
              <w:t>o</w:t>
            </w:r>
          </w:p>
        </w:tc>
        <w:tc>
          <w:tcPr>
            <w:tcW w:w="903" w:type="dxa"/>
            <w:shd w:val="clear" w:color="auto" w:fill="auto"/>
            <w:vAlign w:val="center"/>
          </w:tcPr>
          <w:p w:rsidR="00266DA8" w:rsidRPr="004F0234" w:rsidRDefault="00266DA8" w:rsidP="00E01D5B">
            <w:pPr>
              <w:ind w:left="0"/>
              <w:jc w:val="center"/>
              <w:rPr>
                <w:i/>
                <w:sz w:val="18"/>
                <w:szCs w:val="18"/>
              </w:rPr>
            </w:pPr>
            <w:r w:rsidRPr="004F0234">
              <w:rPr>
                <w:i/>
                <w:sz w:val="18"/>
                <w:szCs w:val="18"/>
              </w:rPr>
              <w:t>km</w:t>
            </w:r>
          </w:p>
        </w:tc>
        <w:tc>
          <w:tcPr>
            <w:tcW w:w="621" w:type="dxa"/>
            <w:shd w:val="clear" w:color="auto" w:fill="auto"/>
            <w:vAlign w:val="center"/>
          </w:tcPr>
          <w:p w:rsidR="00266DA8" w:rsidRPr="004F0234" w:rsidRDefault="00266DA8" w:rsidP="00E01D5B">
            <w:pPr>
              <w:ind w:left="0"/>
              <w:jc w:val="center"/>
              <w:rPr>
                <w:i/>
                <w:sz w:val="18"/>
                <w:szCs w:val="18"/>
              </w:rPr>
            </w:pPr>
            <w:r w:rsidRPr="004F0234">
              <w:rPr>
                <w:i/>
                <w:sz w:val="18"/>
                <w:szCs w:val="18"/>
              </w:rPr>
              <w:t>KF</w:t>
            </w:r>
          </w:p>
        </w:tc>
        <w:tc>
          <w:tcPr>
            <w:tcW w:w="1229" w:type="dxa"/>
            <w:shd w:val="clear" w:color="auto" w:fill="auto"/>
            <w:vAlign w:val="center"/>
          </w:tcPr>
          <w:p w:rsidR="00266DA8" w:rsidRPr="004F0234" w:rsidRDefault="00266DA8" w:rsidP="00E01D5B">
            <w:pPr>
              <w:ind w:left="0"/>
              <w:jc w:val="center"/>
              <w:rPr>
                <w:i/>
                <w:sz w:val="18"/>
                <w:szCs w:val="18"/>
              </w:rPr>
            </w:pPr>
            <w:r w:rsidRPr="004F0234">
              <w:rPr>
                <w:i/>
                <w:sz w:val="18"/>
                <w:szCs w:val="18"/>
              </w:rPr>
              <w:t>N/A</w:t>
            </w:r>
          </w:p>
        </w:tc>
        <w:tc>
          <w:tcPr>
            <w:tcW w:w="1253" w:type="dxa"/>
            <w:shd w:val="clear" w:color="auto" w:fill="auto"/>
            <w:vAlign w:val="center"/>
          </w:tcPr>
          <w:p w:rsidR="00266DA8" w:rsidRPr="004F0234" w:rsidRDefault="00266DA8" w:rsidP="00E01D5B">
            <w:pPr>
              <w:ind w:left="0"/>
              <w:jc w:val="center"/>
              <w:rPr>
                <w:i/>
                <w:sz w:val="18"/>
                <w:szCs w:val="18"/>
              </w:rPr>
            </w:pPr>
          </w:p>
        </w:tc>
        <w:tc>
          <w:tcPr>
            <w:tcW w:w="1015" w:type="dxa"/>
            <w:vAlign w:val="center"/>
          </w:tcPr>
          <w:p w:rsidR="00266DA8" w:rsidRPr="004F0234" w:rsidRDefault="00266DA8" w:rsidP="00E01D5B">
            <w:pPr>
              <w:ind w:left="0"/>
              <w:jc w:val="center"/>
              <w:rPr>
                <w:i/>
                <w:sz w:val="18"/>
                <w:szCs w:val="18"/>
              </w:rPr>
            </w:pPr>
            <w:r w:rsidRPr="004F0234">
              <w:rPr>
                <w:i/>
                <w:sz w:val="18"/>
                <w:szCs w:val="18"/>
              </w:rPr>
              <w:t>RO OPII</w:t>
            </w:r>
          </w:p>
        </w:tc>
        <w:tc>
          <w:tcPr>
            <w:tcW w:w="1388" w:type="dxa"/>
            <w:vAlign w:val="center"/>
          </w:tcPr>
          <w:p w:rsidR="00266DA8" w:rsidRPr="004F0234" w:rsidRDefault="00266DA8" w:rsidP="00E01D5B">
            <w:pPr>
              <w:ind w:left="0"/>
              <w:jc w:val="center"/>
              <w:rPr>
                <w:i/>
                <w:sz w:val="18"/>
                <w:szCs w:val="18"/>
              </w:rPr>
            </w:pPr>
            <w:r>
              <w:rPr>
                <w:i/>
                <w:sz w:val="18"/>
                <w:szCs w:val="18"/>
              </w:rPr>
              <w:t>Ročne</w:t>
            </w:r>
          </w:p>
        </w:tc>
      </w:tr>
      <w:tr w:rsidR="00266DA8" w:rsidTr="0095191D">
        <w:trPr>
          <w:trHeight w:val="680"/>
          <w:jc w:val="center"/>
        </w:trPr>
        <w:tc>
          <w:tcPr>
            <w:tcW w:w="578" w:type="dxa"/>
            <w:shd w:val="clear" w:color="auto" w:fill="auto"/>
            <w:vAlign w:val="center"/>
          </w:tcPr>
          <w:p w:rsidR="00266DA8" w:rsidRDefault="00266DA8" w:rsidP="00017B79">
            <w:pPr>
              <w:ind w:left="0"/>
              <w:jc w:val="center"/>
              <w:rPr>
                <w:sz w:val="18"/>
                <w:szCs w:val="18"/>
              </w:rPr>
            </w:pPr>
            <w:r>
              <w:rPr>
                <w:sz w:val="18"/>
                <w:szCs w:val="18"/>
              </w:rPr>
              <w:t>2.</w:t>
            </w:r>
          </w:p>
        </w:tc>
        <w:tc>
          <w:tcPr>
            <w:tcW w:w="2425" w:type="dxa"/>
            <w:shd w:val="clear" w:color="auto" w:fill="auto"/>
            <w:vAlign w:val="center"/>
          </w:tcPr>
          <w:p w:rsidR="00266DA8" w:rsidRPr="00737ED2" w:rsidRDefault="00185512" w:rsidP="00017B79">
            <w:pPr>
              <w:ind w:left="0"/>
              <w:rPr>
                <w:sz w:val="18"/>
                <w:szCs w:val="18"/>
              </w:rPr>
            </w:pPr>
            <w:r>
              <w:rPr>
                <w:sz w:val="18"/>
                <w:szCs w:val="18"/>
              </w:rPr>
              <w:t>Počet vybudovaných terminálov osobnej dopravy</w:t>
            </w:r>
          </w:p>
        </w:tc>
        <w:tc>
          <w:tcPr>
            <w:tcW w:w="903" w:type="dxa"/>
            <w:shd w:val="clear" w:color="auto" w:fill="auto"/>
            <w:vAlign w:val="center"/>
          </w:tcPr>
          <w:p w:rsidR="00266DA8" w:rsidRPr="004F0234" w:rsidRDefault="00185512" w:rsidP="00E01D5B">
            <w:pPr>
              <w:ind w:left="0"/>
              <w:jc w:val="center"/>
              <w:rPr>
                <w:i/>
                <w:sz w:val="18"/>
                <w:szCs w:val="18"/>
              </w:rPr>
            </w:pPr>
            <w:r>
              <w:rPr>
                <w:i/>
                <w:sz w:val="18"/>
                <w:szCs w:val="18"/>
              </w:rPr>
              <w:t>počet</w:t>
            </w:r>
          </w:p>
        </w:tc>
        <w:tc>
          <w:tcPr>
            <w:tcW w:w="621" w:type="dxa"/>
            <w:shd w:val="clear" w:color="auto" w:fill="auto"/>
            <w:vAlign w:val="center"/>
          </w:tcPr>
          <w:p w:rsidR="00266DA8" w:rsidRPr="004F0234" w:rsidRDefault="00266DA8" w:rsidP="00E01D5B">
            <w:pPr>
              <w:ind w:left="0"/>
              <w:jc w:val="center"/>
              <w:rPr>
                <w:i/>
                <w:sz w:val="18"/>
                <w:szCs w:val="18"/>
              </w:rPr>
            </w:pPr>
            <w:r w:rsidRPr="004F0234">
              <w:rPr>
                <w:i/>
                <w:sz w:val="18"/>
                <w:szCs w:val="18"/>
              </w:rPr>
              <w:t>KF</w:t>
            </w:r>
          </w:p>
        </w:tc>
        <w:tc>
          <w:tcPr>
            <w:tcW w:w="1229" w:type="dxa"/>
            <w:shd w:val="clear" w:color="auto" w:fill="auto"/>
            <w:vAlign w:val="center"/>
          </w:tcPr>
          <w:p w:rsidR="00266DA8" w:rsidRPr="004F0234" w:rsidRDefault="00266DA8" w:rsidP="00E01D5B">
            <w:pPr>
              <w:ind w:left="0"/>
              <w:jc w:val="center"/>
              <w:rPr>
                <w:i/>
                <w:sz w:val="18"/>
                <w:szCs w:val="18"/>
              </w:rPr>
            </w:pPr>
            <w:r w:rsidRPr="00F55678">
              <w:rPr>
                <w:i/>
                <w:sz w:val="18"/>
                <w:szCs w:val="18"/>
              </w:rPr>
              <w:t>N/A</w:t>
            </w:r>
          </w:p>
        </w:tc>
        <w:tc>
          <w:tcPr>
            <w:tcW w:w="1253" w:type="dxa"/>
            <w:shd w:val="clear" w:color="auto" w:fill="auto"/>
            <w:vAlign w:val="center"/>
          </w:tcPr>
          <w:p w:rsidR="00266DA8" w:rsidRPr="004F0234" w:rsidRDefault="00266DA8" w:rsidP="00E01D5B">
            <w:pPr>
              <w:ind w:left="0"/>
              <w:jc w:val="center"/>
              <w:rPr>
                <w:i/>
                <w:sz w:val="18"/>
                <w:szCs w:val="18"/>
              </w:rPr>
            </w:pPr>
          </w:p>
        </w:tc>
        <w:tc>
          <w:tcPr>
            <w:tcW w:w="1015" w:type="dxa"/>
            <w:vAlign w:val="center"/>
          </w:tcPr>
          <w:p w:rsidR="00266DA8" w:rsidRPr="004F0234" w:rsidRDefault="00266DA8" w:rsidP="00E01D5B">
            <w:pPr>
              <w:ind w:left="0"/>
              <w:jc w:val="center"/>
              <w:rPr>
                <w:i/>
                <w:sz w:val="18"/>
                <w:szCs w:val="18"/>
              </w:rPr>
            </w:pPr>
            <w:r w:rsidRPr="004F0234">
              <w:rPr>
                <w:i/>
                <w:sz w:val="18"/>
                <w:szCs w:val="18"/>
              </w:rPr>
              <w:t>RO OPII</w:t>
            </w:r>
          </w:p>
        </w:tc>
        <w:tc>
          <w:tcPr>
            <w:tcW w:w="1388" w:type="dxa"/>
            <w:vAlign w:val="center"/>
          </w:tcPr>
          <w:p w:rsidR="00266DA8" w:rsidRPr="004F0234" w:rsidRDefault="00266DA8" w:rsidP="00E01D5B">
            <w:pPr>
              <w:ind w:left="0"/>
              <w:jc w:val="center"/>
              <w:rPr>
                <w:i/>
                <w:sz w:val="18"/>
                <w:szCs w:val="18"/>
              </w:rPr>
            </w:pPr>
            <w:r>
              <w:rPr>
                <w:i/>
                <w:sz w:val="18"/>
                <w:szCs w:val="18"/>
              </w:rPr>
              <w:t>Ročne</w:t>
            </w:r>
          </w:p>
        </w:tc>
      </w:tr>
      <w:tr w:rsidR="00185512" w:rsidTr="0095191D">
        <w:trPr>
          <w:trHeight w:val="680"/>
          <w:jc w:val="center"/>
        </w:trPr>
        <w:tc>
          <w:tcPr>
            <w:tcW w:w="578" w:type="dxa"/>
            <w:shd w:val="clear" w:color="auto" w:fill="auto"/>
            <w:vAlign w:val="center"/>
          </w:tcPr>
          <w:p w:rsidR="00185512" w:rsidRDefault="00185512" w:rsidP="00185512">
            <w:pPr>
              <w:ind w:left="0"/>
              <w:jc w:val="center"/>
              <w:rPr>
                <w:sz w:val="18"/>
                <w:szCs w:val="18"/>
              </w:rPr>
            </w:pPr>
            <w:r>
              <w:rPr>
                <w:sz w:val="18"/>
                <w:szCs w:val="18"/>
              </w:rPr>
              <w:t>3.</w:t>
            </w:r>
          </w:p>
        </w:tc>
        <w:tc>
          <w:tcPr>
            <w:tcW w:w="2425" w:type="dxa"/>
            <w:shd w:val="clear" w:color="auto" w:fill="auto"/>
            <w:vAlign w:val="center"/>
          </w:tcPr>
          <w:p w:rsidR="00185512" w:rsidRDefault="00185512" w:rsidP="00185512">
            <w:pPr>
              <w:ind w:left="0"/>
              <w:rPr>
                <w:sz w:val="18"/>
                <w:szCs w:val="18"/>
              </w:rPr>
            </w:pPr>
            <w:r>
              <w:rPr>
                <w:sz w:val="18"/>
                <w:szCs w:val="18"/>
              </w:rPr>
              <w:t>Počet obnovených mobilných prostriedkov dráhovej mestskej hromadnej dopravy (električky, trolejbusy)</w:t>
            </w:r>
          </w:p>
        </w:tc>
        <w:tc>
          <w:tcPr>
            <w:tcW w:w="903" w:type="dxa"/>
            <w:shd w:val="clear" w:color="auto" w:fill="auto"/>
            <w:vAlign w:val="center"/>
          </w:tcPr>
          <w:p w:rsidR="00185512" w:rsidRPr="004F0234" w:rsidRDefault="00185512" w:rsidP="00E01D5B">
            <w:pPr>
              <w:ind w:left="0"/>
              <w:jc w:val="center"/>
              <w:rPr>
                <w:i/>
                <w:sz w:val="18"/>
                <w:szCs w:val="18"/>
              </w:rPr>
            </w:pPr>
            <w:r>
              <w:rPr>
                <w:i/>
                <w:sz w:val="18"/>
                <w:szCs w:val="18"/>
              </w:rPr>
              <w:t>počet</w:t>
            </w:r>
          </w:p>
        </w:tc>
        <w:tc>
          <w:tcPr>
            <w:tcW w:w="621" w:type="dxa"/>
            <w:shd w:val="clear" w:color="auto" w:fill="auto"/>
            <w:vAlign w:val="center"/>
          </w:tcPr>
          <w:p w:rsidR="00185512" w:rsidRPr="004F0234" w:rsidRDefault="00185512" w:rsidP="00E01D5B">
            <w:pPr>
              <w:ind w:left="0"/>
              <w:jc w:val="center"/>
              <w:rPr>
                <w:i/>
                <w:sz w:val="18"/>
                <w:szCs w:val="18"/>
              </w:rPr>
            </w:pPr>
            <w:r w:rsidRPr="004F0234">
              <w:rPr>
                <w:i/>
                <w:sz w:val="18"/>
                <w:szCs w:val="18"/>
              </w:rPr>
              <w:t>KF</w:t>
            </w:r>
          </w:p>
        </w:tc>
        <w:tc>
          <w:tcPr>
            <w:tcW w:w="1229" w:type="dxa"/>
            <w:shd w:val="clear" w:color="auto" w:fill="auto"/>
            <w:vAlign w:val="center"/>
          </w:tcPr>
          <w:p w:rsidR="00185512" w:rsidRPr="00F55678" w:rsidRDefault="00185512" w:rsidP="00E01D5B">
            <w:pPr>
              <w:ind w:left="0"/>
              <w:jc w:val="center"/>
              <w:rPr>
                <w:i/>
                <w:sz w:val="18"/>
                <w:szCs w:val="18"/>
              </w:rPr>
            </w:pPr>
            <w:r w:rsidRPr="00F55678">
              <w:rPr>
                <w:i/>
                <w:sz w:val="18"/>
                <w:szCs w:val="18"/>
              </w:rPr>
              <w:t>N/A</w:t>
            </w:r>
          </w:p>
        </w:tc>
        <w:tc>
          <w:tcPr>
            <w:tcW w:w="1253" w:type="dxa"/>
            <w:shd w:val="clear" w:color="auto" w:fill="auto"/>
            <w:vAlign w:val="center"/>
          </w:tcPr>
          <w:p w:rsidR="00185512" w:rsidRDefault="00185512" w:rsidP="00E01D5B">
            <w:pPr>
              <w:ind w:left="0"/>
              <w:jc w:val="center"/>
              <w:rPr>
                <w:i/>
                <w:sz w:val="18"/>
                <w:szCs w:val="18"/>
              </w:rPr>
            </w:pPr>
          </w:p>
        </w:tc>
        <w:tc>
          <w:tcPr>
            <w:tcW w:w="1015" w:type="dxa"/>
            <w:vAlign w:val="center"/>
          </w:tcPr>
          <w:p w:rsidR="00185512" w:rsidRPr="004F0234" w:rsidRDefault="00185512" w:rsidP="00E01D5B">
            <w:pPr>
              <w:ind w:left="0"/>
              <w:jc w:val="center"/>
              <w:rPr>
                <w:i/>
                <w:sz w:val="18"/>
                <w:szCs w:val="18"/>
              </w:rPr>
            </w:pPr>
            <w:r w:rsidRPr="004F0234">
              <w:rPr>
                <w:i/>
                <w:sz w:val="18"/>
                <w:szCs w:val="18"/>
              </w:rPr>
              <w:t>RO OPII</w:t>
            </w:r>
          </w:p>
        </w:tc>
        <w:tc>
          <w:tcPr>
            <w:tcW w:w="1388" w:type="dxa"/>
            <w:vAlign w:val="center"/>
          </w:tcPr>
          <w:p w:rsidR="00185512" w:rsidRPr="004F0234" w:rsidRDefault="00185512" w:rsidP="00E01D5B">
            <w:pPr>
              <w:ind w:left="0"/>
              <w:jc w:val="center"/>
              <w:rPr>
                <w:i/>
                <w:sz w:val="18"/>
                <w:szCs w:val="18"/>
              </w:rPr>
            </w:pPr>
            <w:r>
              <w:rPr>
                <w:i/>
                <w:sz w:val="18"/>
                <w:szCs w:val="18"/>
              </w:rPr>
              <w:t>Ročne</w:t>
            </w:r>
          </w:p>
        </w:tc>
      </w:tr>
    </w:tbl>
    <w:p w:rsidR="00395D81" w:rsidRPr="007746D2" w:rsidRDefault="00395D81" w:rsidP="007746D2">
      <w:pPr>
        <w:rPr>
          <w:sz w:val="20"/>
          <w:szCs w:val="20"/>
        </w:rPr>
      </w:pPr>
      <w:r w:rsidRPr="007746D2">
        <w:rPr>
          <w:sz w:val="20"/>
          <w:szCs w:val="20"/>
          <w:u w:val="single"/>
        </w:rPr>
        <w:t>Pozn</w:t>
      </w:r>
      <w:r w:rsidRPr="007746D2">
        <w:rPr>
          <w:sz w:val="20"/>
          <w:szCs w:val="20"/>
        </w:rPr>
        <w:t xml:space="preserve">.: Hodnoty ukazovateľov budú doplnené v ďalšom štádiu prípravy dokumentu. </w:t>
      </w:r>
    </w:p>
    <w:p w:rsidR="00266DA8" w:rsidRDefault="00266DA8" w:rsidP="00266DA8">
      <w:pPr>
        <w:pStyle w:val="Nadpis3"/>
      </w:pPr>
      <w:bookmarkStart w:id="38" w:name="_Toc385310697"/>
      <w:r>
        <w:t>Výkonnostný rámec prioritnej osi</w:t>
      </w:r>
      <w:bookmarkEnd w:id="38"/>
    </w:p>
    <w:p w:rsidR="00266DA8" w:rsidRPr="007B3B80" w:rsidRDefault="00266DA8" w:rsidP="00266DA8">
      <w:pPr>
        <w:pStyle w:val="Tab"/>
      </w:pPr>
      <w:r>
        <w:t>Vý</w:t>
      </w:r>
      <w:r w:rsidR="00860E18">
        <w:t>konnostný rámec Prioritnej osi 3</w:t>
      </w:r>
    </w:p>
    <w:tbl>
      <w:tblPr>
        <w:tblStyle w:val="Mriekatabuky"/>
        <w:tblW w:w="962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1476"/>
        <w:gridCol w:w="371"/>
        <w:gridCol w:w="1586"/>
        <w:gridCol w:w="897"/>
        <w:gridCol w:w="617"/>
        <w:gridCol w:w="986"/>
        <w:gridCol w:w="987"/>
        <w:gridCol w:w="736"/>
        <w:gridCol w:w="747"/>
        <w:gridCol w:w="1217"/>
      </w:tblGrid>
      <w:tr w:rsidR="00266DA8" w:rsidTr="0095191D">
        <w:trPr>
          <w:trHeight w:val="340"/>
          <w:jc w:val="center"/>
        </w:trPr>
        <w:tc>
          <w:tcPr>
            <w:tcW w:w="1476" w:type="dxa"/>
            <w:shd w:val="clear" w:color="auto" w:fill="C6D9F1" w:themeFill="text2" w:themeFillTint="33"/>
          </w:tcPr>
          <w:p w:rsidR="00266DA8" w:rsidRPr="008C1732" w:rsidRDefault="00266DA8" w:rsidP="00017B79">
            <w:pPr>
              <w:ind w:left="0"/>
              <w:rPr>
                <w:b/>
                <w:sz w:val="18"/>
                <w:szCs w:val="18"/>
              </w:rPr>
            </w:pPr>
            <w:r w:rsidRPr="008C1732">
              <w:rPr>
                <w:b/>
                <w:sz w:val="18"/>
                <w:szCs w:val="18"/>
              </w:rPr>
              <w:t>Typ ukazovateľa</w:t>
            </w:r>
          </w:p>
          <w:p w:rsidR="00266DA8" w:rsidRPr="008C1732" w:rsidRDefault="00266DA8" w:rsidP="00017B79">
            <w:pPr>
              <w:ind w:left="0"/>
              <w:rPr>
                <w:b/>
                <w:sz w:val="18"/>
                <w:szCs w:val="18"/>
              </w:rPr>
            </w:pPr>
          </w:p>
          <w:p w:rsidR="00266DA8" w:rsidRPr="008C1732" w:rsidRDefault="00266DA8" w:rsidP="00017B79">
            <w:pPr>
              <w:ind w:left="0"/>
              <w:rPr>
                <w:b/>
                <w:sz w:val="18"/>
                <w:szCs w:val="18"/>
              </w:rPr>
            </w:pPr>
            <w:r w:rsidRPr="008C1732">
              <w:rPr>
                <w:b/>
                <w:sz w:val="18"/>
                <w:szCs w:val="18"/>
              </w:rPr>
              <w:t>(Implementačný krok, finančný ukazovateľ, ukazovateľ výstupu alebo výsledku)</w:t>
            </w:r>
            <w:r w:rsidRPr="008C1732">
              <w:rPr>
                <w:b/>
                <w:bCs/>
                <w:sz w:val="16"/>
                <w:szCs w:val="16"/>
              </w:rPr>
              <w:t xml:space="preserve"> </w:t>
            </w:r>
          </w:p>
        </w:tc>
        <w:tc>
          <w:tcPr>
            <w:tcW w:w="371" w:type="dxa"/>
            <w:shd w:val="clear" w:color="auto" w:fill="C6D9F1" w:themeFill="text2" w:themeFillTint="33"/>
          </w:tcPr>
          <w:p w:rsidR="00266DA8" w:rsidRPr="008C1732" w:rsidRDefault="00AF56C3" w:rsidP="00017B79">
            <w:pPr>
              <w:ind w:left="0"/>
              <w:rPr>
                <w:b/>
                <w:sz w:val="18"/>
                <w:szCs w:val="18"/>
              </w:rPr>
            </w:pPr>
            <w:r>
              <w:rPr>
                <w:b/>
                <w:sz w:val="18"/>
                <w:szCs w:val="18"/>
              </w:rPr>
              <w:t>P.</w:t>
            </w:r>
            <w:r w:rsidR="003D6170">
              <w:rPr>
                <w:b/>
                <w:sz w:val="18"/>
                <w:szCs w:val="18"/>
              </w:rPr>
              <w:t xml:space="preserve"> </w:t>
            </w:r>
            <w:r>
              <w:rPr>
                <w:b/>
                <w:sz w:val="18"/>
                <w:szCs w:val="18"/>
              </w:rPr>
              <w:t>č.</w:t>
            </w:r>
          </w:p>
        </w:tc>
        <w:tc>
          <w:tcPr>
            <w:tcW w:w="1586" w:type="dxa"/>
            <w:shd w:val="clear" w:color="auto" w:fill="C6D9F1" w:themeFill="text2" w:themeFillTint="33"/>
          </w:tcPr>
          <w:p w:rsidR="00266DA8" w:rsidRPr="008C1732" w:rsidRDefault="00266DA8" w:rsidP="00017B79">
            <w:pPr>
              <w:ind w:left="0"/>
              <w:rPr>
                <w:b/>
                <w:sz w:val="18"/>
                <w:szCs w:val="18"/>
              </w:rPr>
            </w:pPr>
            <w:r w:rsidRPr="008C1732">
              <w:rPr>
                <w:b/>
                <w:sz w:val="18"/>
                <w:szCs w:val="18"/>
              </w:rPr>
              <w:t>Definícia ukazovateľa alebo implementačného kroku</w:t>
            </w:r>
          </w:p>
        </w:tc>
        <w:tc>
          <w:tcPr>
            <w:tcW w:w="897" w:type="dxa"/>
            <w:shd w:val="clear" w:color="auto" w:fill="C6D9F1" w:themeFill="text2" w:themeFillTint="33"/>
          </w:tcPr>
          <w:p w:rsidR="00266DA8" w:rsidRPr="008C1732" w:rsidRDefault="00266DA8" w:rsidP="00017B79">
            <w:pPr>
              <w:ind w:left="0"/>
              <w:rPr>
                <w:b/>
                <w:sz w:val="18"/>
                <w:szCs w:val="18"/>
              </w:rPr>
            </w:pPr>
            <w:r w:rsidRPr="008C1732">
              <w:rPr>
                <w:b/>
                <w:sz w:val="18"/>
                <w:szCs w:val="18"/>
              </w:rPr>
              <w:t>Merná jednotka</w:t>
            </w:r>
          </w:p>
        </w:tc>
        <w:tc>
          <w:tcPr>
            <w:tcW w:w="617" w:type="dxa"/>
            <w:shd w:val="clear" w:color="auto" w:fill="C6D9F1" w:themeFill="text2" w:themeFillTint="33"/>
          </w:tcPr>
          <w:p w:rsidR="00266DA8" w:rsidRPr="008C1732" w:rsidRDefault="00266DA8" w:rsidP="00017B79">
            <w:pPr>
              <w:ind w:left="0"/>
              <w:rPr>
                <w:b/>
                <w:sz w:val="18"/>
                <w:szCs w:val="18"/>
              </w:rPr>
            </w:pPr>
            <w:r w:rsidRPr="008C1732">
              <w:rPr>
                <w:b/>
                <w:sz w:val="18"/>
                <w:szCs w:val="18"/>
              </w:rPr>
              <w:t>Fond</w:t>
            </w:r>
          </w:p>
        </w:tc>
        <w:tc>
          <w:tcPr>
            <w:tcW w:w="986" w:type="dxa"/>
            <w:shd w:val="clear" w:color="auto" w:fill="C6D9F1" w:themeFill="text2" w:themeFillTint="33"/>
          </w:tcPr>
          <w:p w:rsidR="00266DA8" w:rsidRPr="008C1732" w:rsidRDefault="00266DA8" w:rsidP="00017B79">
            <w:pPr>
              <w:ind w:left="0"/>
              <w:rPr>
                <w:b/>
                <w:sz w:val="18"/>
                <w:szCs w:val="18"/>
              </w:rPr>
            </w:pPr>
            <w:r w:rsidRPr="008C1732">
              <w:rPr>
                <w:b/>
                <w:sz w:val="18"/>
                <w:szCs w:val="18"/>
              </w:rPr>
              <w:t>Kategória regiónu</w:t>
            </w:r>
          </w:p>
        </w:tc>
        <w:tc>
          <w:tcPr>
            <w:tcW w:w="987" w:type="dxa"/>
            <w:shd w:val="clear" w:color="auto" w:fill="C6D9F1" w:themeFill="text2" w:themeFillTint="33"/>
          </w:tcPr>
          <w:p w:rsidR="00266DA8" w:rsidRPr="008C1732" w:rsidRDefault="00266DA8" w:rsidP="00017B79">
            <w:pPr>
              <w:ind w:left="0"/>
              <w:rPr>
                <w:b/>
                <w:sz w:val="18"/>
                <w:szCs w:val="18"/>
              </w:rPr>
            </w:pPr>
            <w:r w:rsidRPr="008C1732">
              <w:rPr>
                <w:b/>
                <w:sz w:val="18"/>
                <w:szCs w:val="18"/>
              </w:rPr>
              <w:t>Čiastkový cieľ pre rok 2018</w:t>
            </w:r>
          </w:p>
        </w:tc>
        <w:tc>
          <w:tcPr>
            <w:tcW w:w="736" w:type="dxa"/>
            <w:shd w:val="clear" w:color="auto" w:fill="C6D9F1" w:themeFill="text2" w:themeFillTint="33"/>
          </w:tcPr>
          <w:p w:rsidR="00266DA8" w:rsidRPr="008C1732" w:rsidRDefault="00266DA8" w:rsidP="00017B79">
            <w:pPr>
              <w:ind w:left="0"/>
              <w:rPr>
                <w:b/>
                <w:sz w:val="18"/>
                <w:szCs w:val="18"/>
              </w:rPr>
            </w:pPr>
            <w:r w:rsidRPr="008C1732">
              <w:rPr>
                <w:b/>
                <w:sz w:val="18"/>
                <w:szCs w:val="18"/>
              </w:rPr>
              <w:t>Zámer</w:t>
            </w:r>
          </w:p>
          <w:p w:rsidR="00266DA8" w:rsidRPr="008C1732" w:rsidRDefault="00266DA8" w:rsidP="00017B79">
            <w:pPr>
              <w:ind w:left="0"/>
              <w:rPr>
                <w:b/>
                <w:sz w:val="18"/>
                <w:szCs w:val="18"/>
              </w:rPr>
            </w:pPr>
            <w:r w:rsidRPr="008C1732">
              <w:rPr>
                <w:b/>
                <w:sz w:val="18"/>
                <w:szCs w:val="18"/>
              </w:rPr>
              <w:t>(2023)</w:t>
            </w:r>
          </w:p>
        </w:tc>
        <w:tc>
          <w:tcPr>
            <w:tcW w:w="747" w:type="dxa"/>
            <w:shd w:val="clear" w:color="auto" w:fill="C6D9F1" w:themeFill="text2" w:themeFillTint="33"/>
          </w:tcPr>
          <w:p w:rsidR="00266DA8" w:rsidRPr="008C1732" w:rsidRDefault="00266DA8" w:rsidP="00017B79">
            <w:pPr>
              <w:ind w:left="0"/>
              <w:rPr>
                <w:b/>
                <w:sz w:val="18"/>
                <w:szCs w:val="18"/>
              </w:rPr>
            </w:pPr>
            <w:r w:rsidRPr="008C1732">
              <w:rPr>
                <w:b/>
                <w:sz w:val="18"/>
                <w:szCs w:val="18"/>
              </w:rPr>
              <w:t>Zdroj údajov</w:t>
            </w:r>
          </w:p>
        </w:tc>
        <w:tc>
          <w:tcPr>
            <w:tcW w:w="1217" w:type="dxa"/>
            <w:shd w:val="clear" w:color="auto" w:fill="C6D9F1" w:themeFill="text2" w:themeFillTint="33"/>
          </w:tcPr>
          <w:p w:rsidR="00266DA8" w:rsidRPr="008C1732" w:rsidRDefault="00266DA8" w:rsidP="00017B79">
            <w:pPr>
              <w:ind w:left="0"/>
              <w:rPr>
                <w:b/>
                <w:sz w:val="18"/>
                <w:szCs w:val="18"/>
              </w:rPr>
            </w:pPr>
            <w:r w:rsidRPr="008C1732">
              <w:rPr>
                <w:b/>
                <w:sz w:val="18"/>
                <w:szCs w:val="18"/>
              </w:rPr>
              <w:t>Zdôvodnenie výberu ukazovateľa</w:t>
            </w:r>
          </w:p>
        </w:tc>
      </w:tr>
      <w:tr w:rsidR="00266DA8" w:rsidTr="0095191D">
        <w:trPr>
          <w:trHeight w:val="454"/>
          <w:jc w:val="center"/>
        </w:trPr>
        <w:tc>
          <w:tcPr>
            <w:tcW w:w="1476" w:type="dxa"/>
            <w:vAlign w:val="center"/>
          </w:tcPr>
          <w:p w:rsidR="00266DA8" w:rsidRPr="00D9570C" w:rsidRDefault="00266DA8" w:rsidP="005139F6">
            <w:pPr>
              <w:ind w:left="0"/>
              <w:rPr>
                <w:i/>
                <w:sz w:val="18"/>
                <w:szCs w:val="18"/>
              </w:rPr>
            </w:pPr>
            <w:r w:rsidRPr="00D9570C">
              <w:rPr>
                <w:i/>
                <w:sz w:val="18"/>
                <w:szCs w:val="18"/>
              </w:rPr>
              <w:t>výstupový ukazovateľ</w:t>
            </w:r>
          </w:p>
        </w:tc>
        <w:tc>
          <w:tcPr>
            <w:tcW w:w="371" w:type="dxa"/>
          </w:tcPr>
          <w:p w:rsidR="00266DA8" w:rsidRPr="00D9570C" w:rsidRDefault="00266DA8" w:rsidP="00017B79">
            <w:pPr>
              <w:rPr>
                <w:sz w:val="18"/>
                <w:szCs w:val="18"/>
              </w:rPr>
            </w:pPr>
          </w:p>
        </w:tc>
        <w:tc>
          <w:tcPr>
            <w:tcW w:w="1586" w:type="dxa"/>
            <w:vAlign w:val="center"/>
          </w:tcPr>
          <w:p w:rsidR="00266DA8" w:rsidRPr="00D9570C" w:rsidRDefault="00860E18" w:rsidP="00017B79">
            <w:pPr>
              <w:ind w:left="0"/>
              <w:rPr>
                <w:sz w:val="18"/>
                <w:szCs w:val="18"/>
              </w:rPr>
            </w:pPr>
            <w:r w:rsidRPr="00DA54CE">
              <w:rPr>
                <w:sz w:val="18"/>
                <w:szCs w:val="18"/>
              </w:rPr>
              <w:t>Celková dĺžka nových alebo zmodernizovaných tratí pre električky alebo metro</w:t>
            </w:r>
          </w:p>
        </w:tc>
        <w:tc>
          <w:tcPr>
            <w:tcW w:w="897" w:type="dxa"/>
            <w:vAlign w:val="center"/>
          </w:tcPr>
          <w:p w:rsidR="00266DA8" w:rsidRPr="00D9570C" w:rsidRDefault="00266DA8" w:rsidP="005139F6">
            <w:pPr>
              <w:ind w:left="0"/>
              <w:jc w:val="center"/>
              <w:rPr>
                <w:i/>
                <w:sz w:val="18"/>
                <w:szCs w:val="18"/>
              </w:rPr>
            </w:pPr>
            <w:r w:rsidRPr="00D9570C">
              <w:rPr>
                <w:i/>
                <w:sz w:val="18"/>
                <w:szCs w:val="18"/>
              </w:rPr>
              <w:t>km</w:t>
            </w:r>
          </w:p>
        </w:tc>
        <w:tc>
          <w:tcPr>
            <w:tcW w:w="617" w:type="dxa"/>
            <w:vAlign w:val="center"/>
          </w:tcPr>
          <w:p w:rsidR="00266DA8" w:rsidRPr="00D9570C" w:rsidRDefault="00266DA8" w:rsidP="005139F6">
            <w:pPr>
              <w:ind w:left="0"/>
              <w:jc w:val="center"/>
              <w:rPr>
                <w:i/>
                <w:sz w:val="18"/>
                <w:szCs w:val="18"/>
              </w:rPr>
            </w:pPr>
            <w:r w:rsidRPr="00D9570C">
              <w:rPr>
                <w:i/>
                <w:sz w:val="18"/>
                <w:szCs w:val="18"/>
              </w:rPr>
              <w:t>KF</w:t>
            </w:r>
          </w:p>
        </w:tc>
        <w:tc>
          <w:tcPr>
            <w:tcW w:w="986" w:type="dxa"/>
            <w:vAlign w:val="center"/>
          </w:tcPr>
          <w:p w:rsidR="00266DA8" w:rsidRPr="00D9570C" w:rsidRDefault="00266DA8" w:rsidP="005139F6">
            <w:pPr>
              <w:ind w:left="0"/>
              <w:jc w:val="center"/>
              <w:rPr>
                <w:i/>
                <w:sz w:val="18"/>
                <w:szCs w:val="18"/>
              </w:rPr>
            </w:pPr>
            <w:r w:rsidRPr="00D9570C">
              <w:rPr>
                <w:i/>
                <w:sz w:val="18"/>
                <w:szCs w:val="18"/>
              </w:rPr>
              <w:t>N/A</w:t>
            </w:r>
          </w:p>
        </w:tc>
        <w:tc>
          <w:tcPr>
            <w:tcW w:w="987" w:type="dxa"/>
            <w:vAlign w:val="center"/>
          </w:tcPr>
          <w:p w:rsidR="00266DA8" w:rsidRPr="00D9570C" w:rsidRDefault="00266DA8" w:rsidP="005139F6">
            <w:pPr>
              <w:ind w:left="0"/>
              <w:jc w:val="center"/>
              <w:rPr>
                <w:i/>
                <w:sz w:val="18"/>
                <w:szCs w:val="18"/>
              </w:rPr>
            </w:pPr>
          </w:p>
        </w:tc>
        <w:tc>
          <w:tcPr>
            <w:tcW w:w="736" w:type="dxa"/>
            <w:vAlign w:val="center"/>
          </w:tcPr>
          <w:p w:rsidR="00266DA8" w:rsidRPr="00D9570C" w:rsidRDefault="00266DA8" w:rsidP="005139F6">
            <w:pPr>
              <w:ind w:left="0"/>
              <w:jc w:val="center"/>
              <w:rPr>
                <w:i/>
                <w:sz w:val="18"/>
                <w:szCs w:val="18"/>
              </w:rPr>
            </w:pPr>
          </w:p>
        </w:tc>
        <w:tc>
          <w:tcPr>
            <w:tcW w:w="747" w:type="dxa"/>
            <w:vAlign w:val="center"/>
          </w:tcPr>
          <w:p w:rsidR="00266DA8" w:rsidRPr="00D9570C" w:rsidRDefault="00266DA8" w:rsidP="005139F6">
            <w:pPr>
              <w:ind w:left="0"/>
              <w:jc w:val="center"/>
              <w:rPr>
                <w:i/>
                <w:sz w:val="18"/>
                <w:szCs w:val="18"/>
              </w:rPr>
            </w:pPr>
            <w:r w:rsidRPr="00D9570C">
              <w:rPr>
                <w:i/>
                <w:sz w:val="18"/>
                <w:szCs w:val="18"/>
              </w:rPr>
              <w:t>RO OPII</w:t>
            </w:r>
          </w:p>
        </w:tc>
        <w:tc>
          <w:tcPr>
            <w:tcW w:w="1217" w:type="dxa"/>
            <w:vAlign w:val="center"/>
          </w:tcPr>
          <w:p w:rsidR="00266DA8" w:rsidRPr="00D9570C" w:rsidRDefault="00266DA8" w:rsidP="005139F6">
            <w:pPr>
              <w:ind w:left="0"/>
              <w:jc w:val="center"/>
              <w:rPr>
                <w:i/>
                <w:sz w:val="18"/>
                <w:szCs w:val="18"/>
              </w:rPr>
            </w:pPr>
            <w:r w:rsidRPr="00D9570C">
              <w:rPr>
                <w:i/>
                <w:sz w:val="18"/>
                <w:szCs w:val="18"/>
              </w:rPr>
              <w:t>Spoloč</w:t>
            </w:r>
            <w:r w:rsidR="00860E18">
              <w:rPr>
                <w:i/>
                <w:sz w:val="18"/>
                <w:szCs w:val="18"/>
              </w:rPr>
              <w:t>ný ukazovateľ</w:t>
            </w:r>
          </w:p>
        </w:tc>
      </w:tr>
      <w:tr w:rsidR="00860E18" w:rsidTr="0095191D">
        <w:trPr>
          <w:trHeight w:val="454"/>
          <w:jc w:val="center"/>
        </w:trPr>
        <w:tc>
          <w:tcPr>
            <w:tcW w:w="1476" w:type="dxa"/>
            <w:vAlign w:val="center"/>
          </w:tcPr>
          <w:p w:rsidR="00860E18" w:rsidRPr="00D9570C" w:rsidRDefault="00860E18" w:rsidP="005139F6">
            <w:pPr>
              <w:ind w:left="0"/>
              <w:rPr>
                <w:i/>
                <w:sz w:val="18"/>
                <w:szCs w:val="18"/>
              </w:rPr>
            </w:pPr>
            <w:r w:rsidRPr="00D9570C">
              <w:rPr>
                <w:i/>
                <w:sz w:val="18"/>
                <w:szCs w:val="18"/>
              </w:rPr>
              <w:t>výstupový ukazovateľ</w:t>
            </w:r>
          </w:p>
        </w:tc>
        <w:tc>
          <w:tcPr>
            <w:tcW w:w="371" w:type="dxa"/>
          </w:tcPr>
          <w:p w:rsidR="00860E18" w:rsidRPr="00D9570C" w:rsidRDefault="00860E18" w:rsidP="00860E18">
            <w:pPr>
              <w:ind w:left="0"/>
              <w:rPr>
                <w:sz w:val="18"/>
                <w:szCs w:val="18"/>
              </w:rPr>
            </w:pPr>
          </w:p>
        </w:tc>
        <w:tc>
          <w:tcPr>
            <w:tcW w:w="1586" w:type="dxa"/>
            <w:vAlign w:val="center"/>
          </w:tcPr>
          <w:p w:rsidR="00860E18" w:rsidRPr="00DA54CE" w:rsidRDefault="00860E18" w:rsidP="00860E18">
            <w:pPr>
              <w:ind w:left="0"/>
              <w:rPr>
                <w:sz w:val="18"/>
                <w:szCs w:val="18"/>
              </w:rPr>
            </w:pPr>
            <w:r>
              <w:rPr>
                <w:sz w:val="18"/>
                <w:szCs w:val="18"/>
              </w:rPr>
              <w:t>Počet obnovených mobil</w:t>
            </w:r>
            <w:r w:rsidR="00197539">
              <w:rPr>
                <w:sz w:val="18"/>
                <w:szCs w:val="18"/>
              </w:rPr>
              <w:t xml:space="preserve">ných prostriedkov dráhovej MHD </w:t>
            </w:r>
            <w:r>
              <w:rPr>
                <w:sz w:val="18"/>
                <w:szCs w:val="18"/>
              </w:rPr>
              <w:t>(električky, trolejbusy)</w:t>
            </w:r>
          </w:p>
        </w:tc>
        <w:tc>
          <w:tcPr>
            <w:tcW w:w="897" w:type="dxa"/>
            <w:vAlign w:val="center"/>
          </w:tcPr>
          <w:p w:rsidR="00860E18" w:rsidRPr="00D9570C" w:rsidRDefault="00860E18" w:rsidP="005139F6">
            <w:pPr>
              <w:ind w:left="0"/>
              <w:jc w:val="center"/>
              <w:rPr>
                <w:i/>
                <w:sz w:val="18"/>
                <w:szCs w:val="18"/>
              </w:rPr>
            </w:pPr>
            <w:r>
              <w:rPr>
                <w:i/>
                <w:sz w:val="18"/>
                <w:szCs w:val="18"/>
              </w:rPr>
              <w:t>počet</w:t>
            </w:r>
          </w:p>
        </w:tc>
        <w:tc>
          <w:tcPr>
            <w:tcW w:w="617" w:type="dxa"/>
            <w:vAlign w:val="center"/>
          </w:tcPr>
          <w:p w:rsidR="00860E18" w:rsidRPr="00D9570C" w:rsidRDefault="00860E18" w:rsidP="005139F6">
            <w:pPr>
              <w:ind w:left="0"/>
              <w:jc w:val="center"/>
              <w:rPr>
                <w:i/>
                <w:sz w:val="18"/>
                <w:szCs w:val="18"/>
              </w:rPr>
            </w:pPr>
            <w:r>
              <w:rPr>
                <w:i/>
                <w:sz w:val="18"/>
                <w:szCs w:val="18"/>
              </w:rPr>
              <w:t>KF</w:t>
            </w:r>
          </w:p>
        </w:tc>
        <w:tc>
          <w:tcPr>
            <w:tcW w:w="986" w:type="dxa"/>
            <w:vAlign w:val="center"/>
          </w:tcPr>
          <w:p w:rsidR="00860E18" w:rsidRPr="00D9570C" w:rsidRDefault="00860E18" w:rsidP="005139F6">
            <w:pPr>
              <w:ind w:left="0"/>
              <w:jc w:val="center"/>
              <w:rPr>
                <w:i/>
                <w:sz w:val="18"/>
                <w:szCs w:val="18"/>
              </w:rPr>
            </w:pPr>
            <w:r w:rsidRPr="00D9570C">
              <w:rPr>
                <w:i/>
                <w:sz w:val="18"/>
                <w:szCs w:val="18"/>
              </w:rPr>
              <w:t>N/A</w:t>
            </w:r>
          </w:p>
        </w:tc>
        <w:tc>
          <w:tcPr>
            <w:tcW w:w="987" w:type="dxa"/>
            <w:vAlign w:val="center"/>
          </w:tcPr>
          <w:p w:rsidR="00860E18" w:rsidRDefault="00860E18" w:rsidP="005139F6">
            <w:pPr>
              <w:ind w:left="0"/>
              <w:jc w:val="center"/>
              <w:rPr>
                <w:i/>
                <w:sz w:val="18"/>
                <w:szCs w:val="18"/>
              </w:rPr>
            </w:pPr>
          </w:p>
        </w:tc>
        <w:tc>
          <w:tcPr>
            <w:tcW w:w="736" w:type="dxa"/>
            <w:vAlign w:val="center"/>
          </w:tcPr>
          <w:p w:rsidR="00860E18" w:rsidRDefault="00860E18" w:rsidP="005139F6">
            <w:pPr>
              <w:ind w:left="0"/>
              <w:jc w:val="center"/>
              <w:rPr>
                <w:i/>
                <w:sz w:val="18"/>
                <w:szCs w:val="18"/>
              </w:rPr>
            </w:pPr>
          </w:p>
        </w:tc>
        <w:tc>
          <w:tcPr>
            <w:tcW w:w="747" w:type="dxa"/>
            <w:vAlign w:val="center"/>
          </w:tcPr>
          <w:p w:rsidR="00860E18" w:rsidRPr="00D9570C" w:rsidRDefault="00860E18" w:rsidP="005139F6">
            <w:pPr>
              <w:ind w:left="0"/>
              <w:jc w:val="center"/>
              <w:rPr>
                <w:i/>
                <w:sz w:val="18"/>
                <w:szCs w:val="18"/>
              </w:rPr>
            </w:pPr>
            <w:r>
              <w:rPr>
                <w:i/>
                <w:sz w:val="18"/>
                <w:szCs w:val="18"/>
              </w:rPr>
              <w:t>RO OPII</w:t>
            </w:r>
          </w:p>
        </w:tc>
        <w:tc>
          <w:tcPr>
            <w:tcW w:w="1217" w:type="dxa"/>
            <w:vAlign w:val="center"/>
          </w:tcPr>
          <w:p w:rsidR="00860E18" w:rsidRPr="00860E18" w:rsidRDefault="00860E18" w:rsidP="005139F6">
            <w:pPr>
              <w:ind w:left="0"/>
              <w:jc w:val="center"/>
              <w:rPr>
                <w:i/>
                <w:sz w:val="18"/>
                <w:szCs w:val="18"/>
              </w:rPr>
            </w:pPr>
            <w:r>
              <w:rPr>
                <w:i/>
                <w:sz w:val="18"/>
                <w:szCs w:val="18"/>
              </w:rPr>
              <w:t>Jedna z hlavných aktivít PO (cca 30</w:t>
            </w:r>
            <w:r w:rsidRPr="006E738B">
              <w:rPr>
                <w:i/>
                <w:sz w:val="18"/>
                <w:szCs w:val="18"/>
              </w:rPr>
              <w:t>% alokácie)</w:t>
            </w:r>
          </w:p>
        </w:tc>
      </w:tr>
      <w:tr w:rsidR="00266DA8" w:rsidTr="0095191D">
        <w:trPr>
          <w:trHeight w:val="454"/>
          <w:jc w:val="center"/>
        </w:trPr>
        <w:tc>
          <w:tcPr>
            <w:tcW w:w="1476" w:type="dxa"/>
            <w:vAlign w:val="center"/>
          </w:tcPr>
          <w:p w:rsidR="00266DA8" w:rsidRPr="00D9570C" w:rsidRDefault="00266DA8" w:rsidP="005139F6">
            <w:pPr>
              <w:ind w:left="0"/>
              <w:rPr>
                <w:sz w:val="18"/>
                <w:szCs w:val="18"/>
              </w:rPr>
            </w:pPr>
            <w:r w:rsidRPr="00D9570C">
              <w:rPr>
                <w:i/>
                <w:sz w:val="18"/>
                <w:szCs w:val="18"/>
              </w:rPr>
              <w:lastRenderedPageBreak/>
              <w:t xml:space="preserve"> finančný ukazovateľ</w:t>
            </w:r>
          </w:p>
        </w:tc>
        <w:tc>
          <w:tcPr>
            <w:tcW w:w="371" w:type="dxa"/>
          </w:tcPr>
          <w:p w:rsidR="00266DA8" w:rsidRPr="00D9570C" w:rsidRDefault="00266DA8" w:rsidP="00017B79">
            <w:pPr>
              <w:rPr>
                <w:sz w:val="18"/>
                <w:szCs w:val="18"/>
              </w:rPr>
            </w:pPr>
          </w:p>
        </w:tc>
        <w:tc>
          <w:tcPr>
            <w:tcW w:w="1586" w:type="dxa"/>
            <w:vAlign w:val="center"/>
          </w:tcPr>
          <w:p w:rsidR="00266DA8" w:rsidRPr="00D9570C" w:rsidRDefault="00266DA8" w:rsidP="00017B79">
            <w:pPr>
              <w:ind w:left="0"/>
              <w:rPr>
                <w:sz w:val="18"/>
                <w:szCs w:val="18"/>
              </w:rPr>
            </w:pPr>
            <w:r w:rsidRPr="00D9570C">
              <w:rPr>
                <w:sz w:val="18"/>
                <w:szCs w:val="18"/>
              </w:rPr>
              <w:t>Celková suma oprávnených výdavkov po ich certifikácii zo strany Certifikačného orgánu</w:t>
            </w:r>
          </w:p>
        </w:tc>
        <w:tc>
          <w:tcPr>
            <w:tcW w:w="897" w:type="dxa"/>
            <w:vAlign w:val="center"/>
          </w:tcPr>
          <w:p w:rsidR="00266DA8" w:rsidRPr="00D9570C" w:rsidRDefault="00266DA8" w:rsidP="005139F6">
            <w:pPr>
              <w:ind w:left="0"/>
              <w:jc w:val="center"/>
              <w:rPr>
                <w:i/>
                <w:sz w:val="18"/>
                <w:szCs w:val="18"/>
              </w:rPr>
            </w:pPr>
            <w:r w:rsidRPr="00D9570C">
              <w:rPr>
                <w:i/>
                <w:sz w:val="18"/>
                <w:szCs w:val="18"/>
              </w:rPr>
              <w:t>%</w:t>
            </w:r>
          </w:p>
        </w:tc>
        <w:tc>
          <w:tcPr>
            <w:tcW w:w="617" w:type="dxa"/>
            <w:vAlign w:val="center"/>
          </w:tcPr>
          <w:p w:rsidR="00266DA8" w:rsidRPr="00D9570C" w:rsidRDefault="00266DA8" w:rsidP="005139F6">
            <w:pPr>
              <w:ind w:left="0"/>
              <w:jc w:val="center"/>
              <w:rPr>
                <w:i/>
                <w:sz w:val="18"/>
                <w:szCs w:val="18"/>
              </w:rPr>
            </w:pPr>
            <w:r w:rsidRPr="00D9570C">
              <w:rPr>
                <w:i/>
                <w:sz w:val="18"/>
                <w:szCs w:val="18"/>
              </w:rPr>
              <w:t>KF</w:t>
            </w:r>
          </w:p>
        </w:tc>
        <w:tc>
          <w:tcPr>
            <w:tcW w:w="986" w:type="dxa"/>
            <w:vAlign w:val="center"/>
          </w:tcPr>
          <w:p w:rsidR="00266DA8" w:rsidRPr="00D9570C" w:rsidRDefault="00266DA8" w:rsidP="005139F6">
            <w:pPr>
              <w:ind w:left="0"/>
              <w:jc w:val="center"/>
              <w:rPr>
                <w:i/>
                <w:sz w:val="18"/>
                <w:szCs w:val="18"/>
              </w:rPr>
            </w:pPr>
            <w:r w:rsidRPr="00D9570C">
              <w:rPr>
                <w:i/>
                <w:sz w:val="18"/>
                <w:szCs w:val="18"/>
              </w:rPr>
              <w:t>N/A</w:t>
            </w:r>
          </w:p>
        </w:tc>
        <w:tc>
          <w:tcPr>
            <w:tcW w:w="987" w:type="dxa"/>
            <w:vAlign w:val="center"/>
          </w:tcPr>
          <w:p w:rsidR="00266DA8" w:rsidRPr="00D9570C" w:rsidRDefault="00266DA8" w:rsidP="005139F6">
            <w:pPr>
              <w:ind w:left="0"/>
              <w:jc w:val="center"/>
              <w:rPr>
                <w:i/>
                <w:sz w:val="18"/>
                <w:szCs w:val="18"/>
              </w:rPr>
            </w:pPr>
          </w:p>
        </w:tc>
        <w:tc>
          <w:tcPr>
            <w:tcW w:w="736" w:type="dxa"/>
            <w:vAlign w:val="center"/>
          </w:tcPr>
          <w:p w:rsidR="00266DA8" w:rsidRPr="00D9570C" w:rsidRDefault="00266DA8" w:rsidP="005139F6">
            <w:pPr>
              <w:ind w:left="0"/>
              <w:jc w:val="center"/>
              <w:rPr>
                <w:i/>
                <w:sz w:val="18"/>
                <w:szCs w:val="18"/>
              </w:rPr>
            </w:pPr>
          </w:p>
        </w:tc>
        <w:tc>
          <w:tcPr>
            <w:tcW w:w="747" w:type="dxa"/>
            <w:vAlign w:val="center"/>
          </w:tcPr>
          <w:p w:rsidR="00266DA8" w:rsidRPr="00D9570C" w:rsidRDefault="00266DA8" w:rsidP="005139F6">
            <w:pPr>
              <w:ind w:left="0"/>
              <w:jc w:val="center"/>
              <w:rPr>
                <w:i/>
                <w:sz w:val="18"/>
                <w:szCs w:val="18"/>
              </w:rPr>
            </w:pPr>
            <w:r w:rsidRPr="00D9570C">
              <w:rPr>
                <w:i/>
                <w:sz w:val="18"/>
                <w:szCs w:val="18"/>
              </w:rPr>
              <w:t>RO OPII</w:t>
            </w:r>
          </w:p>
        </w:tc>
        <w:tc>
          <w:tcPr>
            <w:tcW w:w="1217" w:type="dxa"/>
            <w:vAlign w:val="center"/>
          </w:tcPr>
          <w:p w:rsidR="00266DA8" w:rsidRPr="00D9570C" w:rsidRDefault="00266DA8" w:rsidP="005139F6">
            <w:pPr>
              <w:ind w:left="0"/>
              <w:jc w:val="center"/>
              <w:rPr>
                <w:i/>
                <w:sz w:val="18"/>
                <w:szCs w:val="18"/>
              </w:rPr>
            </w:pPr>
            <w:r w:rsidRPr="00D9570C">
              <w:rPr>
                <w:i/>
                <w:sz w:val="18"/>
                <w:szCs w:val="18"/>
              </w:rPr>
              <w:t>Základný finančný ukazovateľ</w:t>
            </w:r>
          </w:p>
        </w:tc>
      </w:tr>
    </w:tbl>
    <w:p w:rsidR="008F7F04" w:rsidRPr="00FE6C5A" w:rsidRDefault="00395D81" w:rsidP="00FE6C5A">
      <w:pPr>
        <w:rPr>
          <w:sz w:val="20"/>
          <w:szCs w:val="20"/>
        </w:rPr>
      </w:pPr>
      <w:r w:rsidRPr="007746D2">
        <w:rPr>
          <w:sz w:val="20"/>
          <w:szCs w:val="20"/>
          <w:u w:val="single"/>
        </w:rPr>
        <w:t>Pozn</w:t>
      </w:r>
      <w:r w:rsidRPr="007746D2">
        <w:rPr>
          <w:sz w:val="20"/>
          <w:szCs w:val="20"/>
        </w:rPr>
        <w:t xml:space="preserve">.: Hodnoty ukazovateľov budú doplnené v ďalšom štádiu prípravy dokumentu. </w:t>
      </w:r>
      <w:bookmarkStart w:id="39" w:name="_Toc385310698"/>
    </w:p>
    <w:p w:rsidR="008F7F04" w:rsidRPr="008F7F04" w:rsidRDefault="008F7F04" w:rsidP="008F7F04"/>
    <w:p w:rsidR="00266DA8" w:rsidRDefault="00266DA8" w:rsidP="00266DA8">
      <w:pPr>
        <w:pStyle w:val="Nadpis3"/>
      </w:pPr>
      <w:r>
        <w:t>Kategórie intervencií</w:t>
      </w:r>
      <w:bookmarkEnd w:id="39"/>
    </w:p>
    <w:p w:rsidR="00266DA8" w:rsidRPr="006579CE" w:rsidRDefault="00266DA8" w:rsidP="00266DA8">
      <w:pPr>
        <w:pStyle w:val="Tab"/>
      </w:pPr>
    </w:p>
    <w:tbl>
      <w:tblPr>
        <w:tblStyle w:val="Mriekatabuky"/>
        <w:tblW w:w="9072" w:type="dxa"/>
        <w:jc w:val="center"/>
        <w:tblLook w:val="04A0"/>
      </w:tblPr>
      <w:tblGrid>
        <w:gridCol w:w="4912"/>
        <w:gridCol w:w="2120"/>
        <w:gridCol w:w="2040"/>
      </w:tblGrid>
      <w:tr w:rsidR="00266DA8" w:rsidTr="00860E18">
        <w:trPr>
          <w:trHeight w:val="255"/>
          <w:jc w:val="center"/>
        </w:trPr>
        <w:tc>
          <w:tcPr>
            <w:tcW w:w="9072" w:type="dxa"/>
            <w:gridSpan w:val="3"/>
            <w:shd w:val="clear" w:color="auto" w:fill="DBE5F1" w:themeFill="accent1" w:themeFillTint="33"/>
            <w:vAlign w:val="center"/>
          </w:tcPr>
          <w:p w:rsidR="00266DA8" w:rsidRPr="006579CE" w:rsidRDefault="00266DA8" w:rsidP="00017B79">
            <w:pPr>
              <w:pStyle w:val="Default"/>
              <w:autoSpaceDE/>
              <w:autoSpaceDN/>
              <w:adjustRightInd/>
              <w:ind w:left="0"/>
              <w:rPr>
                <w:sz w:val="20"/>
                <w:szCs w:val="20"/>
              </w:rPr>
            </w:pPr>
            <w:r>
              <w:rPr>
                <w:b/>
                <w:bCs/>
                <w:sz w:val="20"/>
                <w:szCs w:val="20"/>
              </w:rPr>
              <w:t xml:space="preserve">Rozmer 1 – Oblasť intervencie </w:t>
            </w:r>
          </w:p>
        </w:tc>
      </w:tr>
      <w:tr w:rsidR="00266DA8" w:rsidTr="00860E18">
        <w:trPr>
          <w:trHeight w:val="255"/>
          <w:jc w:val="center"/>
        </w:trPr>
        <w:tc>
          <w:tcPr>
            <w:tcW w:w="4912" w:type="dxa"/>
            <w:shd w:val="clear" w:color="auto" w:fill="DBE5F1" w:themeFill="accent1" w:themeFillTint="33"/>
            <w:vAlign w:val="center"/>
          </w:tcPr>
          <w:p w:rsidR="00266DA8" w:rsidRPr="006579CE" w:rsidRDefault="00266DA8" w:rsidP="00017B79">
            <w:pPr>
              <w:pStyle w:val="Default"/>
              <w:autoSpaceDE/>
              <w:autoSpaceDN/>
              <w:adjustRightInd/>
              <w:ind w:left="0"/>
              <w:rPr>
                <w:b/>
                <w:bCs/>
                <w:sz w:val="20"/>
                <w:szCs w:val="20"/>
              </w:rPr>
            </w:pPr>
            <w:r w:rsidRPr="006579CE">
              <w:rPr>
                <w:b/>
                <w:bCs/>
                <w:sz w:val="20"/>
                <w:szCs w:val="20"/>
              </w:rPr>
              <w:t>Fond</w:t>
            </w:r>
          </w:p>
        </w:tc>
        <w:tc>
          <w:tcPr>
            <w:tcW w:w="4160" w:type="dxa"/>
            <w:gridSpan w:val="2"/>
            <w:shd w:val="clear" w:color="auto" w:fill="DBE5F1" w:themeFill="accent1" w:themeFillTint="33"/>
            <w:vAlign w:val="center"/>
          </w:tcPr>
          <w:p w:rsidR="00266DA8" w:rsidRPr="006579CE" w:rsidRDefault="00266DA8" w:rsidP="00017B79">
            <w:pPr>
              <w:pStyle w:val="Default"/>
              <w:autoSpaceDE/>
              <w:autoSpaceDN/>
              <w:adjustRightInd/>
              <w:ind w:left="0"/>
              <w:rPr>
                <w:bCs/>
                <w:sz w:val="20"/>
                <w:szCs w:val="20"/>
              </w:rPr>
            </w:pPr>
            <w:r w:rsidRPr="006579CE">
              <w:rPr>
                <w:bCs/>
                <w:sz w:val="20"/>
                <w:szCs w:val="20"/>
              </w:rPr>
              <w:t>Kohézny fond</w:t>
            </w:r>
          </w:p>
        </w:tc>
      </w:tr>
      <w:tr w:rsidR="00266DA8" w:rsidTr="00860E18">
        <w:trPr>
          <w:trHeight w:val="255"/>
          <w:jc w:val="center"/>
        </w:trPr>
        <w:tc>
          <w:tcPr>
            <w:tcW w:w="4912" w:type="dxa"/>
            <w:shd w:val="clear" w:color="auto" w:fill="DBE5F1" w:themeFill="accent1" w:themeFillTint="33"/>
            <w:vAlign w:val="center"/>
          </w:tcPr>
          <w:p w:rsidR="00266DA8" w:rsidRPr="006579CE" w:rsidRDefault="00266DA8" w:rsidP="00017B79">
            <w:pPr>
              <w:ind w:left="0"/>
              <w:rPr>
                <w:sz w:val="20"/>
                <w:szCs w:val="20"/>
              </w:rPr>
            </w:pPr>
            <w:r w:rsidRPr="006579CE">
              <w:rPr>
                <w:b/>
                <w:bCs/>
                <w:color w:val="000000"/>
                <w:sz w:val="20"/>
                <w:szCs w:val="20"/>
              </w:rPr>
              <w:t>Kategória regiónu</w:t>
            </w:r>
          </w:p>
        </w:tc>
        <w:tc>
          <w:tcPr>
            <w:tcW w:w="4160" w:type="dxa"/>
            <w:gridSpan w:val="2"/>
            <w:shd w:val="clear" w:color="auto" w:fill="DBE5F1" w:themeFill="accent1" w:themeFillTint="33"/>
            <w:vAlign w:val="center"/>
          </w:tcPr>
          <w:p w:rsidR="00266DA8" w:rsidRPr="006579CE" w:rsidRDefault="00266DA8" w:rsidP="00017B79">
            <w:pPr>
              <w:ind w:left="0"/>
              <w:rPr>
                <w:sz w:val="20"/>
                <w:szCs w:val="20"/>
              </w:rPr>
            </w:pPr>
            <w:r w:rsidRPr="006579CE">
              <w:rPr>
                <w:sz w:val="20"/>
                <w:szCs w:val="20"/>
              </w:rPr>
              <w:t>N/A</w:t>
            </w:r>
          </w:p>
        </w:tc>
      </w:tr>
      <w:tr w:rsidR="00266DA8" w:rsidTr="00860E18">
        <w:trPr>
          <w:trHeight w:val="255"/>
          <w:jc w:val="center"/>
        </w:trPr>
        <w:tc>
          <w:tcPr>
            <w:tcW w:w="4912" w:type="dxa"/>
            <w:vAlign w:val="center"/>
          </w:tcPr>
          <w:p w:rsidR="00266DA8" w:rsidRPr="00D479A4" w:rsidRDefault="00266DA8" w:rsidP="00017B79">
            <w:pPr>
              <w:ind w:left="0"/>
              <w:jc w:val="center"/>
              <w:rPr>
                <w:b/>
                <w:sz w:val="20"/>
                <w:szCs w:val="20"/>
              </w:rPr>
            </w:pPr>
            <w:r w:rsidRPr="00D479A4">
              <w:rPr>
                <w:b/>
                <w:sz w:val="20"/>
                <w:szCs w:val="20"/>
              </w:rPr>
              <w:t>Prioritná os</w:t>
            </w:r>
          </w:p>
        </w:tc>
        <w:tc>
          <w:tcPr>
            <w:tcW w:w="2120" w:type="dxa"/>
            <w:vAlign w:val="center"/>
          </w:tcPr>
          <w:p w:rsidR="00266DA8" w:rsidRPr="00D479A4" w:rsidRDefault="00266DA8" w:rsidP="00017B79">
            <w:pPr>
              <w:ind w:left="0"/>
              <w:jc w:val="center"/>
              <w:rPr>
                <w:b/>
                <w:sz w:val="20"/>
                <w:szCs w:val="20"/>
              </w:rPr>
            </w:pPr>
            <w:r w:rsidRPr="00D479A4">
              <w:rPr>
                <w:b/>
                <w:sz w:val="20"/>
                <w:szCs w:val="20"/>
              </w:rPr>
              <w:t>Kód</w:t>
            </w:r>
          </w:p>
        </w:tc>
        <w:tc>
          <w:tcPr>
            <w:tcW w:w="2040" w:type="dxa"/>
            <w:vAlign w:val="center"/>
          </w:tcPr>
          <w:p w:rsidR="00266DA8" w:rsidRPr="00D479A4" w:rsidRDefault="00266DA8" w:rsidP="00017B79">
            <w:pPr>
              <w:ind w:left="0"/>
              <w:jc w:val="center"/>
              <w:rPr>
                <w:b/>
                <w:sz w:val="20"/>
                <w:szCs w:val="20"/>
              </w:rPr>
            </w:pPr>
            <w:r w:rsidRPr="00D479A4">
              <w:rPr>
                <w:b/>
                <w:sz w:val="20"/>
                <w:szCs w:val="20"/>
              </w:rPr>
              <w:t>Suma (v EUR)</w:t>
            </w:r>
          </w:p>
        </w:tc>
      </w:tr>
      <w:tr w:rsidR="00860E18" w:rsidTr="00860E18">
        <w:trPr>
          <w:trHeight w:val="255"/>
          <w:jc w:val="center"/>
        </w:trPr>
        <w:tc>
          <w:tcPr>
            <w:tcW w:w="4912" w:type="dxa"/>
            <w:vMerge w:val="restart"/>
            <w:vAlign w:val="center"/>
          </w:tcPr>
          <w:p w:rsidR="00860E18" w:rsidRPr="00D479A4" w:rsidRDefault="00860E18" w:rsidP="001124FB">
            <w:pPr>
              <w:ind w:left="0"/>
              <w:rPr>
                <w:sz w:val="20"/>
                <w:szCs w:val="20"/>
              </w:rPr>
            </w:pPr>
            <w:r>
              <w:rPr>
                <w:sz w:val="20"/>
                <w:szCs w:val="20"/>
              </w:rPr>
              <w:t>Prioritná os 3 – Verejná osobná doprava</w:t>
            </w:r>
          </w:p>
        </w:tc>
        <w:tc>
          <w:tcPr>
            <w:tcW w:w="2120" w:type="dxa"/>
            <w:vAlign w:val="center"/>
          </w:tcPr>
          <w:p w:rsidR="00860E18" w:rsidRPr="00D479A4" w:rsidRDefault="00860E18" w:rsidP="00017B79">
            <w:pPr>
              <w:ind w:left="0"/>
              <w:jc w:val="center"/>
              <w:rPr>
                <w:sz w:val="20"/>
                <w:szCs w:val="20"/>
              </w:rPr>
            </w:pPr>
            <w:r>
              <w:rPr>
                <w:sz w:val="20"/>
                <w:szCs w:val="20"/>
              </w:rPr>
              <w:t>026</w:t>
            </w:r>
          </w:p>
        </w:tc>
        <w:tc>
          <w:tcPr>
            <w:tcW w:w="2040" w:type="dxa"/>
            <w:vAlign w:val="center"/>
          </w:tcPr>
          <w:p w:rsidR="00860E18" w:rsidRPr="00860E18" w:rsidRDefault="00860E18" w:rsidP="00860E18">
            <w:pPr>
              <w:ind w:left="0"/>
              <w:jc w:val="center"/>
              <w:rPr>
                <w:sz w:val="20"/>
                <w:szCs w:val="20"/>
              </w:rPr>
            </w:pPr>
            <w:r w:rsidRPr="00860E18">
              <w:rPr>
                <w:sz w:val="20"/>
                <w:szCs w:val="20"/>
              </w:rPr>
              <w:t>20 000 000</w:t>
            </w:r>
          </w:p>
        </w:tc>
      </w:tr>
      <w:tr w:rsidR="00860E18" w:rsidTr="00860E18">
        <w:trPr>
          <w:trHeight w:val="255"/>
          <w:jc w:val="center"/>
        </w:trPr>
        <w:tc>
          <w:tcPr>
            <w:tcW w:w="4912" w:type="dxa"/>
            <w:vMerge/>
            <w:vAlign w:val="center"/>
          </w:tcPr>
          <w:p w:rsidR="00860E18" w:rsidRPr="00D479A4" w:rsidRDefault="00860E18" w:rsidP="00017B79">
            <w:pPr>
              <w:ind w:left="0"/>
              <w:rPr>
                <w:sz w:val="20"/>
                <w:szCs w:val="20"/>
              </w:rPr>
            </w:pPr>
          </w:p>
        </w:tc>
        <w:tc>
          <w:tcPr>
            <w:tcW w:w="2120" w:type="dxa"/>
            <w:vAlign w:val="center"/>
          </w:tcPr>
          <w:p w:rsidR="00860E18" w:rsidRPr="00D479A4" w:rsidRDefault="00860E18" w:rsidP="00017B79">
            <w:pPr>
              <w:ind w:left="0"/>
              <w:jc w:val="center"/>
              <w:rPr>
                <w:sz w:val="20"/>
                <w:szCs w:val="20"/>
              </w:rPr>
            </w:pPr>
            <w:r>
              <w:rPr>
                <w:sz w:val="20"/>
                <w:szCs w:val="20"/>
              </w:rPr>
              <w:t>043</w:t>
            </w:r>
          </w:p>
        </w:tc>
        <w:tc>
          <w:tcPr>
            <w:tcW w:w="2040" w:type="dxa"/>
            <w:vAlign w:val="center"/>
          </w:tcPr>
          <w:p w:rsidR="00860E18" w:rsidRPr="00860E18" w:rsidRDefault="00860E18" w:rsidP="00860E18">
            <w:pPr>
              <w:ind w:left="0"/>
              <w:jc w:val="center"/>
              <w:rPr>
                <w:sz w:val="20"/>
                <w:szCs w:val="20"/>
              </w:rPr>
            </w:pPr>
            <w:r w:rsidRPr="00860E18">
              <w:rPr>
                <w:sz w:val="20"/>
                <w:szCs w:val="20"/>
              </w:rPr>
              <w:t>302 350 000</w:t>
            </w:r>
          </w:p>
        </w:tc>
      </w:tr>
    </w:tbl>
    <w:p w:rsidR="00266DA8" w:rsidRPr="006579CE" w:rsidRDefault="00266DA8" w:rsidP="00266DA8">
      <w:pPr>
        <w:pStyle w:val="Tab"/>
      </w:pPr>
    </w:p>
    <w:tbl>
      <w:tblPr>
        <w:tblStyle w:val="Mriekatabuky"/>
        <w:tblW w:w="9072" w:type="dxa"/>
        <w:jc w:val="center"/>
        <w:tblLook w:val="04A0"/>
      </w:tblPr>
      <w:tblGrid>
        <w:gridCol w:w="4913"/>
        <w:gridCol w:w="2120"/>
        <w:gridCol w:w="2039"/>
      </w:tblGrid>
      <w:tr w:rsidR="00266DA8" w:rsidTr="00017B79">
        <w:trPr>
          <w:trHeight w:val="255"/>
          <w:jc w:val="center"/>
        </w:trPr>
        <w:tc>
          <w:tcPr>
            <w:tcW w:w="9098" w:type="dxa"/>
            <w:gridSpan w:val="3"/>
            <w:shd w:val="clear" w:color="auto" w:fill="DBE5F1" w:themeFill="accent1" w:themeFillTint="33"/>
            <w:vAlign w:val="center"/>
          </w:tcPr>
          <w:p w:rsidR="00266DA8" w:rsidRPr="00860E18" w:rsidRDefault="00266DA8" w:rsidP="00017B79">
            <w:pPr>
              <w:pStyle w:val="Default"/>
              <w:autoSpaceDE/>
              <w:autoSpaceDN/>
              <w:adjustRightInd/>
              <w:ind w:left="0"/>
              <w:rPr>
                <w:sz w:val="20"/>
                <w:szCs w:val="20"/>
              </w:rPr>
            </w:pPr>
            <w:r w:rsidRPr="00860E18">
              <w:rPr>
                <w:b/>
                <w:bCs/>
                <w:sz w:val="20"/>
                <w:szCs w:val="20"/>
              </w:rPr>
              <w:t xml:space="preserve">Rozmer 2 – Forma financovania </w:t>
            </w:r>
          </w:p>
        </w:tc>
      </w:tr>
      <w:tr w:rsidR="00266DA8" w:rsidTr="00017B79">
        <w:trPr>
          <w:trHeight w:val="255"/>
          <w:jc w:val="center"/>
        </w:trPr>
        <w:tc>
          <w:tcPr>
            <w:tcW w:w="4928" w:type="dxa"/>
            <w:shd w:val="clear" w:color="auto" w:fill="DBE5F1" w:themeFill="accent1" w:themeFillTint="33"/>
            <w:vAlign w:val="center"/>
          </w:tcPr>
          <w:p w:rsidR="00266DA8" w:rsidRPr="00860E18" w:rsidRDefault="00266DA8" w:rsidP="00017B79">
            <w:pPr>
              <w:pStyle w:val="Default"/>
              <w:autoSpaceDE/>
              <w:autoSpaceDN/>
              <w:adjustRightInd/>
              <w:ind w:left="0"/>
              <w:rPr>
                <w:b/>
                <w:bCs/>
                <w:sz w:val="20"/>
                <w:szCs w:val="20"/>
              </w:rPr>
            </w:pPr>
            <w:r w:rsidRPr="00860E18">
              <w:rPr>
                <w:b/>
                <w:bCs/>
                <w:sz w:val="20"/>
                <w:szCs w:val="20"/>
              </w:rPr>
              <w:t>Fond</w:t>
            </w:r>
          </w:p>
        </w:tc>
        <w:tc>
          <w:tcPr>
            <w:tcW w:w="4170" w:type="dxa"/>
            <w:gridSpan w:val="2"/>
            <w:shd w:val="clear" w:color="auto" w:fill="DBE5F1" w:themeFill="accent1" w:themeFillTint="33"/>
            <w:vAlign w:val="center"/>
          </w:tcPr>
          <w:p w:rsidR="00266DA8" w:rsidRPr="00860E18" w:rsidRDefault="00266DA8" w:rsidP="00017B79">
            <w:pPr>
              <w:pStyle w:val="Default"/>
              <w:autoSpaceDE/>
              <w:autoSpaceDN/>
              <w:adjustRightInd/>
              <w:ind w:left="0"/>
              <w:rPr>
                <w:bCs/>
                <w:sz w:val="20"/>
                <w:szCs w:val="20"/>
              </w:rPr>
            </w:pPr>
            <w:r w:rsidRPr="00860E18">
              <w:rPr>
                <w:bCs/>
                <w:sz w:val="20"/>
                <w:szCs w:val="20"/>
              </w:rPr>
              <w:t>Kohézny fond</w:t>
            </w:r>
          </w:p>
        </w:tc>
      </w:tr>
      <w:tr w:rsidR="00266DA8" w:rsidTr="00017B79">
        <w:trPr>
          <w:trHeight w:val="255"/>
          <w:jc w:val="center"/>
        </w:trPr>
        <w:tc>
          <w:tcPr>
            <w:tcW w:w="4928" w:type="dxa"/>
            <w:shd w:val="clear" w:color="auto" w:fill="DBE5F1" w:themeFill="accent1" w:themeFillTint="33"/>
            <w:vAlign w:val="center"/>
          </w:tcPr>
          <w:p w:rsidR="00266DA8" w:rsidRPr="00860E18" w:rsidRDefault="00266DA8" w:rsidP="00017B79">
            <w:pPr>
              <w:ind w:left="0"/>
              <w:rPr>
                <w:sz w:val="20"/>
                <w:szCs w:val="20"/>
              </w:rPr>
            </w:pPr>
            <w:r w:rsidRPr="00860E18">
              <w:rPr>
                <w:b/>
                <w:bCs/>
                <w:color w:val="000000"/>
                <w:sz w:val="20"/>
                <w:szCs w:val="20"/>
              </w:rPr>
              <w:t>Kategória regiónu</w:t>
            </w:r>
          </w:p>
        </w:tc>
        <w:tc>
          <w:tcPr>
            <w:tcW w:w="4170" w:type="dxa"/>
            <w:gridSpan w:val="2"/>
            <w:shd w:val="clear" w:color="auto" w:fill="DBE5F1" w:themeFill="accent1" w:themeFillTint="33"/>
            <w:vAlign w:val="center"/>
          </w:tcPr>
          <w:p w:rsidR="00266DA8" w:rsidRPr="00860E18" w:rsidRDefault="00266DA8" w:rsidP="00017B79">
            <w:pPr>
              <w:ind w:left="0"/>
              <w:rPr>
                <w:sz w:val="20"/>
                <w:szCs w:val="20"/>
              </w:rPr>
            </w:pPr>
            <w:r w:rsidRPr="00860E18">
              <w:rPr>
                <w:sz w:val="20"/>
                <w:szCs w:val="20"/>
              </w:rPr>
              <w:t>N/A</w:t>
            </w:r>
          </w:p>
        </w:tc>
      </w:tr>
      <w:tr w:rsidR="00266DA8" w:rsidTr="00017B79">
        <w:trPr>
          <w:trHeight w:val="255"/>
          <w:jc w:val="center"/>
        </w:trPr>
        <w:tc>
          <w:tcPr>
            <w:tcW w:w="4928" w:type="dxa"/>
            <w:vAlign w:val="center"/>
          </w:tcPr>
          <w:p w:rsidR="00266DA8" w:rsidRPr="00860E18" w:rsidRDefault="00266DA8" w:rsidP="00017B79">
            <w:pPr>
              <w:ind w:left="0"/>
              <w:jc w:val="center"/>
              <w:rPr>
                <w:b/>
                <w:sz w:val="20"/>
                <w:szCs w:val="20"/>
              </w:rPr>
            </w:pPr>
            <w:r w:rsidRPr="00860E18">
              <w:rPr>
                <w:b/>
                <w:sz w:val="20"/>
                <w:szCs w:val="20"/>
              </w:rPr>
              <w:t>Prioritná os</w:t>
            </w:r>
          </w:p>
        </w:tc>
        <w:tc>
          <w:tcPr>
            <w:tcW w:w="2126" w:type="dxa"/>
            <w:vAlign w:val="center"/>
          </w:tcPr>
          <w:p w:rsidR="00266DA8" w:rsidRPr="00860E18" w:rsidRDefault="00266DA8" w:rsidP="00017B79">
            <w:pPr>
              <w:ind w:left="0"/>
              <w:jc w:val="center"/>
              <w:rPr>
                <w:b/>
                <w:sz w:val="20"/>
                <w:szCs w:val="20"/>
              </w:rPr>
            </w:pPr>
            <w:r w:rsidRPr="00860E18">
              <w:rPr>
                <w:b/>
                <w:sz w:val="20"/>
                <w:szCs w:val="20"/>
              </w:rPr>
              <w:t>Kód</w:t>
            </w:r>
          </w:p>
        </w:tc>
        <w:tc>
          <w:tcPr>
            <w:tcW w:w="2044" w:type="dxa"/>
            <w:vAlign w:val="center"/>
          </w:tcPr>
          <w:p w:rsidR="00266DA8" w:rsidRPr="00860E18" w:rsidRDefault="00266DA8" w:rsidP="00017B79">
            <w:pPr>
              <w:ind w:left="0"/>
              <w:jc w:val="center"/>
              <w:rPr>
                <w:b/>
                <w:sz w:val="20"/>
                <w:szCs w:val="20"/>
              </w:rPr>
            </w:pPr>
            <w:r w:rsidRPr="00860E18">
              <w:rPr>
                <w:b/>
                <w:sz w:val="20"/>
                <w:szCs w:val="20"/>
              </w:rPr>
              <w:t>Suma (v EUR)</w:t>
            </w:r>
          </w:p>
        </w:tc>
      </w:tr>
      <w:tr w:rsidR="00266DA8" w:rsidTr="00017B79">
        <w:trPr>
          <w:trHeight w:val="255"/>
          <w:jc w:val="center"/>
        </w:trPr>
        <w:tc>
          <w:tcPr>
            <w:tcW w:w="4928" w:type="dxa"/>
            <w:vMerge w:val="restart"/>
            <w:vAlign w:val="center"/>
          </w:tcPr>
          <w:p w:rsidR="00266DA8" w:rsidRPr="00860E18" w:rsidRDefault="001124FB" w:rsidP="00017B79">
            <w:pPr>
              <w:ind w:left="0"/>
              <w:rPr>
                <w:sz w:val="20"/>
                <w:szCs w:val="20"/>
              </w:rPr>
            </w:pPr>
            <w:r w:rsidRPr="00860E18">
              <w:rPr>
                <w:sz w:val="20"/>
                <w:szCs w:val="20"/>
              </w:rPr>
              <w:t>Prioritná os 3 – Verejná osobná doprava</w:t>
            </w:r>
          </w:p>
        </w:tc>
        <w:tc>
          <w:tcPr>
            <w:tcW w:w="2126" w:type="dxa"/>
            <w:vAlign w:val="center"/>
          </w:tcPr>
          <w:p w:rsidR="00266DA8" w:rsidRPr="00860E18" w:rsidRDefault="00266DA8" w:rsidP="00017B79">
            <w:pPr>
              <w:ind w:left="0"/>
              <w:jc w:val="center"/>
              <w:rPr>
                <w:sz w:val="20"/>
                <w:szCs w:val="20"/>
              </w:rPr>
            </w:pPr>
            <w:r w:rsidRPr="00860E18">
              <w:rPr>
                <w:sz w:val="20"/>
                <w:szCs w:val="20"/>
              </w:rPr>
              <w:t>01</w:t>
            </w:r>
          </w:p>
        </w:tc>
        <w:tc>
          <w:tcPr>
            <w:tcW w:w="2044" w:type="dxa"/>
            <w:vAlign w:val="center"/>
          </w:tcPr>
          <w:p w:rsidR="00266DA8" w:rsidRPr="00860E18" w:rsidRDefault="00860E18" w:rsidP="00017B79">
            <w:pPr>
              <w:ind w:left="0"/>
              <w:jc w:val="center"/>
              <w:rPr>
                <w:sz w:val="20"/>
                <w:szCs w:val="20"/>
              </w:rPr>
            </w:pPr>
            <w:r w:rsidRPr="00860E18">
              <w:rPr>
                <w:sz w:val="20"/>
                <w:szCs w:val="20"/>
              </w:rPr>
              <w:t>312 679 500</w:t>
            </w:r>
          </w:p>
        </w:tc>
      </w:tr>
      <w:tr w:rsidR="00266DA8" w:rsidTr="00017B79">
        <w:trPr>
          <w:trHeight w:val="255"/>
          <w:jc w:val="center"/>
        </w:trPr>
        <w:tc>
          <w:tcPr>
            <w:tcW w:w="4928" w:type="dxa"/>
            <w:vMerge/>
            <w:vAlign w:val="center"/>
          </w:tcPr>
          <w:p w:rsidR="00266DA8" w:rsidRPr="00860E18" w:rsidRDefault="00266DA8" w:rsidP="00017B79">
            <w:pPr>
              <w:ind w:left="0"/>
              <w:rPr>
                <w:sz w:val="20"/>
                <w:szCs w:val="20"/>
              </w:rPr>
            </w:pPr>
          </w:p>
        </w:tc>
        <w:tc>
          <w:tcPr>
            <w:tcW w:w="2126" w:type="dxa"/>
            <w:vAlign w:val="center"/>
          </w:tcPr>
          <w:p w:rsidR="00266DA8" w:rsidRPr="00860E18" w:rsidRDefault="00266DA8" w:rsidP="00017B79">
            <w:pPr>
              <w:ind w:left="0"/>
              <w:jc w:val="center"/>
              <w:rPr>
                <w:sz w:val="20"/>
                <w:szCs w:val="20"/>
              </w:rPr>
            </w:pPr>
            <w:r w:rsidRPr="00860E18">
              <w:rPr>
                <w:sz w:val="20"/>
                <w:szCs w:val="20"/>
              </w:rPr>
              <w:t>02</w:t>
            </w:r>
          </w:p>
        </w:tc>
        <w:tc>
          <w:tcPr>
            <w:tcW w:w="2044" w:type="dxa"/>
            <w:vAlign w:val="center"/>
          </w:tcPr>
          <w:p w:rsidR="00266DA8" w:rsidRPr="00860E18" w:rsidRDefault="00860E18" w:rsidP="00017B79">
            <w:pPr>
              <w:ind w:left="0"/>
              <w:jc w:val="center"/>
              <w:rPr>
                <w:sz w:val="20"/>
                <w:szCs w:val="20"/>
              </w:rPr>
            </w:pPr>
            <w:r w:rsidRPr="00860E18">
              <w:rPr>
                <w:sz w:val="20"/>
                <w:szCs w:val="20"/>
              </w:rPr>
              <w:t>9 670 500</w:t>
            </w:r>
          </w:p>
        </w:tc>
      </w:tr>
    </w:tbl>
    <w:p w:rsidR="00266DA8" w:rsidRPr="006579CE" w:rsidRDefault="00266DA8" w:rsidP="00266DA8">
      <w:pPr>
        <w:pStyle w:val="Tab"/>
      </w:pPr>
    </w:p>
    <w:tbl>
      <w:tblPr>
        <w:tblStyle w:val="Mriekatabuky"/>
        <w:tblW w:w="9072" w:type="dxa"/>
        <w:jc w:val="center"/>
        <w:tblLook w:val="04A0"/>
      </w:tblPr>
      <w:tblGrid>
        <w:gridCol w:w="4913"/>
        <w:gridCol w:w="2120"/>
        <w:gridCol w:w="2039"/>
      </w:tblGrid>
      <w:tr w:rsidR="00266DA8" w:rsidTr="00017B79">
        <w:trPr>
          <w:trHeight w:val="255"/>
          <w:jc w:val="center"/>
        </w:trPr>
        <w:tc>
          <w:tcPr>
            <w:tcW w:w="9098" w:type="dxa"/>
            <w:gridSpan w:val="3"/>
            <w:shd w:val="clear" w:color="auto" w:fill="DBE5F1" w:themeFill="accent1" w:themeFillTint="33"/>
            <w:vAlign w:val="center"/>
          </w:tcPr>
          <w:p w:rsidR="00266DA8" w:rsidRPr="006579CE" w:rsidRDefault="00266DA8" w:rsidP="00017B79">
            <w:pPr>
              <w:pStyle w:val="Default"/>
              <w:autoSpaceDE/>
              <w:autoSpaceDN/>
              <w:adjustRightInd/>
              <w:ind w:left="0"/>
              <w:rPr>
                <w:sz w:val="20"/>
                <w:szCs w:val="20"/>
              </w:rPr>
            </w:pPr>
            <w:r>
              <w:rPr>
                <w:b/>
                <w:bCs/>
                <w:sz w:val="20"/>
                <w:szCs w:val="20"/>
              </w:rPr>
              <w:t xml:space="preserve">Rozmer 3 – Druh územia </w:t>
            </w:r>
          </w:p>
        </w:tc>
      </w:tr>
      <w:tr w:rsidR="00266DA8" w:rsidTr="00017B79">
        <w:trPr>
          <w:trHeight w:val="255"/>
          <w:jc w:val="center"/>
        </w:trPr>
        <w:tc>
          <w:tcPr>
            <w:tcW w:w="4928" w:type="dxa"/>
            <w:shd w:val="clear" w:color="auto" w:fill="DBE5F1" w:themeFill="accent1" w:themeFillTint="33"/>
            <w:vAlign w:val="center"/>
          </w:tcPr>
          <w:p w:rsidR="00266DA8" w:rsidRPr="006579CE" w:rsidRDefault="00266DA8" w:rsidP="00017B79">
            <w:pPr>
              <w:pStyle w:val="Default"/>
              <w:autoSpaceDE/>
              <w:autoSpaceDN/>
              <w:adjustRightInd/>
              <w:ind w:left="0"/>
              <w:rPr>
                <w:b/>
                <w:bCs/>
                <w:sz w:val="20"/>
                <w:szCs w:val="20"/>
              </w:rPr>
            </w:pPr>
            <w:r w:rsidRPr="006579CE">
              <w:rPr>
                <w:b/>
                <w:bCs/>
                <w:sz w:val="20"/>
                <w:szCs w:val="20"/>
              </w:rPr>
              <w:t>Fond</w:t>
            </w:r>
          </w:p>
        </w:tc>
        <w:tc>
          <w:tcPr>
            <w:tcW w:w="4170" w:type="dxa"/>
            <w:gridSpan w:val="2"/>
            <w:shd w:val="clear" w:color="auto" w:fill="DBE5F1" w:themeFill="accent1" w:themeFillTint="33"/>
            <w:vAlign w:val="center"/>
          </w:tcPr>
          <w:p w:rsidR="00266DA8" w:rsidRPr="006579CE" w:rsidRDefault="00266DA8" w:rsidP="00017B79">
            <w:pPr>
              <w:pStyle w:val="Default"/>
              <w:autoSpaceDE/>
              <w:autoSpaceDN/>
              <w:adjustRightInd/>
              <w:ind w:left="0"/>
              <w:rPr>
                <w:bCs/>
                <w:sz w:val="20"/>
                <w:szCs w:val="20"/>
              </w:rPr>
            </w:pPr>
            <w:r w:rsidRPr="006579CE">
              <w:rPr>
                <w:bCs/>
                <w:sz w:val="20"/>
                <w:szCs w:val="20"/>
              </w:rPr>
              <w:t>Kohézny fond</w:t>
            </w:r>
          </w:p>
        </w:tc>
      </w:tr>
      <w:tr w:rsidR="00266DA8" w:rsidTr="00017B79">
        <w:trPr>
          <w:trHeight w:val="255"/>
          <w:jc w:val="center"/>
        </w:trPr>
        <w:tc>
          <w:tcPr>
            <w:tcW w:w="4928" w:type="dxa"/>
            <w:shd w:val="clear" w:color="auto" w:fill="DBE5F1" w:themeFill="accent1" w:themeFillTint="33"/>
            <w:vAlign w:val="center"/>
          </w:tcPr>
          <w:p w:rsidR="00266DA8" w:rsidRPr="006579CE" w:rsidRDefault="00266DA8" w:rsidP="00017B79">
            <w:pPr>
              <w:ind w:left="0"/>
              <w:rPr>
                <w:sz w:val="20"/>
                <w:szCs w:val="20"/>
              </w:rPr>
            </w:pPr>
            <w:r w:rsidRPr="006579CE">
              <w:rPr>
                <w:b/>
                <w:bCs/>
                <w:color w:val="000000"/>
                <w:sz w:val="20"/>
                <w:szCs w:val="20"/>
              </w:rPr>
              <w:t>Kategória regiónu</w:t>
            </w:r>
          </w:p>
        </w:tc>
        <w:tc>
          <w:tcPr>
            <w:tcW w:w="4170" w:type="dxa"/>
            <w:gridSpan w:val="2"/>
            <w:shd w:val="clear" w:color="auto" w:fill="DBE5F1" w:themeFill="accent1" w:themeFillTint="33"/>
            <w:vAlign w:val="center"/>
          </w:tcPr>
          <w:p w:rsidR="00266DA8" w:rsidRPr="006579CE" w:rsidRDefault="00266DA8" w:rsidP="00017B79">
            <w:pPr>
              <w:ind w:left="0"/>
              <w:rPr>
                <w:sz w:val="20"/>
                <w:szCs w:val="20"/>
              </w:rPr>
            </w:pPr>
            <w:r w:rsidRPr="006579CE">
              <w:rPr>
                <w:sz w:val="20"/>
                <w:szCs w:val="20"/>
              </w:rPr>
              <w:t>N/A</w:t>
            </w:r>
          </w:p>
        </w:tc>
      </w:tr>
      <w:tr w:rsidR="00266DA8" w:rsidTr="00017B79">
        <w:trPr>
          <w:trHeight w:val="255"/>
          <w:jc w:val="center"/>
        </w:trPr>
        <w:tc>
          <w:tcPr>
            <w:tcW w:w="4928" w:type="dxa"/>
            <w:vAlign w:val="center"/>
          </w:tcPr>
          <w:p w:rsidR="00266DA8" w:rsidRPr="00D479A4" w:rsidRDefault="00266DA8" w:rsidP="00017B79">
            <w:pPr>
              <w:ind w:left="0"/>
              <w:jc w:val="center"/>
              <w:rPr>
                <w:b/>
                <w:sz w:val="20"/>
                <w:szCs w:val="20"/>
              </w:rPr>
            </w:pPr>
            <w:r w:rsidRPr="00D479A4">
              <w:rPr>
                <w:b/>
                <w:sz w:val="20"/>
                <w:szCs w:val="20"/>
              </w:rPr>
              <w:t>Prioritná os</w:t>
            </w:r>
          </w:p>
        </w:tc>
        <w:tc>
          <w:tcPr>
            <w:tcW w:w="2126" w:type="dxa"/>
            <w:vAlign w:val="center"/>
          </w:tcPr>
          <w:p w:rsidR="00266DA8" w:rsidRPr="00D479A4" w:rsidRDefault="00266DA8" w:rsidP="00017B79">
            <w:pPr>
              <w:ind w:left="0"/>
              <w:jc w:val="center"/>
              <w:rPr>
                <w:b/>
                <w:sz w:val="20"/>
                <w:szCs w:val="20"/>
              </w:rPr>
            </w:pPr>
            <w:r w:rsidRPr="00D479A4">
              <w:rPr>
                <w:b/>
                <w:sz w:val="20"/>
                <w:szCs w:val="20"/>
              </w:rPr>
              <w:t>Kód</w:t>
            </w:r>
          </w:p>
        </w:tc>
        <w:tc>
          <w:tcPr>
            <w:tcW w:w="2044" w:type="dxa"/>
            <w:vAlign w:val="center"/>
          </w:tcPr>
          <w:p w:rsidR="00266DA8" w:rsidRPr="00D479A4" w:rsidRDefault="00266DA8" w:rsidP="00017B79">
            <w:pPr>
              <w:ind w:left="0"/>
              <w:jc w:val="center"/>
              <w:rPr>
                <w:b/>
                <w:sz w:val="20"/>
                <w:szCs w:val="20"/>
              </w:rPr>
            </w:pPr>
            <w:r w:rsidRPr="00D479A4">
              <w:rPr>
                <w:b/>
                <w:sz w:val="20"/>
                <w:szCs w:val="20"/>
              </w:rPr>
              <w:t>Suma (v EUR)</w:t>
            </w:r>
          </w:p>
        </w:tc>
      </w:tr>
      <w:tr w:rsidR="00266DA8" w:rsidTr="00017B79">
        <w:trPr>
          <w:trHeight w:val="255"/>
          <w:jc w:val="center"/>
        </w:trPr>
        <w:tc>
          <w:tcPr>
            <w:tcW w:w="4928" w:type="dxa"/>
            <w:vAlign w:val="center"/>
          </w:tcPr>
          <w:p w:rsidR="00266DA8" w:rsidRPr="00D479A4" w:rsidRDefault="001124FB" w:rsidP="00017B79">
            <w:pPr>
              <w:ind w:left="0"/>
              <w:rPr>
                <w:sz w:val="20"/>
                <w:szCs w:val="20"/>
              </w:rPr>
            </w:pPr>
            <w:r>
              <w:rPr>
                <w:sz w:val="20"/>
                <w:szCs w:val="20"/>
              </w:rPr>
              <w:t>Prioritná os 3 – Verejná osobná doprava</w:t>
            </w:r>
          </w:p>
        </w:tc>
        <w:tc>
          <w:tcPr>
            <w:tcW w:w="2126" w:type="dxa"/>
            <w:vAlign w:val="center"/>
          </w:tcPr>
          <w:p w:rsidR="00266DA8" w:rsidRPr="00D479A4" w:rsidRDefault="00266DA8" w:rsidP="00017B79">
            <w:pPr>
              <w:ind w:left="0"/>
              <w:jc w:val="center"/>
              <w:rPr>
                <w:sz w:val="20"/>
                <w:szCs w:val="20"/>
              </w:rPr>
            </w:pPr>
            <w:r>
              <w:rPr>
                <w:sz w:val="20"/>
                <w:szCs w:val="20"/>
              </w:rPr>
              <w:t>01</w:t>
            </w:r>
          </w:p>
        </w:tc>
        <w:tc>
          <w:tcPr>
            <w:tcW w:w="2044" w:type="dxa"/>
            <w:vAlign w:val="center"/>
          </w:tcPr>
          <w:p w:rsidR="00266DA8" w:rsidRPr="006B762B" w:rsidRDefault="00860E18" w:rsidP="00017B79">
            <w:pPr>
              <w:ind w:left="0"/>
              <w:jc w:val="center"/>
              <w:rPr>
                <w:sz w:val="20"/>
                <w:szCs w:val="20"/>
                <w:lang w:val="en-US"/>
              </w:rPr>
            </w:pPr>
            <w:r>
              <w:rPr>
                <w:sz w:val="20"/>
                <w:szCs w:val="20"/>
                <w:lang w:val="en-US"/>
              </w:rPr>
              <w:t>322 350 000</w:t>
            </w:r>
          </w:p>
        </w:tc>
      </w:tr>
    </w:tbl>
    <w:p w:rsidR="0075315D" w:rsidRPr="0075315D" w:rsidRDefault="0075315D" w:rsidP="0075315D">
      <w:pPr>
        <w:pStyle w:val="Tab"/>
      </w:pPr>
    </w:p>
    <w:tbl>
      <w:tblPr>
        <w:tblStyle w:val="Mriekatabuky"/>
        <w:tblW w:w="9072" w:type="dxa"/>
        <w:jc w:val="center"/>
        <w:tblLook w:val="04A0"/>
      </w:tblPr>
      <w:tblGrid>
        <w:gridCol w:w="4913"/>
        <w:gridCol w:w="2120"/>
        <w:gridCol w:w="2039"/>
      </w:tblGrid>
      <w:tr w:rsidR="00266DA8" w:rsidTr="00017B79">
        <w:trPr>
          <w:trHeight w:val="255"/>
          <w:jc w:val="center"/>
        </w:trPr>
        <w:tc>
          <w:tcPr>
            <w:tcW w:w="9098" w:type="dxa"/>
            <w:gridSpan w:val="3"/>
            <w:shd w:val="clear" w:color="auto" w:fill="DBE5F1" w:themeFill="accent1" w:themeFillTint="33"/>
            <w:vAlign w:val="center"/>
          </w:tcPr>
          <w:p w:rsidR="00266DA8" w:rsidRPr="008C1732" w:rsidRDefault="00266DA8" w:rsidP="00017B79">
            <w:pPr>
              <w:pStyle w:val="Default"/>
              <w:autoSpaceDE/>
              <w:autoSpaceDN/>
              <w:adjustRightInd/>
              <w:ind w:left="0"/>
              <w:rPr>
                <w:b/>
                <w:bCs/>
                <w:sz w:val="20"/>
                <w:szCs w:val="20"/>
              </w:rPr>
            </w:pPr>
            <w:r>
              <w:rPr>
                <w:b/>
                <w:bCs/>
                <w:sz w:val="20"/>
                <w:szCs w:val="20"/>
              </w:rPr>
              <w:t>Rozmer 4 – Územné mechanizmy realizácie</w:t>
            </w:r>
          </w:p>
        </w:tc>
      </w:tr>
      <w:tr w:rsidR="00266DA8" w:rsidTr="00017B79">
        <w:trPr>
          <w:trHeight w:val="255"/>
          <w:jc w:val="center"/>
        </w:trPr>
        <w:tc>
          <w:tcPr>
            <w:tcW w:w="4928" w:type="dxa"/>
            <w:shd w:val="clear" w:color="auto" w:fill="DBE5F1" w:themeFill="accent1" w:themeFillTint="33"/>
            <w:vAlign w:val="center"/>
          </w:tcPr>
          <w:p w:rsidR="00266DA8" w:rsidRPr="006579CE" w:rsidRDefault="00266DA8" w:rsidP="00017B79">
            <w:pPr>
              <w:pStyle w:val="Default"/>
              <w:autoSpaceDE/>
              <w:autoSpaceDN/>
              <w:adjustRightInd/>
              <w:ind w:left="0"/>
              <w:rPr>
                <w:b/>
                <w:bCs/>
                <w:sz w:val="20"/>
                <w:szCs w:val="20"/>
              </w:rPr>
            </w:pPr>
            <w:r w:rsidRPr="006579CE">
              <w:rPr>
                <w:b/>
                <w:bCs/>
                <w:sz w:val="20"/>
                <w:szCs w:val="20"/>
              </w:rPr>
              <w:t>Fond</w:t>
            </w:r>
          </w:p>
        </w:tc>
        <w:tc>
          <w:tcPr>
            <w:tcW w:w="4170" w:type="dxa"/>
            <w:gridSpan w:val="2"/>
            <w:shd w:val="clear" w:color="auto" w:fill="DBE5F1" w:themeFill="accent1" w:themeFillTint="33"/>
            <w:vAlign w:val="center"/>
          </w:tcPr>
          <w:p w:rsidR="00266DA8" w:rsidRPr="006579CE" w:rsidRDefault="00266DA8" w:rsidP="00017B79">
            <w:pPr>
              <w:pStyle w:val="Default"/>
              <w:autoSpaceDE/>
              <w:autoSpaceDN/>
              <w:adjustRightInd/>
              <w:ind w:left="0"/>
              <w:rPr>
                <w:bCs/>
                <w:sz w:val="20"/>
                <w:szCs w:val="20"/>
              </w:rPr>
            </w:pPr>
            <w:r w:rsidRPr="006579CE">
              <w:rPr>
                <w:bCs/>
                <w:sz w:val="20"/>
                <w:szCs w:val="20"/>
              </w:rPr>
              <w:t>Kohézny fond</w:t>
            </w:r>
          </w:p>
        </w:tc>
      </w:tr>
      <w:tr w:rsidR="00266DA8" w:rsidTr="00017B79">
        <w:trPr>
          <w:trHeight w:val="255"/>
          <w:jc w:val="center"/>
        </w:trPr>
        <w:tc>
          <w:tcPr>
            <w:tcW w:w="4928" w:type="dxa"/>
            <w:shd w:val="clear" w:color="auto" w:fill="DBE5F1" w:themeFill="accent1" w:themeFillTint="33"/>
            <w:vAlign w:val="center"/>
          </w:tcPr>
          <w:p w:rsidR="00266DA8" w:rsidRPr="006579CE" w:rsidRDefault="00266DA8" w:rsidP="00017B79">
            <w:pPr>
              <w:ind w:left="0"/>
              <w:rPr>
                <w:sz w:val="20"/>
                <w:szCs w:val="20"/>
              </w:rPr>
            </w:pPr>
            <w:r w:rsidRPr="006579CE">
              <w:rPr>
                <w:b/>
                <w:bCs/>
                <w:color w:val="000000"/>
                <w:sz w:val="20"/>
                <w:szCs w:val="20"/>
              </w:rPr>
              <w:t>Kategória regiónu</w:t>
            </w:r>
          </w:p>
        </w:tc>
        <w:tc>
          <w:tcPr>
            <w:tcW w:w="4170" w:type="dxa"/>
            <w:gridSpan w:val="2"/>
            <w:shd w:val="clear" w:color="auto" w:fill="DBE5F1" w:themeFill="accent1" w:themeFillTint="33"/>
            <w:vAlign w:val="center"/>
          </w:tcPr>
          <w:p w:rsidR="00266DA8" w:rsidRPr="006579CE" w:rsidRDefault="00266DA8" w:rsidP="00017B79">
            <w:pPr>
              <w:ind w:left="0"/>
              <w:rPr>
                <w:sz w:val="20"/>
                <w:szCs w:val="20"/>
              </w:rPr>
            </w:pPr>
            <w:r w:rsidRPr="006579CE">
              <w:rPr>
                <w:sz w:val="20"/>
                <w:szCs w:val="20"/>
              </w:rPr>
              <w:t>N/A</w:t>
            </w:r>
          </w:p>
        </w:tc>
      </w:tr>
      <w:tr w:rsidR="00266DA8" w:rsidTr="00017B79">
        <w:trPr>
          <w:trHeight w:val="255"/>
          <w:jc w:val="center"/>
        </w:trPr>
        <w:tc>
          <w:tcPr>
            <w:tcW w:w="4928" w:type="dxa"/>
            <w:vAlign w:val="center"/>
          </w:tcPr>
          <w:p w:rsidR="00266DA8" w:rsidRPr="00D479A4" w:rsidRDefault="00266DA8" w:rsidP="00017B79">
            <w:pPr>
              <w:ind w:left="0"/>
              <w:jc w:val="center"/>
              <w:rPr>
                <w:b/>
                <w:sz w:val="20"/>
                <w:szCs w:val="20"/>
              </w:rPr>
            </w:pPr>
            <w:r w:rsidRPr="00D479A4">
              <w:rPr>
                <w:b/>
                <w:sz w:val="20"/>
                <w:szCs w:val="20"/>
              </w:rPr>
              <w:t>Prioritná os</w:t>
            </w:r>
          </w:p>
        </w:tc>
        <w:tc>
          <w:tcPr>
            <w:tcW w:w="2126" w:type="dxa"/>
            <w:vAlign w:val="center"/>
          </w:tcPr>
          <w:p w:rsidR="00266DA8" w:rsidRPr="00D479A4" w:rsidRDefault="00266DA8" w:rsidP="00017B79">
            <w:pPr>
              <w:ind w:left="0"/>
              <w:jc w:val="center"/>
              <w:rPr>
                <w:b/>
                <w:sz w:val="20"/>
                <w:szCs w:val="20"/>
              </w:rPr>
            </w:pPr>
            <w:r w:rsidRPr="00D479A4">
              <w:rPr>
                <w:b/>
                <w:sz w:val="20"/>
                <w:szCs w:val="20"/>
              </w:rPr>
              <w:t>Kód</w:t>
            </w:r>
          </w:p>
        </w:tc>
        <w:tc>
          <w:tcPr>
            <w:tcW w:w="2044" w:type="dxa"/>
            <w:vAlign w:val="center"/>
          </w:tcPr>
          <w:p w:rsidR="00266DA8" w:rsidRPr="00D479A4" w:rsidRDefault="00266DA8" w:rsidP="00017B79">
            <w:pPr>
              <w:ind w:left="0"/>
              <w:jc w:val="center"/>
              <w:rPr>
                <w:b/>
                <w:sz w:val="20"/>
                <w:szCs w:val="20"/>
              </w:rPr>
            </w:pPr>
            <w:r w:rsidRPr="00D479A4">
              <w:rPr>
                <w:b/>
                <w:sz w:val="20"/>
                <w:szCs w:val="20"/>
              </w:rPr>
              <w:t>Suma (v EUR)</w:t>
            </w:r>
          </w:p>
        </w:tc>
      </w:tr>
      <w:tr w:rsidR="00266DA8" w:rsidTr="00017B79">
        <w:trPr>
          <w:trHeight w:val="255"/>
          <w:jc w:val="center"/>
        </w:trPr>
        <w:tc>
          <w:tcPr>
            <w:tcW w:w="4928" w:type="dxa"/>
            <w:vAlign w:val="center"/>
          </w:tcPr>
          <w:p w:rsidR="00266DA8" w:rsidRPr="00D479A4" w:rsidRDefault="00860E18" w:rsidP="00017B79">
            <w:pPr>
              <w:ind w:left="0"/>
              <w:rPr>
                <w:sz w:val="20"/>
                <w:szCs w:val="20"/>
              </w:rPr>
            </w:pPr>
            <w:r>
              <w:rPr>
                <w:sz w:val="20"/>
                <w:szCs w:val="20"/>
              </w:rPr>
              <w:t>Prioritná os 3 – Verejná osobná doprava</w:t>
            </w:r>
          </w:p>
        </w:tc>
        <w:tc>
          <w:tcPr>
            <w:tcW w:w="2126" w:type="dxa"/>
            <w:vAlign w:val="center"/>
          </w:tcPr>
          <w:p w:rsidR="00266DA8" w:rsidRPr="00D479A4" w:rsidRDefault="00266DA8" w:rsidP="00017B79">
            <w:pPr>
              <w:ind w:left="0"/>
              <w:jc w:val="center"/>
              <w:rPr>
                <w:sz w:val="20"/>
                <w:szCs w:val="20"/>
              </w:rPr>
            </w:pPr>
            <w:r>
              <w:rPr>
                <w:sz w:val="20"/>
                <w:szCs w:val="20"/>
              </w:rPr>
              <w:t>01</w:t>
            </w:r>
          </w:p>
        </w:tc>
        <w:tc>
          <w:tcPr>
            <w:tcW w:w="2044" w:type="dxa"/>
            <w:vAlign w:val="center"/>
          </w:tcPr>
          <w:p w:rsidR="00266DA8" w:rsidRPr="00D479A4" w:rsidRDefault="00860E18" w:rsidP="00017B79">
            <w:pPr>
              <w:ind w:left="0"/>
              <w:jc w:val="center"/>
              <w:rPr>
                <w:sz w:val="20"/>
                <w:szCs w:val="20"/>
              </w:rPr>
            </w:pPr>
            <w:r>
              <w:rPr>
                <w:sz w:val="20"/>
                <w:szCs w:val="20"/>
                <w:lang w:val="en-US"/>
              </w:rPr>
              <w:t>322 350 000</w:t>
            </w:r>
          </w:p>
        </w:tc>
      </w:tr>
    </w:tbl>
    <w:p w:rsidR="00266DA8" w:rsidRDefault="00266DA8" w:rsidP="00266DA8">
      <w:pPr>
        <w:pStyle w:val="Nadpis3"/>
        <w:jc w:val="both"/>
      </w:pPr>
      <w:bookmarkStart w:id="40" w:name="_Toc385310699"/>
      <w:r>
        <w:t>Súhrn plánovaného využitia technickej pomoci vrátane, ak je to vhodné, akcií na posilnenie administratívnej kapacity orgánov zapojených do riadenia a kontroly programu a prijímateľov (ak je to vhodné)</w:t>
      </w:r>
      <w:bookmarkEnd w:id="40"/>
    </w:p>
    <w:p w:rsidR="00266DA8" w:rsidRDefault="00266DA8" w:rsidP="00266DA8">
      <w:pPr>
        <w:rPr>
          <w:sz w:val="22"/>
          <w:szCs w:val="22"/>
        </w:rPr>
      </w:pPr>
      <w:r w:rsidRPr="008C1732">
        <w:rPr>
          <w:sz w:val="22"/>
          <w:szCs w:val="22"/>
        </w:rPr>
        <w:t>N/A</w:t>
      </w:r>
    </w:p>
    <w:p w:rsidR="00266DA8" w:rsidRDefault="00266DA8" w:rsidP="006B762B">
      <w:pPr>
        <w:rPr>
          <w:sz w:val="22"/>
          <w:szCs w:val="22"/>
        </w:rPr>
      </w:pPr>
    </w:p>
    <w:p w:rsidR="006D24A5" w:rsidRDefault="006D24A5" w:rsidP="006B762B">
      <w:pPr>
        <w:rPr>
          <w:sz w:val="22"/>
          <w:szCs w:val="22"/>
        </w:rPr>
      </w:pPr>
    </w:p>
    <w:p w:rsidR="006D24A5" w:rsidRDefault="006D24A5" w:rsidP="006D24A5">
      <w:pPr>
        <w:pStyle w:val="Nadpis2"/>
        <w:sectPr w:rsidR="006D24A5" w:rsidSect="00D1658B">
          <w:headerReference w:type="default" r:id="rId23"/>
          <w:pgSz w:w="11906" w:h="16838"/>
          <w:pgMar w:top="1418" w:right="1361" w:bottom="1304" w:left="1474" w:header="709" w:footer="709" w:gutter="0"/>
          <w:cols w:space="708"/>
          <w:docGrid w:linePitch="360"/>
        </w:sectPr>
      </w:pPr>
    </w:p>
    <w:p w:rsidR="006D24A5" w:rsidRDefault="006D24A5" w:rsidP="00E01D5B">
      <w:pPr>
        <w:pStyle w:val="Nadpis2"/>
      </w:pPr>
      <w:bookmarkStart w:id="41" w:name="_Toc385310700"/>
      <w:r>
        <w:lastRenderedPageBreak/>
        <w:t xml:space="preserve">PRIORITNÁ OS </w:t>
      </w:r>
      <w:r w:rsidR="00266DA8">
        <w:t>4</w:t>
      </w:r>
      <w:r>
        <w:t xml:space="preserve">: </w:t>
      </w:r>
      <w:r w:rsidR="00266DA8">
        <w:t>INFRAŠTRUKTÚRA VODNEJ DOPRAVY (TEN-T CORE)</w:t>
      </w:r>
      <w:bookmarkEnd w:id="41"/>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033"/>
        <w:gridCol w:w="4039"/>
      </w:tblGrid>
      <w:tr w:rsidR="00E01D5B" w:rsidTr="002E1021">
        <w:trPr>
          <w:trHeight w:hRule="exact" w:val="284"/>
          <w:jc w:val="center"/>
        </w:trPr>
        <w:tc>
          <w:tcPr>
            <w:tcW w:w="4404" w:type="dxa"/>
            <w:shd w:val="clear" w:color="auto" w:fill="DBE5F1" w:themeFill="accent1" w:themeFillTint="33"/>
            <w:vAlign w:val="center"/>
          </w:tcPr>
          <w:p w:rsidR="00E01D5B" w:rsidRDefault="00E01D5B" w:rsidP="005139F6">
            <w:pPr>
              <w:ind w:left="0"/>
            </w:pPr>
            <w:r w:rsidRPr="00863337">
              <w:rPr>
                <w:b/>
                <w:i/>
                <w:sz w:val="20"/>
                <w:szCs w:val="20"/>
              </w:rPr>
              <w:t>ID prioritnej osi</w:t>
            </w:r>
          </w:p>
        </w:tc>
        <w:tc>
          <w:tcPr>
            <w:tcW w:w="3534" w:type="dxa"/>
          </w:tcPr>
          <w:p w:rsidR="00E01D5B" w:rsidRDefault="00E01D5B" w:rsidP="005139F6">
            <w:pPr>
              <w:pStyle w:val="PRIORITNA"/>
              <w:numPr>
                <w:ilvl w:val="0"/>
                <w:numId w:val="0"/>
              </w:numPr>
            </w:pPr>
          </w:p>
        </w:tc>
      </w:tr>
      <w:tr w:rsidR="00E01D5B" w:rsidTr="002E1021">
        <w:trPr>
          <w:trHeight w:hRule="exact" w:val="284"/>
          <w:jc w:val="center"/>
        </w:trPr>
        <w:tc>
          <w:tcPr>
            <w:tcW w:w="4404" w:type="dxa"/>
            <w:shd w:val="clear" w:color="auto" w:fill="DBE5F1" w:themeFill="accent1" w:themeFillTint="33"/>
            <w:vAlign w:val="center"/>
          </w:tcPr>
          <w:p w:rsidR="00E01D5B" w:rsidRPr="003D6170" w:rsidRDefault="00E01D5B" w:rsidP="003D6170">
            <w:pPr>
              <w:ind w:left="0"/>
            </w:pPr>
            <w:r w:rsidRPr="003D6170">
              <w:rPr>
                <w:b/>
                <w:i/>
                <w:sz w:val="20"/>
                <w:szCs w:val="20"/>
              </w:rPr>
              <w:t>Názov prioritnej osi</w:t>
            </w:r>
          </w:p>
        </w:tc>
        <w:tc>
          <w:tcPr>
            <w:tcW w:w="3534" w:type="dxa"/>
            <w:vAlign w:val="center"/>
          </w:tcPr>
          <w:p w:rsidR="00E01D5B" w:rsidRPr="00750A42" w:rsidRDefault="005139F6" w:rsidP="005139F6">
            <w:pPr>
              <w:ind w:left="0"/>
              <w:rPr>
                <w:sz w:val="20"/>
                <w:szCs w:val="20"/>
              </w:rPr>
            </w:pPr>
            <w:r>
              <w:rPr>
                <w:sz w:val="20"/>
                <w:szCs w:val="20"/>
              </w:rPr>
              <w:t>Infraštruktúra vodnej dopravy (TEN-T CORE)</w:t>
            </w:r>
          </w:p>
        </w:tc>
      </w:tr>
    </w:tbl>
    <w:p w:rsidR="00E01D5B" w:rsidRDefault="00E01D5B" w:rsidP="00E01D5B">
      <w:pPr>
        <w:pStyle w:val="PRIORITNA"/>
        <w:numPr>
          <w:ilvl w:val="0"/>
          <w:numId w:val="0"/>
        </w:numPr>
        <w:spacing w:after="0"/>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024"/>
        <w:gridCol w:w="4048"/>
      </w:tblGrid>
      <w:tr w:rsidR="00E01D5B" w:rsidRPr="00765DFA" w:rsidTr="002E1021">
        <w:trPr>
          <w:trHeight w:val="255"/>
          <w:jc w:val="center"/>
        </w:trPr>
        <w:tc>
          <w:tcPr>
            <w:tcW w:w="4396" w:type="dxa"/>
            <w:shd w:val="clear" w:color="auto" w:fill="DBE5F1" w:themeFill="accent1" w:themeFillTint="33"/>
            <w:vAlign w:val="center"/>
          </w:tcPr>
          <w:p w:rsidR="00E01D5B" w:rsidRPr="00765DFA" w:rsidRDefault="00E01D5B" w:rsidP="005139F6">
            <w:pPr>
              <w:ind w:left="0"/>
              <w:rPr>
                <w:b/>
                <w:i/>
                <w:sz w:val="20"/>
                <w:szCs w:val="20"/>
              </w:rPr>
            </w:pPr>
            <w:r>
              <w:rPr>
                <w:b/>
                <w:i/>
                <w:sz w:val="20"/>
                <w:szCs w:val="20"/>
              </w:rPr>
              <w:t xml:space="preserve">Celá prioritná os bude realizovaná výhradne prostredníctvom finančných nástrojov </w:t>
            </w:r>
          </w:p>
        </w:tc>
        <w:tc>
          <w:tcPr>
            <w:tcW w:w="3542" w:type="dxa"/>
            <w:vAlign w:val="center"/>
          </w:tcPr>
          <w:p w:rsidR="00E01D5B" w:rsidRPr="00765DFA" w:rsidRDefault="00E01D5B" w:rsidP="005139F6">
            <w:pPr>
              <w:ind w:left="0"/>
              <w:rPr>
                <w:sz w:val="20"/>
                <w:szCs w:val="20"/>
              </w:rPr>
            </w:pPr>
            <w:r>
              <w:rPr>
                <w:sz w:val="20"/>
                <w:szCs w:val="20"/>
              </w:rPr>
              <w:t>Nie</w:t>
            </w:r>
          </w:p>
        </w:tc>
      </w:tr>
      <w:tr w:rsidR="00E01D5B" w:rsidRPr="00765DFA" w:rsidTr="002E1021">
        <w:trPr>
          <w:trHeight w:val="255"/>
          <w:jc w:val="center"/>
        </w:trPr>
        <w:tc>
          <w:tcPr>
            <w:tcW w:w="4396" w:type="dxa"/>
            <w:shd w:val="clear" w:color="auto" w:fill="DBE5F1" w:themeFill="accent1" w:themeFillTint="33"/>
            <w:vAlign w:val="center"/>
          </w:tcPr>
          <w:p w:rsidR="00E01D5B" w:rsidRPr="00765DFA" w:rsidRDefault="00E01D5B" w:rsidP="005139F6">
            <w:pPr>
              <w:ind w:left="0"/>
              <w:rPr>
                <w:b/>
                <w:i/>
                <w:sz w:val="20"/>
                <w:szCs w:val="20"/>
              </w:rPr>
            </w:pPr>
            <w:r>
              <w:rPr>
                <w:b/>
                <w:i/>
                <w:sz w:val="20"/>
                <w:szCs w:val="20"/>
              </w:rPr>
              <w:t>Celá prioritná os bude realizovaná výhradne prostredníctvom finančných nástrojov vytvorených na úrovni Únie</w:t>
            </w:r>
          </w:p>
        </w:tc>
        <w:tc>
          <w:tcPr>
            <w:tcW w:w="3542" w:type="dxa"/>
            <w:vAlign w:val="center"/>
          </w:tcPr>
          <w:p w:rsidR="00E01D5B" w:rsidRPr="00765DFA" w:rsidRDefault="00E01D5B" w:rsidP="005139F6">
            <w:pPr>
              <w:ind w:left="0"/>
              <w:rPr>
                <w:sz w:val="20"/>
                <w:szCs w:val="20"/>
              </w:rPr>
            </w:pPr>
            <w:r>
              <w:rPr>
                <w:sz w:val="20"/>
                <w:szCs w:val="20"/>
              </w:rPr>
              <w:t>Nie</w:t>
            </w:r>
          </w:p>
        </w:tc>
      </w:tr>
      <w:tr w:rsidR="00E01D5B" w:rsidRPr="00750A42" w:rsidTr="002E1021">
        <w:trPr>
          <w:trHeight w:val="70"/>
          <w:jc w:val="center"/>
        </w:trPr>
        <w:tc>
          <w:tcPr>
            <w:tcW w:w="4396" w:type="dxa"/>
            <w:shd w:val="clear" w:color="auto" w:fill="DBE5F1" w:themeFill="accent1" w:themeFillTint="33"/>
            <w:vAlign w:val="center"/>
          </w:tcPr>
          <w:p w:rsidR="00E01D5B" w:rsidRPr="00765DFA" w:rsidRDefault="00E01D5B" w:rsidP="005139F6">
            <w:pPr>
              <w:ind w:left="0"/>
              <w:rPr>
                <w:b/>
                <w:i/>
                <w:sz w:val="20"/>
                <w:szCs w:val="20"/>
              </w:rPr>
            </w:pPr>
            <w:r>
              <w:rPr>
                <w:b/>
                <w:i/>
                <w:sz w:val="20"/>
                <w:szCs w:val="20"/>
              </w:rPr>
              <w:t>Celá prioritná os bude realizovaná prostredníctvom komunitne vedeného miestneho rozvoja</w:t>
            </w:r>
          </w:p>
        </w:tc>
        <w:tc>
          <w:tcPr>
            <w:tcW w:w="3542" w:type="dxa"/>
            <w:vAlign w:val="center"/>
          </w:tcPr>
          <w:p w:rsidR="00E01D5B" w:rsidRPr="00750A42" w:rsidRDefault="00E01D5B" w:rsidP="005139F6">
            <w:pPr>
              <w:ind w:left="0"/>
              <w:rPr>
                <w:sz w:val="20"/>
                <w:szCs w:val="20"/>
              </w:rPr>
            </w:pPr>
            <w:r>
              <w:rPr>
                <w:sz w:val="20"/>
                <w:szCs w:val="20"/>
              </w:rPr>
              <w:t>Nie</w:t>
            </w:r>
          </w:p>
        </w:tc>
      </w:tr>
      <w:tr w:rsidR="00E01D5B" w:rsidRPr="00765DFA" w:rsidTr="002E1021">
        <w:trPr>
          <w:jc w:val="center"/>
        </w:trPr>
        <w:tc>
          <w:tcPr>
            <w:tcW w:w="4396" w:type="dxa"/>
            <w:shd w:val="clear" w:color="auto" w:fill="DBE5F1" w:themeFill="accent1" w:themeFillTint="33"/>
          </w:tcPr>
          <w:p w:rsidR="00E01D5B" w:rsidRPr="00765DFA" w:rsidRDefault="00E01D5B" w:rsidP="005139F6">
            <w:pPr>
              <w:ind w:left="0"/>
              <w:rPr>
                <w:b/>
                <w:i/>
                <w:sz w:val="20"/>
                <w:szCs w:val="20"/>
              </w:rPr>
            </w:pPr>
            <w:r>
              <w:rPr>
                <w:b/>
                <w:i/>
                <w:sz w:val="20"/>
                <w:szCs w:val="20"/>
              </w:rPr>
              <w:t>Pre ESF: Celá prioritná os je zameraná na sociálnu inováciu alebo nadnárodnú spoluprácu, alebo oboje</w:t>
            </w:r>
          </w:p>
        </w:tc>
        <w:tc>
          <w:tcPr>
            <w:tcW w:w="3542" w:type="dxa"/>
            <w:vAlign w:val="center"/>
          </w:tcPr>
          <w:p w:rsidR="00E01D5B" w:rsidRPr="00765DFA" w:rsidRDefault="00E01D5B" w:rsidP="005139F6">
            <w:pPr>
              <w:ind w:left="0"/>
              <w:rPr>
                <w:sz w:val="20"/>
                <w:szCs w:val="20"/>
              </w:rPr>
            </w:pPr>
            <w:r>
              <w:rPr>
                <w:sz w:val="20"/>
                <w:szCs w:val="20"/>
              </w:rPr>
              <w:t>N/A</w:t>
            </w:r>
          </w:p>
        </w:tc>
      </w:tr>
    </w:tbl>
    <w:p w:rsidR="006D24A5" w:rsidRDefault="006D24A5" w:rsidP="006D24A5">
      <w:pPr>
        <w:pStyle w:val="Nadpis3"/>
      </w:pPr>
      <w:bookmarkStart w:id="42" w:name="_Toc385310701"/>
      <w:r>
        <w:t>Fond, kategória regiónu a základ pre výpočet podpory Únie</w:t>
      </w:r>
      <w:bookmarkEnd w:id="42"/>
    </w:p>
    <w:tbl>
      <w:tblPr>
        <w:tblStyle w:val="Mriekatabuky"/>
        <w:tblW w:w="793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460"/>
        <w:gridCol w:w="3478"/>
      </w:tblGrid>
      <w:tr w:rsidR="006D24A5" w:rsidTr="00173210">
        <w:trPr>
          <w:trHeight w:val="255"/>
          <w:jc w:val="center"/>
        </w:trPr>
        <w:tc>
          <w:tcPr>
            <w:tcW w:w="4460" w:type="dxa"/>
            <w:shd w:val="clear" w:color="auto" w:fill="DBE5F1" w:themeFill="accent1" w:themeFillTint="33"/>
            <w:vAlign w:val="center"/>
          </w:tcPr>
          <w:p w:rsidR="006D24A5" w:rsidRPr="001124FB" w:rsidRDefault="006D24A5" w:rsidP="001124FB">
            <w:pPr>
              <w:ind w:left="0"/>
              <w:rPr>
                <w:b/>
                <w:i/>
                <w:sz w:val="20"/>
                <w:szCs w:val="20"/>
              </w:rPr>
            </w:pPr>
            <w:r w:rsidRPr="001124FB">
              <w:rPr>
                <w:b/>
                <w:i/>
                <w:sz w:val="20"/>
                <w:szCs w:val="20"/>
              </w:rPr>
              <w:t>Fond</w:t>
            </w:r>
          </w:p>
        </w:tc>
        <w:tc>
          <w:tcPr>
            <w:tcW w:w="3478" w:type="dxa"/>
            <w:vAlign w:val="center"/>
          </w:tcPr>
          <w:p w:rsidR="006D24A5" w:rsidRPr="001124FB" w:rsidRDefault="006D24A5" w:rsidP="00173210">
            <w:pPr>
              <w:ind w:left="0"/>
              <w:rPr>
                <w:sz w:val="20"/>
                <w:szCs w:val="20"/>
              </w:rPr>
            </w:pPr>
            <w:r w:rsidRPr="001124FB">
              <w:rPr>
                <w:sz w:val="20"/>
                <w:szCs w:val="20"/>
              </w:rPr>
              <w:t>Kohézny fond</w:t>
            </w:r>
          </w:p>
        </w:tc>
      </w:tr>
      <w:tr w:rsidR="006D24A5" w:rsidTr="00173210">
        <w:trPr>
          <w:trHeight w:val="255"/>
          <w:jc w:val="center"/>
        </w:trPr>
        <w:tc>
          <w:tcPr>
            <w:tcW w:w="4460" w:type="dxa"/>
            <w:shd w:val="clear" w:color="auto" w:fill="DBE5F1" w:themeFill="accent1" w:themeFillTint="33"/>
            <w:vAlign w:val="center"/>
          </w:tcPr>
          <w:p w:rsidR="006D24A5" w:rsidRPr="001124FB" w:rsidRDefault="006D24A5" w:rsidP="001124FB">
            <w:pPr>
              <w:ind w:left="0"/>
              <w:rPr>
                <w:b/>
                <w:i/>
                <w:sz w:val="20"/>
                <w:szCs w:val="20"/>
              </w:rPr>
            </w:pPr>
            <w:r w:rsidRPr="001124FB">
              <w:rPr>
                <w:b/>
                <w:i/>
                <w:sz w:val="20"/>
                <w:szCs w:val="20"/>
              </w:rPr>
              <w:t>Kategória regiónu</w:t>
            </w:r>
          </w:p>
        </w:tc>
        <w:tc>
          <w:tcPr>
            <w:tcW w:w="3478" w:type="dxa"/>
            <w:vAlign w:val="center"/>
          </w:tcPr>
          <w:p w:rsidR="006D24A5" w:rsidRPr="001124FB" w:rsidRDefault="006D24A5" w:rsidP="00173210">
            <w:pPr>
              <w:ind w:left="0"/>
              <w:rPr>
                <w:sz w:val="20"/>
                <w:szCs w:val="20"/>
              </w:rPr>
            </w:pPr>
            <w:r w:rsidRPr="001124FB">
              <w:rPr>
                <w:sz w:val="20"/>
                <w:szCs w:val="20"/>
              </w:rPr>
              <w:t>N/A</w:t>
            </w:r>
          </w:p>
        </w:tc>
      </w:tr>
      <w:tr w:rsidR="006D24A5" w:rsidTr="00173210">
        <w:trPr>
          <w:trHeight w:val="255"/>
          <w:jc w:val="center"/>
        </w:trPr>
        <w:tc>
          <w:tcPr>
            <w:tcW w:w="4460" w:type="dxa"/>
            <w:shd w:val="clear" w:color="auto" w:fill="DBE5F1" w:themeFill="accent1" w:themeFillTint="33"/>
            <w:vAlign w:val="center"/>
          </w:tcPr>
          <w:p w:rsidR="006D24A5" w:rsidRPr="001124FB" w:rsidRDefault="006D24A5" w:rsidP="001124FB">
            <w:pPr>
              <w:ind w:left="0"/>
              <w:rPr>
                <w:b/>
                <w:i/>
                <w:sz w:val="20"/>
                <w:szCs w:val="20"/>
              </w:rPr>
            </w:pPr>
            <w:r w:rsidRPr="001124FB">
              <w:rPr>
                <w:b/>
                <w:i/>
                <w:sz w:val="20"/>
                <w:szCs w:val="20"/>
              </w:rPr>
              <w:t>Základ pre výpočet (celkový príspevok)</w:t>
            </w:r>
          </w:p>
        </w:tc>
        <w:tc>
          <w:tcPr>
            <w:tcW w:w="3478" w:type="dxa"/>
            <w:vAlign w:val="center"/>
          </w:tcPr>
          <w:p w:rsidR="006D24A5" w:rsidRPr="001124FB" w:rsidRDefault="00266DA8" w:rsidP="00173210">
            <w:pPr>
              <w:ind w:left="0"/>
              <w:rPr>
                <w:sz w:val="20"/>
                <w:szCs w:val="20"/>
                <w:lang w:val="en-US"/>
              </w:rPr>
            </w:pPr>
            <w:r w:rsidRPr="001124FB">
              <w:rPr>
                <w:sz w:val="20"/>
                <w:szCs w:val="20"/>
                <w:lang w:val="en-US"/>
              </w:rPr>
              <w:t>137 000</w:t>
            </w:r>
            <w:r w:rsidR="00662EB4">
              <w:rPr>
                <w:sz w:val="20"/>
                <w:szCs w:val="20"/>
                <w:lang w:val="en-US"/>
              </w:rPr>
              <w:t> </w:t>
            </w:r>
            <w:r w:rsidRPr="001124FB">
              <w:rPr>
                <w:sz w:val="20"/>
                <w:szCs w:val="20"/>
                <w:lang w:val="en-US"/>
              </w:rPr>
              <w:t>000</w:t>
            </w:r>
            <w:r w:rsidR="00662EB4">
              <w:rPr>
                <w:sz w:val="20"/>
                <w:szCs w:val="20"/>
                <w:lang w:val="en-US"/>
              </w:rPr>
              <w:t xml:space="preserve"> EUR</w:t>
            </w:r>
          </w:p>
        </w:tc>
      </w:tr>
      <w:tr w:rsidR="006D24A5" w:rsidTr="00173210">
        <w:trPr>
          <w:jc w:val="center"/>
        </w:trPr>
        <w:tc>
          <w:tcPr>
            <w:tcW w:w="4460" w:type="dxa"/>
            <w:shd w:val="clear" w:color="auto" w:fill="DBE5F1" w:themeFill="accent1" w:themeFillTint="33"/>
          </w:tcPr>
          <w:p w:rsidR="006D24A5" w:rsidRPr="001124FB" w:rsidRDefault="006D24A5" w:rsidP="00017B79">
            <w:pPr>
              <w:ind w:left="0"/>
              <w:rPr>
                <w:b/>
                <w:i/>
                <w:sz w:val="20"/>
                <w:szCs w:val="20"/>
              </w:rPr>
            </w:pPr>
            <w:r w:rsidRPr="001124FB">
              <w:rPr>
                <w:b/>
                <w:i/>
                <w:sz w:val="20"/>
                <w:szCs w:val="20"/>
              </w:rPr>
              <w:t>Kategória regiónu pre najvzdialenejšie a severné riedko osídlené regióny (ak je to vhodné)</w:t>
            </w:r>
          </w:p>
        </w:tc>
        <w:tc>
          <w:tcPr>
            <w:tcW w:w="3478" w:type="dxa"/>
            <w:vAlign w:val="center"/>
          </w:tcPr>
          <w:p w:rsidR="006D24A5" w:rsidRPr="001124FB" w:rsidRDefault="006D24A5" w:rsidP="00173210">
            <w:pPr>
              <w:ind w:left="0"/>
              <w:rPr>
                <w:sz w:val="20"/>
                <w:szCs w:val="20"/>
              </w:rPr>
            </w:pPr>
            <w:r w:rsidRPr="001124FB">
              <w:rPr>
                <w:sz w:val="20"/>
                <w:szCs w:val="20"/>
              </w:rPr>
              <w:t>N/A</w:t>
            </w:r>
          </w:p>
        </w:tc>
      </w:tr>
    </w:tbl>
    <w:p w:rsidR="006D24A5" w:rsidRDefault="006D24A5" w:rsidP="006D24A5">
      <w:pPr>
        <w:pStyle w:val="Nadpis3"/>
        <w:jc w:val="both"/>
      </w:pPr>
      <w:bookmarkStart w:id="43" w:name="_Toc385310702"/>
      <w:r>
        <w:t xml:space="preserve">INVESTIČNÁ PRIORITA </w:t>
      </w:r>
      <w:r w:rsidR="00E01D5B">
        <w:t>7a)</w:t>
      </w:r>
      <w:r>
        <w:t xml:space="preserve">: </w:t>
      </w:r>
      <w:r w:rsidR="00481558" w:rsidRPr="00481558">
        <w:t>Podpora multimodálneho jednotného európskeho dopravného priestoru pomocou investícií do TEN-T</w:t>
      </w:r>
      <w:bookmarkEnd w:id="43"/>
    </w:p>
    <w:p w:rsidR="006D24A5" w:rsidRDefault="006D24A5" w:rsidP="00740654">
      <w:pPr>
        <w:pStyle w:val="Nadpis4"/>
      </w:pPr>
      <w:r>
        <w:t>Špecifické ciele investičnej priority a očakávané výsledky</w:t>
      </w:r>
    </w:p>
    <w:p w:rsidR="006D24A5" w:rsidRPr="006B762B" w:rsidRDefault="006D24A5" w:rsidP="002E1021">
      <w:pPr>
        <w:shd w:val="clear" w:color="auto" w:fill="FFFFCC"/>
        <w:jc w:val="both"/>
        <w:rPr>
          <w:b/>
          <w:i/>
        </w:rPr>
      </w:pPr>
      <w:r w:rsidRPr="004F0234">
        <w:rPr>
          <w:i/>
        </w:rPr>
        <w:t xml:space="preserve">ŠPECIFICKÝ CIEĽ </w:t>
      </w:r>
      <w:r w:rsidR="00E87153">
        <w:rPr>
          <w:i/>
        </w:rPr>
        <w:t>4.</w:t>
      </w:r>
      <w:r>
        <w:rPr>
          <w:i/>
        </w:rPr>
        <w:t>1</w:t>
      </w:r>
      <w:r w:rsidRPr="004F0234">
        <w:rPr>
          <w:i/>
        </w:rPr>
        <w:t>:</w:t>
      </w:r>
      <w:r w:rsidR="00481558">
        <w:rPr>
          <w:i/>
        </w:rPr>
        <w:t xml:space="preserve"> </w:t>
      </w:r>
      <w:r w:rsidR="008C4A20">
        <w:rPr>
          <w:b/>
          <w:i/>
        </w:rPr>
        <w:t xml:space="preserve">Zlepšenie kvality služieb poskytovaných vo verejnom prístave </w:t>
      </w:r>
      <w:r w:rsidR="008C4A20">
        <w:rPr>
          <w:b/>
          <w:i/>
        </w:rPr>
        <w:br/>
        <w:t>v Bratislave</w:t>
      </w:r>
      <w:r w:rsidR="004E4DC3">
        <w:rPr>
          <w:b/>
          <w:i/>
        </w:rPr>
        <w:t xml:space="preserve"> a vytváranie podmienok pre zlepšenie splavnosti</w:t>
      </w:r>
      <w:r w:rsidR="003A2021">
        <w:rPr>
          <w:b/>
          <w:i/>
        </w:rPr>
        <w:t xml:space="preserve"> dunajskej vodnej cesty</w:t>
      </w:r>
    </w:p>
    <w:p w:rsidR="00FA4C5A" w:rsidRDefault="004E4DC3" w:rsidP="00FA4C5A">
      <w:pPr>
        <w:spacing w:before="180"/>
        <w:jc w:val="both"/>
        <w:rPr>
          <w:sz w:val="22"/>
          <w:szCs w:val="22"/>
        </w:rPr>
      </w:pPr>
      <w:r>
        <w:rPr>
          <w:sz w:val="22"/>
          <w:szCs w:val="22"/>
        </w:rPr>
        <w:t>V</w:t>
      </w:r>
      <w:r w:rsidRPr="008855C9">
        <w:rPr>
          <w:sz w:val="22"/>
          <w:szCs w:val="22"/>
        </w:rPr>
        <w:t>odná doprava je na území SR využívaná len v malom rozsahu</w:t>
      </w:r>
      <w:r>
        <w:rPr>
          <w:sz w:val="22"/>
          <w:szCs w:val="22"/>
        </w:rPr>
        <w:t xml:space="preserve">. </w:t>
      </w:r>
      <w:r w:rsidR="00FA4C5A" w:rsidRPr="00994B01">
        <w:rPr>
          <w:sz w:val="22"/>
          <w:szCs w:val="22"/>
        </w:rPr>
        <w:t>Vychádzajúc z</w:t>
      </w:r>
      <w:r w:rsidR="00FA4C5A">
        <w:rPr>
          <w:sz w:val="22"/>
          <w:szCs w:val="22"/>
        </w:rPr>
        <w:t> </w:t>
      </w:r>
      <w:r w:rsidR="00FA4C5A" w:rsidRPr="00994B01">
        <w:rPr>
          <w:sz w:val="22"/>
          <w:szCs w:val="22"/>
        </w:rPr>
        <w:t>hodnotenia spracovaného s</w:t>
      </w:r>
      <w:r w:rsidR="00FA4C5A">
        <w:rPr>
          <w:sz w:val="22"/>
          <w:szCs w:val="22"/>
        </w:rPr>
        <w:t> </w:t>
      </w:r>
      <w:r w:rsidR="00FA4C5A" w:rsidRPr="00994B01">
        <w:rPr>
          <w:sz w:val="22"/>
          <w:szCs w:val="22"/>
        </w:rPr>
        <w:t>cieľom posúdiť napĺňanie cieľov stanovených v</w:t>
      </w:r>
      <w:r w:rsidR="00FA4C5A">
        <w:rPr>
          <w:sz w:val="22"/>
          <w:szCs w:val="22"/>
        </w:rPr>
        <w:t> </w:t>
      </w:r>
      <w:r w:rsidR="00FA4C5A" w:rsidRPr="00994B01">
        <w:rPr>
          <w:sz w:val="22"/>
          <w:szCs w:val="22"/>
        </w:rPr>
        <w:t>Bielej knihe za obdobie rokov 2000 – 2010 vyplýva, že v</w:t>
      </w:r>
      <w:r w:rsidR="00FA4C5A">
        <w:rPr>
          <w:sz w:val="22"/>
          <w:szCs w:val="22"/>
        </w:rPr>
        <w:t> </w:t>
      </w:r>
      <w:r w:rsidR="00FA4C5A" w:rsidRPr="00994B01">
        <w:rPr>
          <w:sz w:val="22"/>
          <w:szCs w:val="22"/>
        </w:rPr>
        <w:t>oblasti nákladnej prepravy bol v</w:t>
      </w:r>
      <w:r w:rsidR="00FA4C5A">
        <w:rPr>
          <w:sz w:val="22"/>
          <w:szCs w:val="22"/>
        </w:rPr>
        <w:t> </w:t>
      </w:r>
      <w:r w:rsidR="00FA4C5A" w:rsidRPr="00994B01">
        <w:rPr>
          <w:sz w:val="22"/>
          <w:szCs w:val="22"/>
        </w:rPr>
        <w:t>rámci SR zaznamenaný pokles podielu vnútrozemskej vodnej dopravy na celkovom objeme prepravných výkonov o</w:t>
      </w:r>
      <w:r w:rsidR="00FA4C5A">
        <w:rPr>
          <w:sz w:val="22"/>
          <w:szCs w:val="22"/>
        </w:rPr>
        <w:t> </w:t>
      </w:r>
      <w:r w:rsidR="00FA4C5A" w:rsidRPr="00994B01">
        <w:rPr>
          <w:sz w:val="22"/>
          <w:szCs w:val="22"/>
        </w:rPr>
        <w:t>2,1 %</w:t>
      </w:r>
      <w:r w:rsidR="00FA4C5A" w:rsidRPr="00994B01">
        <w:rPr>
          <w:rStyle w:val="Odkaznapoznmkupodiarou"/>
          <w:sz w:val="22"/>
          <w:szCs w:val="22"/>
        </w:rPr>
        <w:footnoteReference w:id="16"/>
      </w:r>
      <w:r w:rsidR="00FA4C5A" w:rsidRPr="00994B01">
        <w:rPr>
          <w:sz w:val="22"/>
          <w:szCs w:val="22"/>
        </w:rPr>
        <w:t>. V</w:t>
      </w:r>
      <w:r w:rsidR="00FA4C5A">
        <w:rPr>
          <w:sz w:val="22"/>
          <w:szCs w:val="22"/>
        </w:rPr>
        <w:t> </w:t>
      </w:r>
      <w:r w:rsidR="00FA4C5A" w:rsidRPr="00994B01">
        <w:rPr>
          <w:sz w:val="22"/>
          <w:szCs w:val="22"/>
        </w:rPr>
        <w:t>oblasti osobnej prepravy predstavuje v</w:t>
      </w:r>
      <w:r w:rsidR="00FA4C5A">
        <w:rPr>
          <w:sz w:val="22"/>
          <w:szCs w:val="22"/>
        </w:rPr>
        <w:t> </w:t>
      </w:r>
      <w:r w:rsidR="00FA4C5A" w:rsidRPr="00994B01">
        <w:rPr>
          <w:sz w:val="22"/>
          <w:szCs w:val="22"/>
        </w:rPr>
        <w:t>podmienkach SR vodná (lodná) doprava z</w:t>
      </w:r>
      <w:r w:rsidR="00FA4C5A">
        <w:rPr>
          <w:sz w:val="22"/>
          <w:szCs w:val="22"/>
        </w:rPr>
        <w:t> </w:t>
      </w:r>
      <w:r w:rsidR="00FA4C5A" w:rsidRPr="00994B01">
        <w:rPr>
          <w:sz w:val="22"/>
          <w:szCs w:val="22"/>
        </w:rPr>
        <w:t>pohľadu prepravných výkonov len doplnkový charakter k</w:t>
      </w:r>
      <w:r w:rsidR="00FA4C5A">
        <w:rPr>
          <w:sz w:val="22"/>
          <w:szCs w:val="22"/>
        </w:rPr>
        <w:t> </w:t>
      </w:r>
      <w:r w:rsidR="00FA4C5A" w:rsidRPr="00994B01">
        <w:rPr>
          <w:sz w:val="22"/>
          <w:szCs w:val="22"/>
        </w:rPr>
        <w:t>ostatným prepravným módom.</w:t>
      </w:r>
    </w:p>
    <w:p w:rsidR="004E4DC3" w:rsidRDefault="004E4DC3" w:rsidP="004E4DC3">
      <w:pPr>
        <w:spacing w:before="180"/>
        <w:jc w:val="both"/>
        <w:rPr>
          <w:sz w:val="22"/>
          <w:szCs w:val="22"/>
        </w:rPr>
      </w:pPr>
      <w:r>
        <w:rPr>
          <w:sz w:val="22"/>
          <w:szCs w:val="22"/>
        </w:rPr>
        <w:t>V</w:t>
      </w:r>
      <w:r w:rsidRPr="008855C9">
        <w:rPr>
          <w:sz w:val="22"/>
          <w:szCs w:val="22"/>
        </w:rPr>
        <w:t xml:space="preserve">ýkony </w:t>
      </w:r>
      <w:r>
        <w:rPr>
          <w:sz w:val="22"/>
          <w:szCs w:val="22"/>
        </w:rPr>
        <w:t>vodnej dopravy sú limitované</w:t>
      </w:r>
      <w:r w:rsidRPr="008855C9">
        <w:rPr>
          <w:sz w:val="22"/>
          <w:szCs w:val="22"/>
        </w:rPr>
        <w:t xml:space="preserve"> </w:t>
      </w:r>
      <w:r>
        <w:rPr>
          <w:sz w:val="22"/>
          <w:szCs w:val="22"/>
        </w:rPr>
        <w:t>predovšetkým podmienkami na plavbu,</w:t>
      </w:r>
      <w:r w:rsidRPr="008855C9">
        <w:rPr>
          <w:sz w:val="22"/>
          <w:szCs w:val="22"/>
        </w:rPr>
        <w:t xml:space="preserve"> stavo</w:t>
      </w:r>
      <w:r>
        <w:rPr>
          <w:sz w:val="22"/>
          <w:szCs w:val="22"/>
        </w:rPr>
        <w:t>m</w:t>
      </w:r>
      <w:r w:rsidRPr="008855C9">
        <w:rPr>
          <w:sz w:val="22"/>
          <w:szCs w:val="22"/>
        </w:rPr>
        <w:t xml:space="preserve"> hladín splavných vodných toko</w:t>
      </w:r>
      <w:r>
        <w:rPr>
          <w:sz w:val="22"/>
          <w:szCs w:val="22"/>
        </w:rPr>
        <w:t>v</w:t>
      </w:r>
      <w:r w:rsidR="00C23EEE">
        <w:rPr>
          <w:sz w:val="22"/>
          <w:szCs w:val="22"/>
        </w:rPr>
        <w:t>,</w:t>
      </w:r>
      <w:r>
        <w:rPr>
          <w:sz w:val="22"/>
          <w:szCs w:val="22"/>
        </w:rPr>
        <w:t xml:space="preserve"> ako aj nedostatočnou infraštruktúrou verejných prístavov. </w:t>
      </w:r>
      <w:r w:rsidRPr="00994B01">
        <w:rPr>
          <w:sz w:val="22"/>
          <w:szCs w:val="22"/>
        </w:rPr>
        <w:t>Práve modern</w:t>
      </w:r>
      <w:r>
        <w:rPr>
          <w:sz w:val="22"/>
          <w:szCs w:val="22"/>
        </w:rPr>
        <w:t>ú</w:t>
      </w:r>
      <w:r w:rsidRPr="00994B01">
        <w:rPr>
          <w:sz w:val="22"/>
          <w:szCs w:val="22"/>
        </w:rPr>
        <w:t>, bezpečn</w:t>
      </w:r>
      <w:r>
        <w:rPr>
          <w:sz w:val="22"/>
          <w:szCs w:val="22"/>
        </w:rPr>
        <w:t>ú</w:t>
      </w:r>
      <w:r w:rsidRPr="00994B01">
        <w:rPr>
          <w:sz w:val="22"/>
          <w:szCs w:val="22"/>
        </w:rPr>
        <w:t xml:space="preserve"> a</w:t>
      </w:r>
      <w:r>
        <w:rPr>
          <w:sz w:val="22"/>
          <w:szCs w:val="22"/>
        </w:rPr>
        <w:t> </w:t>
      </w:r>
      <w:r w:rsidRPr="00994B01">
        <w:rPr>
          <w:sz w:val="22"/>
          <w:szCs w:val="22"/>
        </w:rPr>
        <w:t>integrovan</w:t>
      </w:r>
      <w:r>
        <w:rPr>
          <w:sz w:val="22"/>
          <w:szCs w:val="22"/>
        </w:rPr>
        <w:t>ú</w:t>
      </w:r>
      <w:r w:rsidRPr="00994B01">
        <w:rPr>
          <w:sz w:val="22"/>
          <w:szCs w:val="22"/>
        </w:rPr>
        <w:t xml:space="preserve"> infraštruktúr</w:t>
      </w:r>
      <w:r>
        <w:rPr>
          <w:sz w:val="22"/>
          <w:szCs w:val="22"/>
        </w:rPr>
        <w:t>u</w:t>
      </w:r>
      <w:r w:rsidRPr="00994B01">
        <w:rPr>
          <w:sz w:val="22"/>
          <w:szCs w:val="22"/>
        </w:rPr>
        <w:t xml:space="preserve"> identifikoval Strategický plán ako kľúčový faktor rozvoja vodnej dopravy na Slovensku</w:t>
      </w:r>
      <w:r>
        <w:rPr>
          <w:sz w:val="22"/>
          <w:szCs w:val="22"/>
        </w:rPr>
        <w:t xml:space="preserve">. </w:t>
      </w:r>
    </w:p>
    <w:p w:rsidR="004E4DC3" w:rsidRDefault="004E4DC3" w:rsidP="004E4DC3">
      <w:pPr>
        <w:spacing w:before="180"/>
        <w:jc w:val="both"/>
        <w:rPr>
          <w:sz w:val="22"/>
          <w:szCs w:val="22"/>
        </w:rPr>
      </w:pPr>
      <w:r>
        <w:rPr>
          <w:sz w:val="22"/>
          <w:szCs w:val="22"/>
        </w:rPr>
        <w:t xml:space="preserve">Aj pre dlhší čas prepravy sú v podmienkach Slovenskej republiky aktuálne </w:t>
      </w:r>
      <w:r w:rsidRPr="008855C9">
        <w:rPr>
          <w:sz w:val="22"/>
          <w:szCs w:val="22"/>
        </w:rPr>
        <w:t xml:space="preserve">uprednostňované iné druhy nákladnej dopravy, </w:t>
      </w:r>
      <w:r>
        <w:rPr>
          <w:sz w:val="22"/>
          <w:szCs w:val="22"/>
        </w:rPr>
        <w:t>predovšetkým</w:t>
      </w:r>
      <w:r w:rsidRPr="008855C9">
        <w:rPr>
          <w:sz w:val="22"/>
          <w:szCs w:val="22"/>
        </w:rPr>
        <w:t xml:space="preserve"> cestná a železničná nákladná doprava.</w:t>
      </w:r>
      <w:r>
        <w:rPr>
          <w:sz w:val="22"/>
          <w:szCs w:val="22"/>
        </w:rPr>
        <w:t xml:space="preserve"> S ohľadom na</w:t>
      </w:r>
      <w:r w:rsidRPr="008855C9">
        <w:rPr>
          <w:sz w:val="22"/>
          <w:szCs w:val="22"/>
        </w:rPr>
        <w:t xml:space="preserve"> </w:t>
      </w:r>
      <w:r>
        <w:rPr>
          <w:sz w:val="22"/>
          <w:szCs w:val="22"/>
        </w:rPr>
        <w:t>celkový nárast objemu dopravy, voľný kapacitný potenciál vnútrozemských vodných</w:t>
      </w:r>
      <w:r w:rsidRPr="00701148">
        <w:rPr>
          <w:sz w:val="22"/>
          <w:szCs w:val="22"/>
        </w:rPr>
        <w:t xml:space="preserve"> c</w:t>
      </w:r>
      <w:r>
        <w:rPr>
          <w:sz w:val="22"/>
          <w:szCs w:val="22"/>
        </w:rPr>
        <w:t>i</w:t>
      </w:r>
      <w:r w:rsidRPr="00701148">
        <w:rPr>
          <w:sz w:val="22"/>
          <w:szCs w:val="22"/>
        </w:rPr>
        <w:t>est</w:t>
      </w:r>
      <w:r>
        <w:rPr>
          <w:sz w:val="22"/>
          <w:szCs w:val="22"/>
        </w:rPr>
        <w:t>, ako aj nižšiu energetickú náročnosť vodnej dopravy, je však možné očakávať rozvoj a nárast významu sektora.</w:t>
      </w:r>
    </w:p>
    <w:p w:rsidR="004E4DC3" w:rsidRDefault="004E4DC3" w:rsidP="004E4DC3">
      <w:pPr>
        <w:spacing w:before="180"/>
        <w:jc w:val="both"/>
        <w:rPr>
          <w:sz w:val="22"/>
          <w:szCs w:val="22"/>
        </w:rPr>
      </w:pPr>
      <w:r>
        <w:rPr>
          <w:sz w:val="22"/>
          <w:szCs w:val="22"/>
        </w:rPr>
        <w:t xml:space="preserve">Realizáciou aktivít </w:t>
      </w:r>
      <w:r w:rsidRPr="00325CCB">
        <w:rPr>
          <w:sz w:val="22"/>
          <w:szCs w:val="22"/>
        </w:rPr>
        <w:t xml:space="preserve">v rámci </w:t>
      </w:r>
      <w:r>
        <w:rPr>
          <w:sz w:val="22"/>
          <w:szCs w:val="22"/>
        </w:rPr>
        <w:t>tohto špecifického cieľa</w:t>
      </w:r>
      <w:r w:rsidRPr="00325CCB">
        <w:rPr>
          <w:sz w:val="22"/>
          <w:szCs w:val="22"/>
        </w:rPr>
        <w:t xml:space="preserve"> </w:t>
      </w:r>
      <w:r>
        <w:rPr>
          <w:sz w:val="22"/>
          <w:szCs w:val="22"/>
        </w:rPr>
        <w:t>má byť stimulovaný presun výkonov z </w:t>
      </w:r>
      <w:r w:rsidRPr="00325CCB">
        <w:rPr>
          <w:sz w:val="22"/>
          <w:szCs w:val="22"/>
        </w:rPr>
        <w:t>environmentálne najmenej vhodného módu cestnej dopravy na vodnú dopravu</w:t>
      </w:r>
      <w:r>
        <w:rPr>
          <w:sz w:val="22"/>
          <w:szCs w:val="22"/>
        </w:rPr>
        <w:t>, ktorá má preukázateľne menšie negatívne</w:t>
      </w:r>
      <w:r w:rsidRPr="00325CCB">
        <w:rPr>
          <w:sz w:val="22"/>
          <w:szCs w:val="22"/>
        </w:rPr>
        <w:t xml:space="preserve"> do</w:t>
      </w:r>
      <w:r>
        <w:rPr>
          <w:sz w:val="22"/>
          <w:szCs w:val="22"/>
        </w:rPr>
        <w:t>pady</w:t>
      </w:r>
      <w:r w:rsidRPr="00325CCB">
        <w:rPr>
          <w:sz w:val="22"/>
          <w:szCs w:val="22"/>
        </w:rPr>
        <w:t xml:space="preserve"> na životné prostredie</w:t>
      </w:r>
      <w:r>
        <w:rPr>
          <w:sz w:val="22"/>
          <w:szCs w:val="22"/>
        </w:rPr>
        <w:t xml:space="preserve">. </w:t>
      </w:r>
      <w:r w:rsidRPr="004901C9">
        <w:rPr>
          <w:sz w:val="22"/>
          <w:szCs w:val="22"/>
        </w:rPr>
        <w:t>Keďže vodná doprava nebol</w:t>
      </w:r>
      <w:r>
        <w:rPr>
          <w:sz w:val="22"/>
          <w:szCs w:val="22"/>
        </w:rPr>
        <w:t>a</w:t>
      </w:r>
      <w:r w:rsidRPr="004901C9">
        <w:rPr>
          <w:sz w:val="22"/>
          <w:szCs w:val="22"/>
        </w:rPr>
        <w:t xml:space="preserve"> </w:t>
      </w:r>
      <w:r>
        <w:rPr>
          <w:sz w:val="22"/>
          <w:szCs w:val="22"/>
        </w:rPr>
        <w:t xml:space="preserve">zatiaľ </w:t>
      </w:r>
      <w:r w:rsidRPr="004901C9">
        <w:rPr>
          <w:sz w:val="22"/>
          <w:szCs w:val="22"/>
        </w:rPr>
        <w:t xml:space="preserve">predmetom podpory </w:t>
      </w:r>
      <w:r>
        <w:rPr>
          <w:sz w:val="22"/>
          <w:szCs w:val="22"/>
        </w:rPr>
        <w:t>z fondov EÚ</w:t>
      </w:r>
      <w:r w:rsidRPr="004901C9">
        <w:rPr>
          <w:sz w:val="22"/>
          <w:szCs w:val="22"/>
        </w:rPr>
        <w:t xml:space="preserve">, hlavným cieľom MDVRR SR pri </w:t>
      </w:r>
      <w:r>
        <w:rPr>
          <w:sz w:val="22"/>
          <w:szCs w:val="22"/>
        </w:rPr>
        <w:t>definovaní prioritnej osi</w:t>
      </w:r>
      <w:r w:rsidRPr="004901C9">
        <w:rPr>
          <w:sz w:val="22"/>
          <w:szCs w:val="22"/>
        </w:rPr>
        <w:t xml:space="preserve"> bolo vytvoriť priestor pre poskytnutie finančných zdrojov aj </w:t>
      </w:r>
      <w:r>
        <w:rPr>
          <w:sz w:val="22"/>
          <w:szCs w:val="22"/>
        </w:rPr>
        <w:t>tomuto</w:t>
      </w:r>
      <w:r w:rsidRPr="004901C9">
        <w:rPr>
          <w:sz w:val="22"/>
          <w:szCs w:val="22"/>
        </w:rPr>
        <w:t xml:space="preserve"> sektor</w:t>
      </w:r>
      <w:r>
        <w:rPr>
          <w:sz w:val="22"/>
          <w:szCs w:val="22"/>
        </w:rPr>
        <w:t xml:space="preserve">u - </w:t>
      </w:r>
      <w:r w:rsidRPr="004901C9">
        <w:rPr>
          <w:sz w:val="22"/>
          <w:szCs w:val="22"/>
        </w:rPr>
        <w:t xml:space="preserve">pre </w:t>
      </w:r>
      <w:r>
        <w:rPr>
          <w:sz w:val="22"/>
          <w:szCs w:val="22"/>
        </w:rPr>
        <w:t xml:space="preserve">jeho </w:t>
      </w:r>
      <w:r w:rsidRPr="004901C9">
        <w:rPr>
          <w:sz w:val="22"/>
          <w:szCs w:val="22"/>
        </w:rPr>
        <w:t>oživenie</w:t>
      </w:r>
      <w:r>
        <w:rPr>
          <w:sz w:val="22"/>
          <w:szCs w:val="22"/>
        </w:rPr>
        <w:t xml:space="preserve"> a ďalší rozvoj.</w:t>
      </w:r>
    </w:p>
    <w:p w:rsidR="004E4DC3" w:rsidRDefault="004E4DC3" w:rsidP="004E4DC3">
      <w:pPr>
        <w:spacing w:before="180"/>
        <w:jc w:val="both"/>
        <w:rPr>
          <w:color w:val="000000" w:themeColor="text1"/>
          <w:sz w:val="22"/>
          <w:szCs w:val="22"/>
        </w:rPr>
      </w:pPr>
      <w:r w:rsidRPr="002D6AF6">
        <w:rPr>
          <w:sz w:val="22"/>
          <w:szCs w:val="22"/>
        </w:rPr>
        <w:lastRenderedPageBreak/>
        <w:t>Vzhľadom na výšku alokácie, ktorá bola z</w:t>
      </w:r>
      <w:r>
        <w:rPr>
          <w:sz w:val="22"/>
          <w:szCs w:val="22"/>
        </w:rPr>
        <w:t> </w:t>
      </w:r>
      <w:r w:rsidRPr="002D6AF6">
        <w:rPr>
          <w:sz w:val="22"/>
          <w:szCs w:val="22"/>
        </w:rPr>
        <w:t xml:space="preserve">fondov EÚ pridelená na národnej úrovni sektoru dopravy, jej štruktúru, nutnosť kontinuálne dofinancovať projekty </w:t>
      </w:r>
      <w:r>
        <w:rPr>
          <w:sz w:val="22"/>
          <w:szCs w:val="22"/>
        </w:rPr>
        <w:t>začaté</w:t>
      </w:r>
      <w:r w:rsidRPr="002D6AF6">
        <w:rPr>
          <w:sz w:val="22"/>
          <w:szCs w:val="22"/>
        </w:rPr>
        <w:t xml:space="preserve"> v</w:t>
      </w:r>
      <w:r>
        <w:rPr>
          <w:sz w:val="22"/>
          <w:szCs w:val="22"/>
        </w:rPr>
        <w:t> </w:t>
      </w:r>
      <w:r w:rsidRPr="002D6AF6">
        <w:rPr>
          <w:sz w:val="22"/>
          <w:szCs w:val="22"/>
        </w:rPr>
        <w:t xml:space="preserve">predchádzajúcom období, ako aj vzhľadom na nízku pripravenosť </w:t>
      </w:r>
      <w:r w:rsidRPr="00885C6A">
        <w:rPr>
          <w:color w:val="000000" w:themeColor="text1"/>
          <w:sz w:val="22"/>
          <w:szCs w:val="22"/>
        </w:rPr>
        <w:t>projektov vodnej dopravy</w:t>
      </w:r>
      <w:r w:rsidR="005218A9">
        <w:rPr>
          <w:color w:val="000000" w:themeColor="text1"/>
          <w:sz w:val="22"/>
          <w:szCs w:val="22"/>
        </w:rPr>
        <w:t>,</w:t>
      </w:r>
      <w:r w:rsidRPr="00885C6A">
        <w:rPr>
          <w:color w:val="000000" w:themeColor="text1"/>
          <w:sz w:val="22"/>
          <w:szCs w:val="22"/>
        </w:rPr>
        <w:t xml:space="preserve"> bude priorita v</w:t>
      </w:r>
      <w:r>
        <w:rPr>
          <w:color w:val="000000" w:themeColor="text1"/>
          <w:sz w:val="22"/>
          <w:szCs w:val="22"/>
        </w:rPr>
        <w:t> </w:t>
      </w:r>
      <w:r w:rsidRPr="00885C6A">
        <w:rPr>
          <w:color w:val="000000" w:themeColor="text1"/>
          <w:sz w:val="22"/>
          <w:szCs w:val="22"/>
        </w:rPr>
        <w:t xml:space="preserve">ďalšom období kladená </w:t>
      </w:r>
      <w:r>
        <w:rPr>
          <w:color w:val="000000" w:themeColor="text1"/>
          <w:sz w:val="22"/>
          <w:szCs w:val="22"/>
        </w:rPr>
        <w:t xml:space="preserve">predovšetkým na rozvoj </w:t>
      </w:r>
      <w:r w:rsidRPr="00885C6A">
        <w:rPr>
          <w:color w:val="000000" w:themeColor="text1"/>
          <w:sz w:val="22"/>
          <w:szCs w:val="22"/>
        </w:rPr>
        <w:t xml:space="preserve">verejného prístavu </w:t>
      </w:r>
      <w:r>
        <w:rPr>
          <w:color w:val="000000" w:themeColor="text1"/>
          <w:sz w:val="22"/>
          <w:szCs w:val="22"/>
        </w:rPr>
        <w:t>v Bratislave ako najvýznamnejšieho prístavu SR s najväčším potenciálom</w:t>
      </w:r>
      <w:r w:rsidR="005218A9">
        <w:rPr>
          <w:color w:val="000000" w:themeColor="text1"/>
          <w:sz w:val="22"/>
          <w:szCs w:val="22"/>
        </w:rPr>
        <w:t xml:space="preserve"> na</w:t>
      </w:r>
      <w:r>
        <w:rPr>
          <w:color w:val="000000" w:themeColor="text1"/>
          <w:sz w:val="22"/>
          <w:szCs w:val="22"/>
        </w:rPr>
        <w:t xml:space="preserve"> rozvoj, ako aj na </w:t>
      </w:r>
      <w:r w:rsidRPr="00ED1C3A">
        <w:rPr>
          <w:color w:val="000000" w:themeColor="text1"/>
          <w:sz w:val="22"/>
          <w:szCs w:val="22"/>
        </w:rPr>
        <w:t>vytváranie podmienok pre rozvoj</w:t>
      </w:r>
      <w:r>
        <w:rPr>
          <w:color w:val="000000" w:themeColor="text1"/>
          <w:sz w:val="22"/>
          <w:szCs w:val="22"/>
        </w:rPr>
        <w:t xml:space="preserve"> súvisiacej</w:t>
      </w:r>
      <w:r w:rsidRPr="00ED1C3A">
        <w:rPr>
          <w:color w:val="000000" w:themeColor="text1"/>
          <w:sz w:val="22"/>
          <w:szCs w:val="22"/>
        </w:rPr>
        <w:t xml:space="preserve"> dunajskej vodnej cesty prostredníctvom sprac</w:t>
      </w:r>
      <w:r w:rsidR="005218A9">
        <w:rPr>
          <w:color w:val="000000" w:themeColor="text1"/>
          <w:sz w:val="22"/>
          <w:szCs w:val="22"/>
        </w:rPr>
        <w:t>ovania štúdií realizovateľnosti a nadväzujúcich stupňov projektovej dokumentácie.</w:t>
      </w:r>
    </w:p>
    <w:p w:rsidR="00FA4C5A" w:rsidRDefault="00FA4C5A" w:rsidP="00FA4C5A">
      <w:pPr>
        <w:spacing w:before="180"/>
        <w:jc w:val="both"/>
        <w:rPr>
          <w:sz w:val="22"/>
          <w:szCs w:val="22"/>
        </w:rPr>
      </w:pPr>
      <w:r w:rsidRPr="004A414A">
        <w:rPr>
          <w:sz w:val="22"/>
          <w:szCs w:val="22"/>
        </w:rPr>
        <w:t>M</w:t>
      </w:r>
      <w:r>
        <w:rPr>
          <w:sz w:val="22"/>
          <w:szCs w:val="22"/>
        </w:rPr>
        <w:t>DVRR SR</w:t>
      </w:r>
      <w:r w:rsidRPr="004A414A">
        <w:rPr>
          <w:sz w:val="22"/>
          <w:szCs w:val="22"/>
        </w:rPr>
        <w:t xml:space="preserve"> od intervencií smerovaných do infraštruktúry</w:t>
      </w:r>
      <w:r>
        <w:rPr>
          <w:sz w:val="22"/>
          <w:szCs w:val="22"/>
        </w:rPr>
        <w:t xml:space="preserve"> prístavov</w:t>
      </w:r>
      <w:r w:rsidRPr="004A414A">
        <w:rPr>
          <w:sz w:val="22"/>
          <w:szCs w:val="22"/>
        </w:rPr>
        <w:t xml:space="preserve"> </w:t>
      </w:r>
      <w:r>
        <w:rPr>
          <w:sz w:val="22"/>
          <w:szCs w:val="22"/>
        </w:rPr>
        <w:t xml:space="preserve">prioritne </w:t>
      </w:r>
      <w:r w:rsidRPr="004A414A">
        <w:rPr>
          <w:sz w:val="22"/>
          <w:szCs w:val="22"/>
        </w:rPr>
        <w:t xml:space="preserve">očakáva </w:t>
      </w:r>
      <w:r>
        <w:rPr>
          <w:sz w:val="22"/>
          <w:szCs w:val="22"/>
        </w:rPr>
        <w:t xml:space="preserve">skvalitnenie </w:t>
      </w:r>
      <w:r w:rsidRPr="004A414A">
        <w:rPr>
          <w:sz w:val="22"/>
          <w:szCs w:val="22"/>
        </w:rPr>
        <w:t>služieb poskytovaných na nediskriminačnom princípe vo verejných prístavoch, resp. rozšírenie ich ponuky.</w:t>
      </w:r>
      <w:r>
        <w:rPr>
          <w:sz w:val="22"/>
          <w:szCs w:val="22"/>
        </w:rPr>
        <w:t xml:space="preserve"> Vybavené a fungujúce prístavy sú dôležitým predpokladom rastu atraktivity vodnej dopravy a s tým spojeného nárastu podielu vodnej dopravy na deľbe prepravných výkonov. </w:t>
      </w:r>
      <w:r w:rsidR="002F2B02">
        <w:rPr>
          <w:sz w:val="22"/>
          <w:szCs w:val="22"/>
        </w:rPr>
        <w:t xml:space="preserve">Rozsah modernizácie a výstavby verejného prístavu v Bratislave bude </w:t>
      </w:r>
      <w:r w:rsidR="002F2B02" w:rsidRPr="00491814">
        <w:rPr>
          <w:sz w:val="22"/>
          <w:szCs w:val="22"/>
        </w:rPr>
        <w:t>závisieť od výsledkov štúdií realizovateľnosti</w:t>
      </w:r>
      <w:r w:rsidR="002F2B02">
        <w:rPr>
          <w:sz w:val="22"/>
          <w:szCs w:val="22"/>
        </w:rPr>
        <w:t>.</w:t>
      </w:r>
    </w:p>
    <w:p w:rsidR="002F2B02" w:rsidRDefault="002F2B02" w:rsidP="002F2B02">
      <w:pPr>
        <w:spacing w:before="180"/>
        <w:jc w:val="both"/>
        <w:rPr>
          <w:sz w:val="22"/>
          <w:szCs w:val="22"/>
        </w:rPr>
      </w:pPr>
      <w:r>
        <w:rPr>
          <w:sz w:val="22"/>
          <w:szCs w:val="22"/>
        </w:rPr>
        <w:t xml:space="preserve">Okrem rozvoja infraštruktúry verejných prístavov je posilnenie postavenia vodnej dopravy, ako environmentálne prijateľného dopravného módu, podmienené taktiež zabezpečením požadovaných parametrov plavebnej dráhy vodnej cesty počas celého roku. </w:t>
      </w:r>
      <w:r w:rsidRPr="005348B9">
        <w:rPr>
          <w:sz w:val="22"/>
          <w:szCs w:val="22"/>
        </w:rPr>
        <w:t>Dunajská vodná cesta je </w:t>
      </w:r>
      <w:r>
        <w:rPr>
          <w:sz w:val="22"/>
          <w:szCs w:val="22"/>
        </w:rPr>
        <w:t>súčasťou kanálu</w:t>
      </w:r>
      <w:r w:rsidRPr="005348B9">
        <w:rPr>
          <w:sz w:val="22"/>
          <w:szCs w:val="22"/>
        </w:rPr>
        <w:t xml:space="preserve"> Dunaj – Mohan – Rý</w:t>
      </w:r>
      <w:r>
        <w:rPr>
          <w:sz w:val="22"/>
          <w:szCs w:val="22"/>
        </w:rPr>
        <w:t>n, ktorý spája Severné more s Čiernym morom</w:t>
      </w:r>
      <w:r w:rsidRPr="005348B9">
        <w:rPr>
          <w:sz w:val="22"/>
          <w:szCs w:val="22"/>
        </w:rPr>
        <w:t>. Tým je vytvorená súvislá vodná cesta s dĺ</w:t>
      </w:r>
      <w:r>
        <w:rPr>
          <w:sz w:val="22"/>
          <w:szCs w:val="22"/>
        </w:rPr>
        <w:t>žkou cca 3 500 km, ktorá je pre SR bránou na </w:t>
      </w:r>
      <w:r w:rsidRPr="005348B9">
        <w:rPr>
          <w:sz w:val="22"/>
          <w:szCs w:val="22"/>
        </w:rPr>
        <w:t>interkontinentálne a </w:t>
      </w:r>
      <w:r>
        <w:rPr>
          <w:sz w:val="22"/>
          <w:szCs w:val="22"/>
        </w:rPr>
        <w:t xml:space="preserve">európske trhy. </w:t>
      </w:r>
      <w:r w:rsidRPr="005348B9">
        <w:rPr>
          <w:sz w:val="22"/>
          <w:szCs w:val="22"/>
        </w:rPr>
        <w:t>Úsek Dunaja prechádzajúci</w:t>
      </w:r>
      <w:r>
        <w:rPr>
          <w:sz w:val="22"/>
          <w:szCs w:val="22"/>
        </w:rPr>
        <w:t xml:space="preserve"> územím SR má približne 170 km. </w:t>
      </w:r>
      <w:r w:rsidRPr="004901C9">
        <w:rPr>
          <w:sz w:val="22"/>
          <w:szCs w:val="22"/>
        </w:rPr>
        <w:t>Napriek tomu, že ponúka medzinárodnú vodnú cestu vyššej kategórie</w:t>
      </w:r>
      <w:r>
        <w:rPr>
          <w:rStyle w:val="Odkaznapoznmkupodiarou"/>
          <w:sz w:val="22"/>
          <w:szCs w:val="22"/>
        </w:rPr>
        <w:footnoteReference w:id="17"/>
      </w:r>
      <w:r w:rsidRPr="004901C9">
        <w:rPr>
          <w:sz w:val="22"/>
          <w:szCs w:val="22"/>
        </w:rPr>
        <w:t xml:space="preserve">, nie je doteraz dobudovaná tak, aby celoročne poskytovala dopravcom uspokojivé </w:t>
      </w:r>
      <w:r>
        <w:rPr>
          <w:sz w:val="22"/>
          <w:szCs w:val="22"/>
        </w:rPr>
        <w:t xml:space="preserve">plavebné podmienky. </w:t>
      </w:r>
      <w:r w:rsidRPr="00382524">
        <w:rPr>
          <w:b/>
          <w:sz w:val="22"/>
          <w:szCs w:val="22"/>
        </w:rPr>
        <w:t>Dunaj ako vodná cesta medzinárodného významu by mala podľa medzinárodnej klasifikácie vnútrozemských vodných ciest zabezpečiť určitú dopravn</w:t>
      </w:r>
      <w:r>
        <w:rPr>
          <w:b/>
          <w:sz w:val="22"/>
          <w:szCs w:val="22"/>
        </w:rPr>
        <w:t>ú výkonnosť minimálne 300 dní v </w:t>
      </w:r>
      <w:r w:rsidRPr="00382524">
        <w:rPr>
          <w:b/>
          <w:sz w:val="22"/>
          <w:szCs w:val="22"/>
        </w:rPr>
        <w:t>roku podľa kritérií EHK OSN a Dunajskej komisie</w:t>
      </w:r>
      <w:r>
        <w:rPr>
          <w:sz w:val="22"/>
          <w:szCs w:val="22"/>
        </w:rPr>
        <w:t>. Pre </w:t>
      </w:r>
      <w:r w:rsidRPr="0022561E">
        <w:rPr>
          <w:sz w:val="22"/>
          <w:szCs w:val="22"/>
        </w:rPr>
        <w:t>zabezpečenie požadovanej miery splavnosti</w:t>
      </w:r>
      <w:r>
        <w:rPr>
          <w:sz w:val="22"/>
          <w:szCs w:val="22"/>
        </w:rPr>
        <w:t xml:space="preserve"> Dunaju na území Slovenska</w:t>
      </w:r>
      <w:r>
        <w:rPr>
          <w:b/>
          <w:sz w:val="22"/>
          <w:szCs w:val="22"/>
        </w:rPr>
        <w:t xml:space="preserve"> </w:t>
      </w:r>
      <w:r>
        <w:rPr>
          <w:sz w:val="22"/>
          <w:szCs w:val="22"/>
        </w:rPr>
        <w:t>je </w:t>
      </w:r>
      <w:r w:rsidRPr="0022561E">
        <w:rPr>
          <w:sz w:val="22"/>
          <w:szCs w:val="22"/>
        </w:rPr>
        <w:t>potrebné odstrániť</w:t>
      </w:r>
      <w:r>
        <w:rPr>
          <w:sz w:val="22"/>
          <w:szCs w:val="22"/>
        </w:rPr>
        <w:t>,</w:t>
      </w:r>
      <w:r w:rsidRPr="0022561E">
        <w:rPr>
          <w:sz w:val="22"/>
          <w:szCs w:val="22"/>
        </w:rPr>
        <w:t xml:space="preserve"> resp. upraviť </w:t>
      </w:r>
      <w:r>
        <w:rPr>
          <w:sz w:val="22"/>
          <w:szCs w:val="22"/>
        </w:rPr>
        <w:t>viacero kritických miest</w:t>
      </w:r>
      <w:r w:rsidRPr="004901C9">
        <w:rPr>
          <w:sz w:val="22"/>
          <w:szCs w:val="22"/>
        </w:rPr>
        <w:t>.</w:t>
      </w:r>
      <w:r>
        <w:rPr>
          <w:sz w:val="22"/>
          <w:szCs w:val="22"/>
        </w:rPr>
        <w:t xml:space="preserve"> Dunaj</w:t>
      </w:r>
      <w:r w:rsidRPr="000B131A">
        <w:rPr>
          <w:sz w:val="22"/>
          <w:szCs w:val="22"/>
        </w:rPr>
        <w:t xml:space="preserve"> s</w:t>
      </w:r>
      <w:r>
        <w:rPr>
          <w:sz w:val="22"/>
          <w:szCs w:val="22"/>
        </w:rPr>
        <w:t> </w:t>
      </w:r>
      <w:r w:rsidRPr="000B131A">
        <w:rPr>
          <w:sz w:val="22"/>
          <w:szCs w:val="22"/>
        </w:rPr>
        <w:t xml:space="preserve">priemernou využiteľnosťou ponoru plavidiel 19 dm </w:t>
      </w:r>
      <w:r>
        <w:rPr>
          <w:sz w:val="22"/>
          <w:szCs w:val="22"/>
        </w:rPr>
        <w:t>aktuálne disponuje mierou splavnosti na úrovni približne</w:t>
      </w:r>
      <w:r w:rsidRPr="000B131A">
        <w:rPr>
          <w:sz w:val="22"/>
          <w:szCs w:val="22"/>
        </w:rPr>
        <w:t xml:space="preserve"> 60 % celoročnej plavebnej prevádzky</w:t>
      </w:r>
      <w:r>
        <w:rPr>
          <w:sz w:val="22"/>
          <w:szCs w:val="22"/>
        </w:rPr>
        <w:t>.</w:t>
      </w:r>
    </w:p>
    <w:p w:rsidR="00B6686F" w:rsidRDefault="002F2B02" w:rsidP="002F2B02">
      <w:pPr>
        <w:spacing w:before="180"/>
        <w:jc w:val="both"/>
        <w:rPr>
          <w:sz w:val="22"/>
          <w:szCs w:val="22"/>
        </w:rPr>
      </w:pPr>
      <w:r>
        <w:rPr>
          <w:sz w:val="22"/>
          <w:szCs w:val="22"/>
        </w:rPr>
        <w:t>Aktivity v rámci špecifického cieľa budú zamerané</w:t>
      </w:r>
      <w:r w:rsidR="003A2021">
        <w:rPr>
          <w:sz w:val="22"/>
          <w:szCs w:val="22"/>
        </w:rPr>
        <w:t xml:space="preserve"> najmä</w:t>
      </w:r>
      <w:r>
        <w:rPr>
          <w:sz w:val="22"/>
          <w:szCs w:val="22"/>
        </w:rPr>
        <w:t xml:space="preserve"> na </w:t>
      </w:r>
      <w:r w:rsidRPr="0022561E">
        <w:rPr>
          <w:b/>
          <w:sz w:val="22"/>
          <w:szCs w:val="22"/>
        </w:rPr>
        <w:t xml:space="preserve">spracovanie </w:t>
      </w:r>
      <w:r>
        <w:rPr>
          <w:b/>
          <w:sz w:val="22"/>
          <w:szCs w:val="22"/>
        </w:rPr>
        <w:t xml:space="preserve">predprojektovej prípravy, </w:t>
      </w:r>
      <w:r w:rsidRPr="0022561E">
        <w:rPr>
          <w:b/>
          <w:sz w:val="22"/>
          <w:szCs w:val="22"/>
        </w:rPr>
        <w:t>štúdií realizovateľnosti</w:t>
      </w:r>
      <w:r>
        <w:rPr>
          <w:b/>
          <w:sz w:val="22"/>
          <w:szCs w:val="22"/>
        </w:rPr>
        <w:t xml:space="preserve"> a </w:t>
      </w:r>
      <w:r w:rsidRPr="00945E64">
        <w:rPr>
          <w:b/>
          <w:sz w:val="22"/>
          <w:szCs w:val="22"/>
        </w:rPr>
        <w:t xml:space="preserve">prípravu </w:t>
      </w:r>
      <w:r>
        <w:rPr>
          <w:b/>
          <w:sz w:val="22"/>
          <w:szCs w:val="22"/>
        </w:rPr>
        <w:t xml:space="preserve">jednotlivých stupňov </w:t>
      </w:r>
      <w:r w:rsidRPr="00945E64">
        <w:rPr>
          <w:b/>
          <w:sz w:val="22"/>
          <w:szCs w:val="22"/>
        </w:rPr>
        <w:t>projektovej dokumentácie</w:t>
      </w:r>
      <w:r>
        <w:rPr>
          <w:b/>
          <w:sz w:val="22"/>
          <w:szCs w:val="22"/>
        </w:rPr>
        <w:t xml:space="preserve">. Cieľom MDVRR SR je komplexným spôsobom posúdiť možnosti podpory a navrhnúť nákladovo-efektívne opatrenia na </w:t>
      </w:r>
      <w:r w:rsidRPr="0022561E">
        <w:rPr>
          <w:b/>
          <w:sz w:val="22"/>
          <w:szCs w:val="22"/>
        </w:rPr>
        <w:t>zlepšenie splavnosti dunajskej vodnej cesty</w:t>
      </w:r>
      <w:r>
        <w:rPr>
          <w:b/>
          <w:sz w:val="22"/>
          <w:szCs w:val="22"/>
        </w:rPr>
        <w:t xml:space="preserve">. </w:t>
      </w:r>
      <w:r>
        <w:rPr>
          <w:sz w:val="22"/>
          <w:szCs w:val="22"/>
        </w:rPr>
        <w:t>Investičné aktivity na zlepšenie splavnosti dunajskej vodnej cesty budú závisieť od výsledkov štúdií realizovateľnosti, priebehu získavania jednotlivých stupňov projektovej dokumentácie v územnom a stavebnom konaní (najmä EIA, ÚR, SP) a finančných m</w:t>
      </w:r>
      <w:r w:rsidR="008D24AC">
        <w:rPr>
          <w:sz w:val="22"/>
          <w:szCs w:val="22"/>
        </w:rPr>
        <w:t>ožností prioritnej osi.</w:t>
      </w:r>
    </w:p>
    <w:p w:rsidR="002F2B02" w:rsidRDefault="002F2B02" w:rsidP="002F2B02">
      <w:pPr>
        <w:spacing w:before="180"/>
        <w:jc w:val="both"/>
        <w:rPr>
          <w:sz w:val="22"/>
          <w:szCs w:val="22"/>
        </w:rPr>
      </w:pPr>
      <w:r>
        <w:rPr>
          <w:sz w:val="22"/>
          <w:szCs w:val="22"/>
        </w:rPr>
        <w:t>Prípadná realizácia investičných a</w:t>
      </w:r>
      <w:r w:rsidRPr="00E92F9B">
        <w:rPr>
          <w:sz w:val="22"/>
          <w:szCs w:val="22"/>
        </w:rPr>
        <w:t>ktiv</w:t>
      </w:r>
      <w:r>
        <w:rPr>
          <w:sz w:val="22"/>
          <w:szCs w:val="22"/>
        </w:rPr>
        <w:t xml:space="preserve">ít bude mať pozitívny vplyv </w:t>
      </w:r>
      <w:r w:rsidRPr="00E92F9B">
        <w:rPr>
          <w:sz w:val="22"/>
          <w:szCs w:val="22"/>
        </w:rPr>
        <w:t>na celý priľahlý podunajský región</w:t>
      </w:r>
      <w:r>
        <w:rPr>
          <w:sz w:val="22"/>
          <w:szCs w:val="22"/>
        </w:rPr>
        <w:t xml:space="preserve"> a </w:t>
      </w:r>
      <w:r w:rsidRPr="00E92F9B">
        <w:rPr>
          <w:sz w:val="22"/>
          <w:szCs w:val="22"/>
        </w:rPr>
        <w:t>prispej</w:t>
      </w:r>
      <w:r>
        <w:rPr>
          <w:sz w:val="22"/>
          <w:szCs w:val="22"/>
        </w:rPr>
        <w:t>e</w:t>
      </w:r>
      <w:r w:rsidRPr="00E92F9B">
        <w:rPr>
          <w:sz w:val="22"/>
          <w:szCs w:val="22"/>
        </w:rPr>
        <w:t xml:space="preserve"> k nap</w:t>
      </w:r>
      <w:r>
        <w:rPr>
          <w:sz w:val="22"/>
          <w:szCs w:val="22"/>
        </w:rPr>
        <w:t>ĺ</w:t>
      </w:r>
      <w:r w:rsidRPr="00E92F9B">
        <w:rPr>
          <w:sz w:val="22"/>
          <w:szCs w:val="22"/>
        </w:rPr>
        <w:t>ňaniu cieľov makroregionálnej Stratégie EÚ pre dunajský región</w:t>
      </w:r>
      <w:r w:rsidRPr="00E92F9B">
        <w:rPr>
          <w:rStyle w:val="Odkaznapoznmkupodiarou"/>
          <w:sz w:val="22"/>
          <w:szCs w:val="22"/>
        </w:rPr>
        <w:footnoteReference w:id="18"/>
      </w:r>
      <w:r>
        <w:rPr>
          <w:sz w:val="22"/>
          <w:szCs w:val="22"/>
        </w:rPr>
        <w:t xml:space="preserve"> (ďalej len „dunajská stratégia“)</w:t>
      </w:r>
      <w:r w:rsidRPr="00E92F9B">
        <w:rPr>
          <w:sz w:val="22"/>
          <w:szCs w:val="22"/>
        </w:rPr>
        <w:t xml:space="preserve">, prioritne </w:t>
      </w:r>
      <w:r>
        <w:rPr>
          <w:sz w:val="22"/>
          <w:szCs w:val="22"/>
        </w:rPr>
        <w:t xml:space="preserve">však pre plnenie </w:t>
      </w:r>
      <w:r w:rsidRPr="00E92F9B">
        <w:rPr>
          <w:sz w:val="22"/>
          <w:szCs w:val="22"/>
        </w:rPr>
        <w:t>cieľ</w:t>
      </w:r>
      <w:r>
        <w:rPr>
          <w:sz w:val="22"/>
          <w:szCs w:val="22"/>
        </w:rPr>
        <w:t>a</w:t>
      </w:r>
      <w:r w:rsidRPr="00E92F9B">
        <w:rPr>
          <w:sz w:val="22"/>
          <w:szCs w:val="22"/>
        </w:rPr>
        <w:t xml:space="preserve"> „</w:t>
      </w:r>
      <w:r>
        <w:rPr>
          <w:i/>
          <w:sz w:val="22"/>
          <w:szCs w:val="22"/>
        </w:rPr>
        <w:t>1. </w:t>
      </w:r>
      <w:r w:rsidRPr="00E92F9B">
        <w:rPr>
          <w:i/>
          <w:sz w:val="22"/>
          <w:szCs w:val="22"/>
        </w:rPr>
        <w:t>zlepšenie mobility a multimodality</w:t>
      </w:r>
      <w:r w:rsidRPr="00E92F9B">
        <w:rPr>
          <w:sz w:val="22"/>
          <w:szCs w:val="22"/>
        </w:rPr>
        <w:t>“.</w:t>
      </w:r>
      <w:r w:rsidRPr="00E92F9B">
        <w:t xml:space="preserve"> S</w:t>
      </w:r>
      <w:r w:rsidRPr="00E92F9B">
        <w:rPr>
          <w:sz w:val="22"/>
          <w:szCs w:val="22"/>
        </w:rPr>
        <w:t xml:space="preserve">ynergické prepojenia medzi prioritnými oblasťami </w:t>
      </w:r>
      <w:r>
        <w:rPr>
          <w:sz w:val="22"/>
          <w:szCs w:val="22"/>
        </w:rPr>
        <w:t>d</w:t>
      </w:r>
      <w:r w:rsidRPr="00E92F9B">
        <w:rPr>
          <w:sz w:val="22"/>
          <w:szCs w:val="22"/>
        </w:rPr>
        <w:t>unajskej stratégie</w:t>
      </w:r>
      <w:r>
        <w:rPr>
          <w:sz w:val="22"/>
          <w:szCs w:val="22"/>
        </w:rPr>
        <w:t xml:space="preserve"> </w:t>
      </w:r>
      <w:r w:rsidRPr="00E92F9B">
        <w:rPr>
          <w:sz w:val="22"/>
          <w:szCs w:val="22"/>
        </w:rPr>
        <w:t>a hlavnými programami EŠIF sú uvedené v kap. 3.1.4 PD SR.</w:t>
      </w:r>
    </w:p>
    <w:p w:rsidR="002F2B02" w:rsidRDefault="002F2B02" w:rsidP="002F2B02">
      <w:pPr>
        <w:spacing w:before="180"/>
        <w:jc w:val="both"/>
        <w:rPr>
          <w:sz w:val="22"/>
          <w:szCs w:val="22"/>
        </w:rPr>
      </w:pPr>
      <w:r w:rsidRPr="004901C9">
        <w:rPr>
          <w:sz w:val="22"/>
          <w:szCs w:val="22"/>
        </w:rPr>
        <w:t>Rozvoj a</w:t>
      </w:r>
      <w:r>
        <w:rPr>
          <w:sz w:val="22"/>
          <w:szCs w:val="22"/>
        </w:rPr>
        <w:t> modernizácia </w:t>
      </w:r>
      <w:r w:rsidRPr="004901C9">
        <w:rPr>
          <w:sz w:val="22"/>
          <w:szCs w:val="22"/>
        </w:rPr>
        <w:t>verejných prístavov</w:t>
      </w:r>
      <w:r>
        <w:rPr>
          <w:sz w:val="22"/>
          <w:szCs w:val="22"/>
        </w:rPr>
        <w:t xml:space="preserve"> spolu s rozvojom vodných ciest má</w:t>
      </w:r>
      <w:r w:rsidRPr="004901C9">
        <w:rPr>
          <w:sz w:val="22"/>
          <w:szCs w:val="22"/>
        </w:rPr>
        <w:t xml:space="preserve"> potenciál v</w:t>
      </w:r>
      <w:r>
        <w:rPr>
          <w:sz w:val="22"/>
          <w:szCs w:val="22"/>
        </w:rPr>
        <w:t> </w:t>
      </w:r>
      <w:r w:rsidRPr="004901C9">
        <w:rPr>
          <w:sz w:val="22"/>
          <w:szCs w:val="22"/>
        </w:rPr>
        <w:t xml:space="preserve">značnej miere prispieť </w:t>
      </w:r>
      <w:r>
        <w:rPr>
          <w:sz w:val="22"/>
          <w:szCs w:val="22"/>
        </w:rPr>
        <w:t>k </w:t>
      </w:r>
      <w:r w:rsidRPr="004901C9">
        <w:rPr>
          <w:sz w:val="22"/>
          <w:szCs w:val="22"/>
        </w:rPr>
        <w:t>rozvoju hospodárstva a</w:t>
      </w:r>
      <w:r>
        <w:rPr>
          <w:sz w:val="22"/>
          <w:szCs w:val="22"/>
        </w:rPr>
        <w:t> </w:t>
      </w:r>
      <w:r w:rsidRPr="004901C9">
        <w:rPr>
          <w:sz w:val="22"/>
          <w:szCs w:val="22"/>
        </w:rPr>
        <w:t>zamestnanosti, ako aj k</w:t>
      </w:r>
      <w:r>
        <w:rPr>
          <w:sz w:val="22"/>
          <w:szCs w:val="22"/>
        </w:rPr>
        <w:t> </w:t>
      </w:r>
      <w:r w:rsidRPr="004901C9">
        <w:rPr>
          <w:sz w:val="22"/>
          <w:szCs w:val="22"/>
        </w:rPr>
        <w:t>samotnej</w:t>
      </w:r>
      <w:r>
        <w:rPr>
          <w:sz w:val="22"/>
          <w:szCs w:val="22"/>
        </w:rPr>
        <w:t xml:space="preserve"> podpore hospodárskeho rastu SR. Preprava vhodných tovarov prostredníctvom vodnej dopravy má potenciál znížiť podiel tranzitnej cestnej dopravy a znižovať súvisiace vplyvy na životné prostredie. R</w:t>
      </w:r>
      <w:r w:rsidRPr="004901C9">
        <w:rPr>
          <w:sz w:val="22"/>
          <w:szCs w:val="22"/>
        </w:rPr>
        <w:t>ealizácii</w:t>
      </w:r>
      <w:r>
        <w:rPr>
          <w:sz w:val="22"/>
          <w:szCs w:val="22"/>
        </w:rPr>
        <w:t xml:space="preserve"> konkrétnych investičných akcií bude</w:t>
      </w:r>
      <w:r w:rsidRPr="004901C9">
        <w:rPr>
          <w:sz w:val="22"/>
          <w:szCs w:val="22"/>
        </w:rPr>
        <w:t xml:space="preserve"> predchádzať plnohodnotný prípravný proces jednotlivých opatrení, ktorý ident</w:t>
      </w:r>
      <w:r>
        <w:rPr>
          <w:sz w:val="22"/>
          <w:szCs w:val="22"/>
        </w:rPr>
        <w:t>ifikuje ich rozvojový potenciál a potvrdí</w:t>
      </w:r>
      <w:r w:rsidRPr="004901C9">
        <w:rPr>
          <w:sz w:val="22"/>
          <w:szCs w:val="22"/>
        </w:rPr>
        <w:t xml:space="preserve"> ekonomickú opodstatnenosť a</w:t>
      </w:r>
      <w:r>
        <w:rPr>
          <w:sz w:val="22"/>
          <w:szCs w:val="22"/>
        </w:rPr>
        <w:t> udržateľnosť.</w:t>
      </w:r>
    </w:p>
    <w:p w:rsidR="00B6686F" w:rsidRPr="004901C9" w:rsidRDefault="00B6686F" w:rsidP="002F2B02">
      <w:pPr>
        <w:spacing w:before="180"/>
        <w:jc w:val="both"/>
        <w:rPr>
          <w:sz w:val="22"/>
          <w:szCs w:val="22"/>
        </w:rPr>
      </w:pPr>
    </w:p>
    <w:p w:rsidR="007712BE" w:rsidRPr="001B2070" w:rsidRDefault="007712BE" w:rsidP="001B2070">
      <w:pPr>
        <w:spacing w:before="180" w:after="120"/>
        <w:rPr>
          <w:rFonts w:ascii="Arial Narrow" w:hAnsi="Arial Narrow"/>
          <w:b/>
          <w:i/>
          <w:color w:val="548DD4" w:themeColor="text2" w:themeTint="99"/>
          <w:sz w:val="22"/>
          <w:szCs w:val="22"/>
        </w:rPr>
      </w:pPr>
      <w:r w:rsidRPr="001B2070">
        <w:rPr>
          <w:rFonts w:ascii="Arial Narrow" w:hAnsi="Arial Narrow"/>
          <w:b/>
          <w:i/>
          <w:color w:val="548DD4" w:themeColor="text2" w:themeTint="99"/>
          <w:sz w:val="22"/>
          <w:szCs w:val="22"/>
        </w:rPr>
        <w:lastRenderedPageBreak/>
        <w:t>V</w:t>
      </w:r>
      <w:r w:rsidR="006D24A5" w:rsidRPr="001B2070">
        <w:rPr>
          <w:rFonts w:ascii="Arial Narrow" w:hAnsi="Arial Narrow"/>
          <w:b/>
          <w:i/>
          <w:color w:val="548DD4" w:themeColor="text2" w:themeTint="99"/>
          <w:sz w:val="22"/>
          <w:szCs w:val="22"/>
        </w:rPr>
        <w:t>ÝSLEDKY</w:t>
      </w:r>
    </w:p>
    <w:p w:rsidR="00E63B65" w:rsidRDefault="00E63B65" w:rsidP="00FE6025">
      <w:pPr>
        <w:pStyle w:val="Odsekzoznamu"/>
        <w:numPr>
          <w:ilvl w:val="0"/>
          <w:numId w:val="48"/>
        </w:numPr>
        <w:autoSpaceDE w:val="0"/>
        <w:autoSpaceDN w:val="0"/>
        <w:adjustRightInd w:val="0"/>
        <w:jc w:val="both"/>
        <w:rPr>
          <w:color w:val="000000" w:themeColor="text1"/>
          <w:sz w:val="22"/>
          <w:szCs w:val="22"/>
        </w:rPr>
      </w:pPr>
      <w:r>
        <w:rPr>
          <w:color w:val="000000" w:themeColor="text1"/>
          <w:sz w:val="22"/>
          <w:szCs w:val="22"/>
        </w:rPr>
        <w:t>zlepšenie kvality verejných služieb poskytovaných v prístave v Bratislave,</w:t>
      </w:r>
    </w:p>
    <w:p w:rsidR="00E63B65" w:rsidRDefault="00E63B65" w:rsidP="00FE6025">
      <w:pPr>
        <w:pStyle w:val="Odsekzoznamu"/>
        <w:numPr>
          <w:ilvl w:val="0"/>
          <w:numId w:val="48"/>
        </w:numPr>
        <w:autoSpaceDE w:val="0"/>
        <w:autoSpaceDN w:val="0"/>
        <w:adjustRightInd w:val="0"/>
        <w:jc w:val="both"/>
        <w:rPr>
          <w:color w:val="000000" w:themeColor="text1"/>
          <w:sz w:val="22"/>
          <w:szCs w:val="22"/>
        </w:rPr>
      </w:pPr>
      <w:r>
        <w:rPr>
          <w:color w:val="000000" w:themeColor="text1"/>
          <w:sz w:val="22"/>
          <w:szCs w:val="22"/>
        </w:rPr>
        <w:t>zvýšenie bezpečnosti</w:t>
      </w:r>
      <w:r w:rsidR="00C40AF1">
        <w:rPr>
          <w:color w:val="000000" w:themeColor="text1"/>
          <w:sz w:val="22"/>
          <w:szCs w:val="22"/>
        </w:rPr>
        <w:t xml:space="preserve"> vodnej dopravy</w:t>
      </w:r>
      <w:r>
        <w:rPr>
          <w:color w:val="000000" w:themeColor="text1"/>
          <w:sz w:val="22"/>
          <w:szCs w:val="22"/>
        </w:rPr>
        <w:t>,</w:t>
      </w:r>
    </w:p>
    <w:p w:rsidR="00E63B65" w:rsidRDefault="00E63B65" w:rsidP="00FE6025">
      <w:pPr>
        <w:pStyle w:val="Odsekzoznamu"/>
        <w:numPr>
          <w:ilvl w:val="0"/>
          <w:numId w:val="48"/>
        </w:numPr>
        <w:autoSpaceDE w:val="0"/>
        <w:autoSpaceDN w:val="0"/>
        <w:adjustRightInd w:val="0"/>
        <w:spacing w:before="180"/>
        <w:jc w:val="both"/>
        <w:rPr>
          <w:color w:val="000000" w:themeColor="text1"/>
          <w:sz w:val="22"/>
          <w:szCs w:val="22"/>
        </w:rPr>
      </w:pPr>
      <w:r>
        <w:rPr>
          <w:color w:val="000000" w:themeColor="text1"/>
          <w:sz w:val="22"/>
          <w:szCs w:val="22"/>
        </w:rPr>
        <w:t>zníženie negatívnych vplyvov na životné prostredie,</w:t>
      </w:r>
    </w:p>
    <w:p w:rsidR="002F2B02" w:rsidRDefault="002F2B02" w:rsidP="004A414A">
      <w:pPr>
        <w:pStyle w:val="Odsekzoznamu"/>
        <w:numPr>
          <w:ilvl w:val="0"/>
          <w:numId w:val="48"/>
        </w:numPr>
        <w:autoSpaceDE w:val="0"/>
        <w:autoSpaceDN w:val="0"/>
        <w:adjustRightInd w:val="0"/>
        <w:spacing w:before="180"/>
        <w:jc w:val="both"/>
        <w:rPr>
          <w:color w:val="000000" w:themeColor="text1"/>
          <w:sz w:val="22"/>
          <w:szCs w:val="22"/>
        </w:rPr>
      </w:pPr>
      <w:r>
        <w:rPr>
          <w:color w:val="000000" w:themeColor="text1"/>
          <w:sz w:val="22"/>
          <w:szCs w:val="22"/>
        </w:rPr>
        <w:t>vytváranie predpokladov na odstránenie kľúčových úzkych miest na infraštruktúre vodnej dopravy v TEN-T,</w:t>
      </w:r>
    </w:p>
    <w:p w:rsidR="004A414A" w:rsidRPr="007E258D" w:rsidRDefault="00171EDB" w:rsidP="004A414A">
      <w:pPr>
        <w:pStyle w:val="Odsekzoznamu"/>
        <w:numPr>
          <w:ilvl w:val="0"/>
          <w:numId w:val="48"/>
        </w:numPr>
        <w:autoSpaceDE w:val="0"/>
        <w:autoSpaceDN w:val="0"/>
        <w:adjustRightInd w:val="0"/>
        <w:spacing w:before="180"/>
        <w:jc w:val="both"/>
        <w:rPr>
          <w:color w:val="000000" w:themeColor="text1"/>
          <w:sz w:val="22"/>
          <w:szCs w:val="22"/>
        </w:rPr>
      </w:pPr>
      <w:r w:rsidRPr="00750184">
        <w:rPr>
          <w:color w:val="000000" w:themeColor="text1"/>
          <w:sz w:val="22"/>
          <w:szCs w:val="22"/>
        </w:rPr>
        <w:t xml:space="preserve">vytváranie predpokladov na zvýšenie podielu </w:t>
      </w:r>
      <w:r>
        <w:rPr>
          <w:color w:val="000000" w:themeColor="text1"/>
          <w:sz w:val="22"/>
          <w:szCs w:val="22"/>
        </w:rPr>
        <w:t>vodnej</w:t>
      </w:r>
      <w:r w:rsidRPr="00750184">
        <w:rPr>
          <w:color w:val="000000" w:themeColor="text1"/>
          <w:sz w:val="22"/>
          <w:szCs w:val="22"/>
        </w:rPr>
        <w:t xml:space="preserve"> dopravy na deľbe prepravnej práce</w:t>
      </w:r>
      <w:r>
        <w:rPr>
          <w:color w:val="000000" w:themeColor="text1"/>
          <w:sz w:val="22"/>
          <w:szCs w:val="22"/>
        </w:rPr>
        <w:t>.</w:t>
      </w:r>
    </w:p>
    <w:p w:rsidR="0060675C" w:rsidRDefault="006D24A5" w:rsidP="0060675C">
      <w:pPr>
        <w:pStyle w:val="Tab"/>
      </w:pPr>
      <w:r w:rsidRPr="004F0234">
        <w:t>Výsledkové ukazovatele zodpovedajúce špecifickému cieľu</w:t>
      </w:r>
      <w:r w:rsidR="003D6170">
        <w:t xml:space="preserve"> 4.1</w:t>
      </w:r>
    </w:p>
    <w:tbl>
      <w:tblPr>
        <w:tblStyle w:val="Mriekatabuky"/>
        <w:tblW w:w="928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3"/>
        <w:gridCol w:w="1427"/>
        <w:gridCol w:w="898"/>
        <w:gridCol w:w="1012"/>
        <w:gridCol w:w="1297"/>
        <w:gridCol w:w="1297"/>
        <w:gridCol w:w="889"/>
        <w:gridCol w:w="775"/>
        <w:gridCol w:w="1199"/>
      </w:tblGrid>
      <w:tr w:rsidR="0060675C" w:rsidRPr="008C1732" w:rsidTr="002E1021">
        <w:trPr>
          <w:trHeight w:val="487"/>
          <w:jc w:val="center"/>
        </w:trPr>
        <w:tc>
          <w:tcPr>
            <w:tcW w:w="556" w:type="dxa"/>
            <w:shd w:val="clear" w:color="auto" w:fill="C6D9F1" w:themeFill="text2" w:themeFillTint="33"/>
            <w:vAlign w:val="center"/>
          </w:tcPr>
          <w:p w:rsidR="0060675C" w:rsidRPr="008C1732" w:rsidRDefault="0060675C" w:rsidP="00816B1A">
            <w:pPr>
              <w:ind w:left="0"/>
              <w:jc w:val="center"/>
              <w:rPr>
                <w:b/>
                <w:sz w:val="18"/>
                <w:szCs w:val="18"/>
              </w:rPr>
            </w:pPr>
            <w:r>
              <w:rPr>
                <w:b/>
                <w:sz w:val="18"/>
                <w:szCs w:val="18"/>
              </w:rPr>
              <w:t>P. č.</w:t>
            </w:r>
          </w:p>
        </w:tc>
        <w:tc>
          <w:tcPr>
            <w:tcW w:w="1304" w:type="dxa"/>
            <w:shd w:val="clear" w:color="auto" w:fill="C6D9F1" w:themeFill="text2" w:themeFillTint="33"/>
            <w:vAlign w:val="center"/>
          </w:tcPr>
          <w:p w:rsidR="0060675C" w:rsidRPr="008C1732" w:rsidRDefault="0060675C" w:rsidP="00816B1A">
            <w:pPr>
              <w:ind w:left="0"/>
              <w:jc w:val="center"/>
              <w:rPr>
                <w:b/>
                <w:sz w:val="18"/>
                <w:szCs w:val="18"/>
              </w:rPr>
            </w:pPr>
            <w:r w:rsidRPr="008C1732">
              <w:rPr>
                <w:b/>
                <w:sz w:val="18"/>
                <w:szCs w:val="18"/>
              </w:rPr>
              <w:t>Ukazovateľ</w:t>
            </w:r>
          </w:p>
        </w:tc>
        <w:tc>
          <w:tcPr>
            <w:tcW w:w="898" w:type="dxa"/>
            <w:shd w:val="clear" w:color="auto" w:fill="C6D9F1" w:themeFill="text2" w:themeFillTint="33"/>
            <w:vAlign w:val="center"/>
          </w:tcPr>
          <w:p w:rsidR="0060675C" w:rsidRPr="008C1732" w:rsidRDefault="0060675C" w:rsidP="00816B1A">
            <w:pPr>
              <w:ind w:left="0"/>
              <w:jc w:val="center"/>
              <w:rPr>
                <w:b/>
                <w:sz w:val="18"/>
                <w:szCs w:val="18"/>
              </w:rPr>
            </w:pPr>
            <w:r w:rsidRPr="008C1732">
              <w:rPr>
                <w:b/>
                <w:sz w:val="18"/>
                <w:szCs w:val="18"/>
              </w:rPr>
              <w:t>Merná jednotka</w:t>
            </w:r>
          </w:p>
        </w:tc>
        <w:tc>
          <w:tcPr>
            <w:tcW w:w="1025" w:type="dxa"/>
            <w:shd w:val="clear" w:color="auto" w:fill="C6D9F1" w:themeFill="text2" w:themeFillTint="33"/>
            <w:vAlign w:val="center"/>
          </w:tcPr>
          <w:p w:rsidR="0060675C" w:rsidRPr="008C1732" w:rsidRDefault="0060675C" w:rsidP="00816B1A">
            <w:pPr>
              <w:ind w:left="0"/>
              <w:jc w:val="center"/>
              <w:rPr>
                <w:b/>
                <w:sz w:val="18"/>
                <w:szCs w:val="18"/>
              </w:rPr>
            </w:pPr>
            <w:r w:rsidRPr="008C1732">
              <w:rPr>
                <w:b/>
                <w:sz w:val="18"/>
                <w:szCs w:val="18"/>
              </w:rPr>
              <w:t>Kategória regiónu</w:t>
            </w:r>
          </w:p>
        </w:tc>
        <w:tc>
          <w:tcPr>
            <w:tcW w:w="1297" w:type="dxa"/>
            <w:shd w:val="clear" w:color="auto" w:fill="C6D9F1" w:themeFill="text2" w:themeFillTint="33"/>
            <w:vAlign w:val="center"/>
          </w:tcPr>
          <w:p w:rsidR="0060675C" w:rsidRPr="008C1732" w:rsidRDefault="0060675C" w:rsidP="00816B1A">
            <w:pPr>
              <w:ind w:left="0"/>
              <w:jc w:val="center"/>
              <w:rPr>
                <w:b/>
                <w:sz w:val="18"/>
                <w:szCs w:val="18"/>
              </w:rPr>
            </w:pPr>
            <w:r>
              <w:rPr>
                <w:b/>
                <w:sz w:val="18"/>
                <w:szCs w:val="18"/>
              </w:rPr>
              <w:t>Východisková hodnota</w:t>
            </w:r>
          </w:p>
        </w:tc>
        <w:tc>
          <w:tcPr>
            <w:tcW w:w="1297" w:type="dxa"/>
            <w:shd w:val="clear" w:color="auto" w:fill="C6D9F1" w:themeFill="text2" w:themeFillTint="33"/>
            <w:vAlign w:val="center"/>
          </w:tcPr>
          <w:p w:rsidR="0060675C" w:rsidRPr="008C1732" w:rsidRDefault="0060675C" w:rsidP="00816B1A">
            <w:pPr>
              <w:ind w:left="0"/>
              <w:jc w:val="center"/>
              <w:rPr>
                <w:b/>
                <w:sz w:val="18"/>
                <w:szCs w:val="18"/>
              </w:rPr>
            </w:pPr>
            <w:r>
              <w:rPr>
                <w:b/>
                <w:sz w:val="18"/>
                <w:szCs w:val="18"/>
              </w:rPr>
              <w:t>Východiskový rok</w:t>
            </w:r>
          </w:p>
        </w:tc>
        <w:tc>
          <w:tcPr>
            <w:tcW w:w="911" w:type="dxa"/>
            <w:shd w:val="clear" w:color="auto" w:fill="C6D9F1" w:themeFill="text2" w:themeFillTint="33"/>
            <w:vAlign w:val="center"/>
          </w:tcPr>
          <w:p w:rsidR="0060675C" w:rsidRPr="008C1732" w:rsidRDefault="0060675C" w:rsidP="00816B1A">
            <w:pPr>
              <w:ind w:left="0"/>
              <w:jc w:val="center"/>
              <w:rPr>
                <w:b/>
                <w:sz w:val="18"/>
                <w:szCs w:val="18"/>
              </w:rPr>
            </w:pPr>
            <w:r w:rsidRPr="008C1732">
              <w:rPr>
                <w:b/>
                <w:sz w:val="18"/>
                <w:szCs w:val="18"/>
              </w:rPr>
              <w:t>Cieľová hodnota (2023)</w:t>
            </w:r>
          </w:p>
        </w:tc>
        <w:tc>
          <w:tcPr>
            <w:tcW w:w="789" w:type="dxa"/>
            <w:shd w:val="clear" w:color="auto" w:fill="C6D9F1" w:themeFill="text2" w:themeFillTint="33"/>
            <w:vAlign w:val="center"/>
          </w:tcPr>
          <w:p w:rsidR="0060675C" w:rsidRPr="008C1732" w:rsidRDefault="0060675C" w:rsidP="00816B1A">
            <w:pPr>
              <w:ind w:left="0"/>
              <w:jc w:val="center"/>
              <w:rPr>
                <w:b/>
                <w:sz w:val="18"/>
                <w:szCs w:val="18"/>
              </w:rPr>
            </w:pPr>
            <w:r w:rsidRPr="008C1732">
              <w:rPr>
                <w:b/>
                <w:sz w:val="18"/>
                <w:szCs w:val="18"/>
              </w:rPr>
              <w:t>Zdroj údajov</w:t>
            </w:r>
          </w:p>
        </w:tc>
        <w:tc>
          <w:tcPr>
            <w:tcW w:w="1210" w:type="dxa"/>
            <w:shd w:val="clear" w:color="auto" w:fill="C6D9F1" w:themeFill="text2" w:themeFillTint="33"/>
            <w:vAlign w:val="center"/>
          </w:tcPr>
          <w:p w:rsidR="0060675C" w:rsidRPr="008C1732" w:rsidRDefault="0060675C" w:rsidP="00816B1A">
            <w:pPr>
              <w:ind w:left="0"/>
              <w:jc w:val="center"/>
              <w:rPr>
                <w:b/>
                <w:sz w:val="18"/>
                <w:szCs w:val="18"/>
              </w:rPr>
            </w:pPr>
            <w:r w:rsidRPr="008C1732">
              <w:rPr>
                <w:b/>
                <w:sz w:val="18"/>
                <w:szCs w:val="18"/>
              </w:rPr>
              <w:t>Frekvencia vykazovania</w:t>
            </w:r>
          </w:p>
        </w:tc>
      </w:tr>
      <w:tr w:rsidR="0060675C" w:rsidRPr="00AB18C1" w:rsidTr="002E1021">
        <w:trPr>
          <w:trHeight w:val="680"/>
          <w:jc w:val="center"/>
        </w:trPr>
        <w:tc>
          <w:tcPr>
            <w:tcW w:w="556" w:type="dxa"/>
            <w:shd w:val="clear" w:color="auto" w:fill="auto"/>
            <w:vAlign w:val="center"/>
          </w:tcPr>
          <w:p w:rsidR="0060675C" w:rsidRPr="00336C1F" w:rsidRDefault="0060675C" w:rsidP="00816B1A">
            <w:pPr>
              <w:ind w:left="0"/>
              <w:jc w:val="center"/>
              <w:rPr>
                <w:sz w:val="20"/>
                <w:szCs w:val="20"/>
              </w:rPr>
            </w:pPr>
            <w:r>
              <w:rPr>
                <w:sz w:val="20"/>
                <w:szCs w:val="20"/>
              </w:rPr>
              <w:t>1.</w:t>
            </w:r>
          </w:p>
        </w:tc>
        <w:tc>
          <w:tcPr>
            <w:tcW w:w="1304" w:type="dxa"/>
            <w:shd w:val="clear" w:color="auto" w:fill="auto"/>
            <w:vAlign w:val="center"/>
          </w:tcPr>
          <w:p w:rsidR="0060675C" w:rsidRPr="00AB18C1" w:rsidRDefault="005F76B2" w:rsidP="00816B1A">
            <w:pPr>
              <w:ind w:left="0"/>
              <w:rPr>
                <w:sz w:val="20"/>
                <w:szCs w:val="20"/>
              </w:rPr>
            </w:pPr>
            <w:r>
              <w:rPr>
                <w:sz w:val="20"/>
                <w:szCs w:val="20"/>
              </w:rPr>
              <w:t>Objem zrealizovaných výkonov nákladnej dopravy vo verejnom prístave Bratislava</w:t>
            </w:r>
          </w:p>
        </w:tc>
        <w:tc>
          <w:tcPr>
            <w:tcW w:w="898" w:type="dxa"/>
            <w:shd w:val="clear" w:color="auto" w:fill="auto"/>
            <w:vAlign w:val="center"/>
          </w:tcPr>
          <w:p w:rsidR="0060675C" w:rsidRPr="00AB18C1" w:rsidRDefault="005F76B2" w:rsidP="00816B1A">
            <w:pPr>
              <w:ind w:left="0"/>
              <w:jc w:val="center"/>
              <w:rPr>
                <w:sz w:val="20"/>
                <w:szCs w:val="20"/>
              </w:rPr>
            </w:pPr>
            <w:r>
              <w:rPr>
                <w:sz w:val="20"/>
                <w:szCs w:val="20"/>
              </w:rPr>
              <w:t>tis. ton</w:t>
            </w:r>
          </w:p>
        </w:tc>
        <w:tc>
          <w:tcPr>
            <w:tcW w:w="1025" w:type="dxa"/>
            <w:shd w:val="clear" w:color="auto" w:fill="auto"/>
            <w:vAlign w:val="center"/>
          </w:tcPr>
          <w:p w:rsidR="0060675C" w:rsidRPr="00AB18C1" w:rsidRDefault="0060675C" w:rsidP="00816B1A">
            <w:pPr>
              <w:ind w:left="0"/>
              <w:jc w:val="center"/>
              <w:rPr>
                <w:sz w:val="20"/>
                <w:szCs w:val="20"/>
              </w:rPr>
            </w:pPr>
            <w:r w:rsidRPr="00AB18C1">
              <w:rPr>
                <w:sz w:val="20"/>
                <w:szCs w:val="20"/>
              </w:rPr>
              <w:t>N/A</w:t>
            </w:r>
          </w:p>
        </w:tc>
        <w:tc>
          <w:tcPr>
            <w:tcW w:w="1297" w:type="dxa"/>
            <w:vAlign w:val="center"/>
          </w:tcPr>
          <w:p w:rsidR="0060675C" w:rsidRPr="00AB18C1" w:rsidRDefault="0060675C" w:rsidP="00816B1A">
            <w:pPr>
              <w:jc w:val="center"/>
              <w:rPr>
                <w:sz w:val="20"/>
                <w:szCs w:val="20"/>
              </w:rPr>
            </w:pPr>
          </w:p>
        </w:tc>
        <w:tc>
          <w:tcPr>
            <w:tcW w:w="1297" w:type="dxa"/>
            <w:vAlign w:val="center"/>
          </w:tcPr>
          <w:p w:rsidR="0060675C" w:rsidRPr="00AB18C1" w:rsidRDefault="0060675C" w:rsidP="00816B1A">
            <w:pPr>
              <w:ind w:left="0"/>
              <w:jc w:val="center"/>
              <w:rPr>
                <w:sz w:val="20"/>
                <w:szCs w:val="20"/>
              </w:rPr>
            </w:pPr>
            <w:r w:rsidRPr="00AB18C1">
              <w:rPr>
                <w:sz w:val="20"/>
                <w:szCs w:val="20"/>
              </w:rPr>
              <w:t>2013</w:t>
            </w:r>
          </w:p>
        </w:tc>
        <w:tc>
          <w:tcPr>
            <w:tcW w:w="911" w:type="dxa"/>
            <w:shd w:val="clear" w:color="auto" w:fill="auto"/>
            <w:vAlign w:val="center"/>
          </w:tcPr>
          <w:p w:rsidR="0060675C" w:rsidRPr="00AB18C1" w:rsidRDefault="0060675C" w:rsidP="00816B1A">
            <w:pPr>
              <w:ind w:left="0"/>
              <w:jc w:val="center"/>
              <w:rPr>
                <w:sz w:val="20"/>
                <w:szCs w:val="20"/>
              </w:rPr>
            </w:pPr>
          </w:p>
        </w:tc>
        <w:tc>
          <w:tcPr>
            <w:tcW w:w="789" w:type="dxa"/>
            <w:vAlign w:val="center"/>
          </w:tcPr>
          <w:p w:rsidR="0060675C" w:rsidRPr="00AB18C1" w:rsidRDefault="0060675C" w:rsidP="00816B1A">
            <w:pPr>
              <w:ind w:left="0"/>
              <w:jc w:val="center"/>
              <w:rPr>
                <w:sz w:val="20"/>
                <w:szCs w:val="20"/>
              </w:rPr>
            </w:pPr>
            <w:r w:rsidRPr="00AB18C1">
              <w:rPr>
                <w:sz w:val="20"/>
                <w:szCs w:val="20"/>
              </w:rPr>
              <w:t>RO OPII</w:t>
            </w:r>
          </w:p>
        </w:tc>
        <w:tc>
          <w:tcPr>
            <w:tcW w:w="1210" w:type="dxa"/>
            <w:vAlign w:val="center"/>
          </w:tcPr>
          <w:p w:rsidR="0060675C" w:rsidRPr="00AB18C1" w:rsidRDefault="0060675C" w:rsidP="00816B1A">
            <w:pPr>
              <w:ind w:left="0"/>
              <w:jc w:val="center"/>
              <w:rPr>
                <w:sz w:val="20"/>
                <w:szCs w:val="20"/>
              </w:rPr>
            </w:pPr>
            <w:r w:rsidRPr="00AB18C1">
              <w:rPr>
                <w:sz w:val="20"/>
                <w:szCs w:val="20"/>
              </w:rPr>
              <w:t>Ročne</w:t>
            </w:r>
          </w:p>
        </w:tc>
      </w:tr>
    </w:tbl>
    <w:p w:rsidR="0060675C" w:rsidRDefault="00395D81" w:rsidP="007746D2">
      <w:pPr>
        <w:rPr>
          <w:sz w:val="20"/>
          <w:szCs w:val="20"/>
        </w:rPr>
      </w:pPr>
      <w:r w:rsidRPr="007746D2">
        <w:rPr>
          <w:sz w:val="20"/>
          <w:szCs w:val="20"/>
          <w:u w:val="single"/>
        </w:rPr>
        <w:t>Pozn</w:t>
      </w:r>
      <w:r w:rsidRPr="007746D2">
        <w:rPr>
          <w:sz w:val="20"/>
          <w:szCs w:val="20"/>
        </w:rPr>
        <w:t xml:space="preserve">.: </w:t>
      </w:r>
      <w:r w:rsidR="00225C2F">
        <w:rPr>
          <w:sz w:val="20"/>
          <w:szCs w:val="20"/>
        </w:rPr>
        <w:t>Ukazovateľ a jeho hodnoty</w:t>
      </w:r>
      <w:r w:rsidRPr="007746D2">
        <w:rPr>
          <w:sz w:val="20"/>
          <w:szCs w:val="20"/>
        </w:rPr>
        <w:t xml:space="preserve"> budú doplnené v ďalšom štádiu prípravy dokumentu. </w:t>
      </w:r>
    </w:p>
    <w:p w:rsidR="006D24A5" w:rsidRDefault="004A5562" w:rsidP="00E01D5B">
      <w:pPr>
        <w:pStyle w:val="Nadpis3"/>
      </w:pPr>
      <w:bookmarkStart w:id="44" w:name="_Toc385310703"/>
      <w:r>
        <w:t>A</w:t>
      </w:r>
      <w:r w:rsidR="006D24A5">
        <w:t>ktivity</w:t>
      </w:r>
      <w:r>
        <w:t>, ktoré budú podporené v rámci investičnej priority</w:t>
      </w:r>
      <w:bookmarkEnd w:id="44"/>
    </w:p>
    <w:p w:rsidR="00E01D5B" w:rsidRPr="00E01D5B" w:rsidRDefault="00E01D5B" w:rsidP="00E01D5B">
      <w:pPr>
        <w:pStyle w:val="Nadpis4"/>
      </w:pPr>
      <w:r>
        <w:t>Opis typu a príklady aktivít</w:t>
      </w:r>
    </w:p>
    <w:p w:rsidR="006D24A5" w:rsidRPr="00336C1F" w:rsidRDefault="00E01D5B" w:rsidP="006D24A5">
      <w:pPr>
        <w:spacing w:before="180" w:after="120"/>
        <w:rPr>
          <w:sz w:val="22"/>
          <w:szCs w:val="22"/>
        </w:rPr>
      </w:pPr>
      <w:r>
        <w:rPr>
          <w:sz w:val="22"/>
          <w:szCs w:val="22"/>
          <w:u w:val="single"/>
        </w:rPr>
        <w:t xml:space="preserve">Investičná priorita 7a) </w:t>
      </w:r>
      <w:r w:rsidR="006D24A5" w:rsidRPr="00290C15">
        <w:rPr>
          <w:sz w:val="22"/>
          <w:szCs w:val="22"/>
          <w:u w:val="single"/>
        </w:rPr>
        <w:t>bude napĺňan</w:t>
      </w:r>
      <w:r>
        <w:rPr>
          <w:sz w:val="22"/>
          <w:szCs w:val="22"/>
          <w:u w:val="single"/>
        </w:rPr>
        <w:t>á</w:t>
      </w:r>
      <w:r w:rsidR="006D24A5" w:rsidRPr="00290C15">
        <w:rPr>
          <w:sz w:val="22"/>
          <w:szCs w:val="22"/>
          <w:u w:val="single"/>
        </w:rPr>
        <w:t xml:space="preserve"> prostredníctvom nasledujúcich aktivít</w:t>
      </w:r>
      <w:r w:rsidR="006D24A5" w:rsidRPr="00336C1F">
        <w:rPr>
          <w:sz w:val="22"/>
          <w:szCs w:val="22"/>
        </w:rPr>
        <w:t>:</w:t>
      </w:r>
    </w:p>
    <w:p w:rsidR="006D24A5" w:rsidRDefault="00976C76" w:rsidP="00FE6025">
      <w:pPr>
        <w:numPr>
          <w:ilvl w:val="2"/>
          <w:numId w:val="30"/>
        </w:numPr>
        <w:tabs>
          <w:tab w:val="clear" w:pos="360"/>
        </w:tabs>
        <w:ind w:left="426" w:hanging="426"/>
        <w:jc w:val="both"/>
        <w:rPr>
          <w:sz w:val="22"/>
          <w:szCs w:val="22"/>
        </w:rPr>
      </w:pPr>
      <w:r>
        <w:rPr>
          <w:sz w:val="22"/>
          <w:szCs w:val="22"/>
        </w:rPr>
        <w:t>Štúdie a projektová dokumentácia s cieľom z</w:t>
      </w:r>
      <w:r w:rsidR="004E4FC8">
        <w:rPr>
          <w:sz w:val="22"/>
          <w:szCs w:val="22"/>
        </w:rPr>
        <w:t>lepšeni</w:t>
      </w:r>
      <w:r>
        <w:rPr>
          <w:sz w:val="22"/>
          <w:szCs w:val="22"/>
        </w:rPr>
        <w:t>a</w:t>
      </w:r>
      <w:r w:rsidR="004E4FC8">
        <w:rPr>
          <w:sz w:val="22"/>
          <w:szCs w:val="22"/>
        </w:rPr>
        <w:t xml:space="preserve"> splavnosti </w:t>
      </w:r>
      <w:r w:rsidR="00425328">
        <w:rPr>
          <w:sz w:val="22"/>
          <w:szCs w:val="22"/>
        </w:rPr>
        <w:t>dunajskej vodnej cesty</w:t>
      </w:r>
      <w:r w:rsidR="00A7187D">
        <w:rPr>
          <w:sz w:val="22"/>
          <w:szCs w:val="22"/>
        </w:rPr>
        <w:t>,</w:t>
      </w:r>
    </w:p>
    <w:p w:rsidR="004D4026" w:rsidRDefault="007B6187" w:rsidP="00FE6025">
      <w:pPr>
        <w:numPr>
          <w:ilvl w:val="2"/>
          <w:numId w:val="30"/>
        </w:numPr>
        <w:tabs>
          <w:tab w:val="clear" w:pos="360"/>
        </w:tabs>
        <w:ind w:left="425" w:hanging="425"/>
        <w:jc w:val="both"/>
        <w:rPr>
          <w:sz w:val="22"/>
          <w:szCs w:val="22"/>
        </w:rPr>
      </w:pPr>
      <w:r>
        <w:rPr>
          <w:sz w:val="22"/>
          <w:szCs w:val="22"/>
        </w:rPr>
        <w:t xml:space="preserve">Modernizácia a výstavba </w:t>
      </w:r>
      <w:r w:rsidR="00E20FCD">
        <w:rPr>
          <w:sz w:val="22"/>
          <w:szCs w:val="22"/>
        </w:rPr>
        <w:t>verejného prístavu v Bratislave,</w:t>
      </w:r>
    </w:p>
    <w:p w:rsidR="007B6187" w:rsidRDefault="00C5050D" w:rsidP="00FE6025">
      <w:pPr>
        <w:numPr>
          <w:ilvl w:val="2"/>
          <w:numId w:val="30"/>
        </w:numPr>
        <w:tabs>
          <w:tab w:val="clear" w:pos="360"/>
        </w:tabs>
        <w:ind w:left="426" w:hanging="426"/>
        <w:jc w:val="both"/>
        <w:rPr>
          <w:sz w:val="22"/>
          <w:szCs w:val="22"/>
        </w:rPr>
      </w:pPr>
      <w:r>
        <w:rPr>
          <w:sz w:val="22"/>
          <w:szCs w:val="22"/>
        </w:rPr>
        <w:t>Z</w:t>
      </w:r>
      <w:r w:rsidR="007B6187" w:rsidRPr="000B131A">
        <w:rPr>
          <w:sz w:val="22"/>
          <w:szCs w:val="22"/>
        </w:rPr>
        <w:t>avádzanie moderných technológií do riadenia lodnej a</w:t>
      </w:r>
      <w:r w:rsidR="007B6187">
        <w:rPr>
          <w:sz w:val="22"/>
          <w:szCs w:val="22"/>
        </w:rPr>
        <w:t> </w:t>
      </w:r>
      <w:r w:rsidR="007B6187" w:rsidRPr="000B131A">
        <w:rPr>
          <w:sz w:val="22"/>
          <w:szCs w:val="22"/>
        </w:rPr>
        <w:t>prístavnej prevádzky,</w:t>
      </w:r>
    </w:p>
    <w:p w:rsidR="007B6187" w:rsidRPr="007B6187" w:rsidRDefault="00C5050D" w:rsidP="00FE6025">
      <w:pPr>
        <w:numPr>
          <w:ilvl w:val="2"/>
          <w:numId w:val="30"/>
        </w:numPr>
        <w:tabs>
          <w:tab w:val="clear" w:pos="360"/>
        </w:tabs>
        <w:ind w:left="426" w:hanging="426"/>
        <w:jc w:val="both"/>
        <w:rPr>
          <w:sz w:val="22"/>
          <w:szCs w:val="22"/>
        </w:rPr>
      </w:pPr>
      <w:r>
        <w:rPr>
          <w:sz w:val="22"/>
          <w:szCs w:val="22"/>
        </w:rPr>
        <w:t>P</w:t>
      </w:r>
      <w:r w:rsidR="007B6187">
        <w:rPr>
          <w:sz w:val="22"/>
          <w:szCs w:val="22"/>
        </w:rPr>
        <w:t>redinvestičná a projektová príprava.</w:t>
      </w:r>
    </w:p>
    <w:p w:rsidR="006D24A5" w:rsidRPr="005139F6" w:rsidRDefault="00976C76" w:rsidP="00FE6025">
      <w:pPr>
        <w:numPr>
          <w:ilvl w:val="2"/>
          <w:numId w:val="31"/>
        </w:numPr>
        <w:tabs>
          <w:tab w:val="clear" w:pos="360"/>
        </w:tabs>
        <w:spacing w:before="180" w:after="120"/>
        <w:ind w:left="851" w:hanging="425"/>
        <w:jc w:val="both"/>
        <w:rPr>
          <w:b/>
          <w:i/>
          <w:color w:val="4F81BD" w:themeColor="accent1"/>
          <w:sz w:val="22"/>
          <w:szCs w:val="22"/>
        </w:rPr>
      </w:pPr>
      <w:r>
        <w:rPr>
          <w:b/>
          <w:i/>
          <w:color w:val="4F81BD" w:themeColor="accent1"/>
          <w:sz w:val="22"/>
          <w:szCs w:val="22"/>
        </w:rPr>
        <w:t>Štúdie a projektová dokumentácia s cieľom z</w:t>
      </w:r>
      <w:r w:rsidR="00E20FCD" w:rsidRPr="005139F6">
        <w:rPr>
          <w:b/>
          <w:i/>
          <w:color w:val="4F81BD" w:themeColor="accent1"/>
          <w:sz w:val="22"/>
          <w:szCs w:val="22"/>
        </w:rPr>
        <w:t>lepšeni</w:t>
      </w:r>
      <w:r>
        <w:rPr>
          <w:b/>
          <w:i/>
          <w:color w:val="4F81BD" w:themeColor="accent1"/>
          <w:sz w:val="22"/>
          <w:szCs w:val="22"/>
        </w:rPr>
        <w:t>a</w:t>
      </w:r>
      <w:r w:rsidR="00E20FCD" w:rsidRPr="005139F6">
        <w:rPr>
          <w:b/>
          <w:i/>
          <w:color w:val="4F81BD" w:themeColor="accent1"/>
          <w:sz w:val="22"/>
          <w:szCs w:val="22"/>
        </w:rPr>
        <w:t xml:space="preserve"> splavnosti dunajskej vodnej cesty</w:t>
      </w:r>
    </w:p>
    <w:p w:rsidR="00976C76" w:rsidRDefault="00976C76" w:rsidP="00976C76">
      <w:pPr>
        <w:spacing w:before="180" w:after="120"/>
        <w:jc w:val="both"/>
        <w:rPr>
          <w:b/>
          <w:sz w:val="22"/>
          <w:szCs w:val="22"/>
        </w:rPr>
      </w:pPr>
      <w:r w:rsidRPr="00460CDC">
        <w:rPr>
          <w:b/>
          <w:sz w:val="22"/>
          <w:szCs w:val="22"/>
        </w:rPr>
        <w:t>Modernizáci</w:t>
      </w:r>
      <w:r>
        <w:rPr>
          <w:b/>
          <w:sz w:val="22"/>
          <w:szCs w:val="22"/>
        </w:rPr>
        <w:t>a</w:t>
      </w:r>
      <w:r w:rsidRPr="00460CDC">
        <w:rPr>
          <w:b/>
          <w:sz w:val="22"/>
          <w:szCs w:val="22"/>
        </w:rPr>
        <w:t xml:space="preserve"> a</w:t>
      </w:r>
      <w:r>
        <w:rPr>
          <w:b/>
          <w:sz w:val="22"/>
          <w:szCs w:val="22"/>
        </w:rPr>
        <w:t> </w:t>
      </w:r>
      <w:r w:rsidRPr="00460CDC">
        <w:rPr>
          <w:b/>
          <w:sz w:val="22"/>
          <w:szCs w:val="22"/>
        </w:rPr>
        <w:t xml:space="preserve">rozvoj jestvujúcich vodných ciest </w:t>
      </w:r>
      <w:r>
        <w:rPr>
          <w:b/>
          <w:sz w:val="22"/>
          <w:szCs w:val="22"/>
        </w:rPr>
        <w:t>má smerovať k</w:t>
      </w:r>
      <w:r w:rsidRPr="00460CDC">
        <w:rPr>
          <w:b/>
          <w:sz w:val="22"/>
          <w:szCs w:val="22"/>
        </w:rPr>
        <w:t> dosiahnu</w:t>
      </w:r>
      <w:r>
        <w:rPr>
          <w:b/>
          <w:sz w:val="22"/>
          <w:szCs w:val="22"/>
        </w:rPr>
        <w:t>tiu</w:t>
      </w:r>
      <w:r w:rsidRPr="00460CDC">
        <w:rPr>
          <w:b/>
          <w:sz w:val="22"/>
          <w:szCs w:val="22"/>
        </w:rPr>
        <w:t xml:space="preserve"> požadovan</w:t>
      </w:r>
      <w:r>
        <w:rPr>
          <w:b/>
          <w:sz w:val="22"/>
          <w:szCs w:val="22"/>
        </w:rPr>
        <w:t>ých</w:t>
      </w:r>
      <w:r w:rsidRPr="00460CDC">
        <w:rPr>
          <w:b/>
          <w:sz w:val="22"/>
          <w:szCs w:val="22"/>
        </w:rPr>
        <w:t xml:space="preserve"> dopravn</w:t>
      </w:r>
      <w:r>
        <w:rPr>
          <w:b/>
          <w:sz w:val="22"/>
          <w:szCs w:val="22"/>
        </w:rPr>
        <w:t>ých</w:t>
      </w:r>
      <w:r w:rsidRPr="00460CDC">
        <w:rPr>
          <w:b/>
          <w:sz w:val="22"/>
          <w:szCs w:val="22"/>
        </w:rPr>
        <w:t xml:space="preserve"> kritéri</w:t>
      </w:r>
      <w:r>
        <w:rPr>
          <w:b/>
          <w:sz w:val="22"/>
          <w:szCs w:val="22"/>
        </w:rPr>
        <w:t>í</w:t>
      </w:r>
      <w:r w:rsidRPr="00460CDC">
        <w:rPr>
          <w:b/>
          <w:sz w:val="22"/>
          <w:szCs w:val="22"/>
        </w:rPr>
        <w:t>, odstrán</w:t>
      </w:r>
      <w:r>
        <w:rPr>
          <w:b/>
          <w:sz w:val="22"/>
          <w:szCs w:val="22"/>
        </w:rPr>
        <w:t>en</w:t>
      </w:r>
      <w:r w:rsidRPr="00460CDC">
        <w:rPr>
          <w:b/>
          <w:sz w:val="22"/>
          <w:szCs w:val="22"/>
        </w:rPr>
        <w:t>i</w:t>
      </w:r>
      <w:r>
        <w:rPr>
          <w:b/>
          <w:sz w:val="22"/>
          <w:szCs w:val="22"/>
        </w:rPr>
        <w:t>u</w:t>
      </w:r>
      <w:r w:rsidRPr="00460CDC">
        <w:rPr>
          <w:b/>
          <w:sz w:val="22"/>
          <w:szCs w:val="22"/>
        </w:rPr>
        <w:t xml:space="preserve"> úzk</w:t>
      </w:r>
      <w:r>
        <w:rPr>
          <w:b/>
          <w:sz w:val="22"/>
          <w:szCs w:val="22"/>
        </w:rPr>
        <w:t>ych</w:t>
      </w:r>
      <w:r w:rsidRPr="00460CDC">
        <w:rPr>
          <w:b/>
          <w:sz w:val="22"/>
          <w:szCs w:val="22"/>
        </w:rPr>
        <w:t xml:space="preserve"> miest (plavebné prekážky) pre dosiahnutie parametrov plavebnej dráhy, ktoré sú pre SR záväzné a</w:t>
      </w:r>
      <w:r>
        <w:rPr>
          <w:b/>
          <w:sz w:val="22"/>
          <w:szCs w:val="22"/>
        </w:rPr>
        <w:t> </w:t>
      </w:r>
      <w:r w:rsidRPr="00460CDC">
        <w:rPr>
          <w:b/>
          <w:sz w:val="22"/>
          <w:szCs w:val="22"/>
        </w:rPr>
        <w:t>zabezpečia gara</w:t>
      </w:r>
      <w:r>
        <w:rPr>
          <w:b/>
          <w:sz w:val="22"/>
          <w:szCs w:val="22"/>
        </w:rPr>
        <w:t>ntované podmienky pre plavbu na </w:t>
      </w:r>
      <w:r w:rsidRPr="00460CDC">
        <w:rPr>
          <w:b/>
          <w:sz w:val="22"/>
          <w:szCs w:val="22"/>
        </w:rPr>
        <w:t>vodných cestách.</w:t>
      </w:r>
      <w:r w:rsidRPr="00BB3348">
        <w:rPr>
          <w:sz w:val="22"/>
          <w:szCs w:val="22"/>
        </w:rPr>
        <w:t xml:space="preserve"> Technické riešenie zabezpečenia splavnosti bude predmetom štúdie realizovateľnosti, ktorá bude úzko prihliadať na ekonomickú efektívnosť, ako aj environmentálnu prijateľnosť. </w:t>
      </w:r>
      <w:r w:rsidRPr="0022561E">
        <w:rPr>
          <w:b/>
          <w:sz w:val="22"/>
          <w:szCs w:val="22"/>
        </w:rPr>
        <w:t>MDVRR SR bude výsledky štúdie konzultovať s príslušnými riaditeľstvami EK a postupovať v súlade s európskou legislatívou, obzvlášť Smernice 2000/60/ES, ktorou sa stanovuje rámec pôsobnosti pre opatrenia Spoločenstva v oblasti vodného hospodárstva.</w:t>
      </w:r>
      <w:r>
        <w:rPr>
          <w:b/>
          <w:sz w:val="22"/>
          <w:szCs w:val="22"/>
        </w:rPr>
        <w:t xml:space="preserve"> Pre vybraný variant bude spracovaná projektová dokumentácia pre potreby </w:t>
      </w:r>
      <w:r w:rsidRPr="00AC6133">
        <w:rPr>
          <w:b/>
          <w:sz w:val="22"/>
          <w:szCs w:val="22"/>
        </w:rPr>
        <w:t>ÚPD, DÚR, ÚR, DSP, SP</w:t>
      </w:r>
      <w:r>
        <w:rPr>
          <w:b/>
          <w:sz w:val="22"/>
          <w:szCs w:val="22"/>
        </w:rPr>
        <w:t>.</w:t>
      </w:r>
    </w:p>
    <w:p w:rsidR="00976C76" w:rsidRDefault="00976C76" w:rsidP="00976C76">
      <w:pPr>
        <w:spacing w:before="180" w:after="120"/>
        <w:jc w:val="both"/>
        <w:rPr>
          <w:sz w:val="22"/>
          <w:szCs w:val="22"/>
        </w:rPr>
      </w:pPr>
      <w:r w:rsidRPr="005348B9">
        <w:rPr>
          <w:sz w:val="22"/>
          <w:szCs w:val="22"/>
        </w:rPr>
        <w:t>V roku 2013 boli ukončené práce na tvorbe štúdie „Dunajská os – prípadová štúdia prístavných miest Bratislava, Komárno a Štúrovo“. Štúdia je výsledkom výskumu Organizácie pre hospodársku spoluprácu a rozvoj (ďalej len „OECD“) a multirezortnej spolupráce (MDVRR SR, ÚV SR, MŽP SR a MZVEZ SR). Identifikuje súčasné a potenciálne dopady na prístavné mestá a regióny pozdĺž rieky Dunaj a poukazuje na možnosti rozvoja multimodálnej dopravnej infraštruktúry s vnútrozemskou vodnou dopravou. Výskumná štúdia ďalej poukazuje na potrebu lepšieho využívania vodnej dopravy ako ekonomicky a environmentálne výhodného druhu dopravy. Materiál je dostupný v databáze OECD pre svetovú podnikateľskú verejnosť s cieľom podporiť hospodársku spoluprácu a investičný rozvoj vo vodnej doprave s prístavmi na rieke Dunaj a Váh.</w:t>
      </w:r>
    </w:p>
    <w:p w:rsidR="008D24AC" w:rsidRDefault="008D24AC" w:rsidP="00976C76">
      <w:pPr>
        <w:spacing w:before="180" w:after="120"/>
        <w:jc w:val="both"/>
        <w:rPr>
          <w:sz w:val="22"/>
          <w:szCs w:val="22"/>
        </w:rPr>
      </w:pPr>
    </w:p>
    <w:p w:rsidR="008D24AC" w:rsidRDefault="008D24AC" w:rsidP="00976C76">
      <w:pPr>
        <w:spacing w:before="180" w:after="120"/>
        <w:jc w:val="both"/>
        <w:rPr>
          <w:sz w:val="22"/>
          <w:szCs w:val="22"/>
        </w:rPr>
      </w:pPr>
    </w:p>
    <w:p w:rsidR="006D24A5" w:rsidRPr="005139F6" w:rsidRDefault="00E20FCD" w:rsidP="00FE6025">
      <w:pPr>
        <w:numPr>
          <w:ilvl w:val="2"/>
          <w:numId w:val="31"/>
        </w:numPr>
        <w:tabs>
          <w:tab w:val="clear" w:pos="360"/>
        </w:tabs>
        <w:autoSpaceDE w:val="0"/>
        <w:autoSpaceDN w:val="0"/>
        <w:adjustRightInd w:val="0"/>
        <w:spacing w:before="180" w:after="120"/>
        <w:ind w:left="851" w:hanging="426"/>
        <w:jc w:val="both"/>
        <w:rPr>
          <w:b/>
          <w:i/>
          <w:color w:val="4F81BD" w:themeColor="accent1"/>
          <w:sz w:val="22"/>
          <w:szCs w:val="22"/>
        </w:rPr>
      </w:pPr>
      <w:r w:rsidRPr="005139F6">
        <w:rPr>
          <w:b/>
          <w:i/>
          <w:color w:val="4F81BD" w:themeColor="accent1"/>
          <w:sz w:val="22"/>
          <w:szCs w:val="22"/>
        </w:rPr>
        <w:lastRenderedPageBreak/>
        <w:t>Modernizácia a výstavba verejného prístavu v Bratislave</w:t>
      </w:r>
    </w:p>
    <w:p w:rsidR="00D83282" w:rsidRDefault="005D04A1" w:rsidP="00017B79">
      <w:pPr>
        <w:spacing w:before="120" w:after="120"/>
        <w:jc w:val="both"/>
        <w:rPr>
          <w:sz w:val="22"/>
          <w:szCs w:val="22"/>
        </w:rPr>
      </w:pPr>
      <w:r w:rsidRPr="00D83282">
        <w:rPr>
          <w:sz w:val="22"/>
          <w:szCs w:val="22"/>
        </w:rPr>
        <w:t>Intervencie v oblasti modernizácie a rozvoja infraštruktúry verejných prístavov budú zamerané</w:t>
      </w:r>
      <w:r w:rsidRPr="005D04A1">
        <w:rPr>
          <w:b/>
          <w:sz w:val="22"/>
          <w:szCs w:val="22"/>
        </w:rPr>
        <w:t xml:space="preserve"> na zlepšenie stavu a budovanie novej prístavnej infraštruktúry za účelom vytvárania podmienok umožňujúcich rast výkonov vodnej dopravy v tendenciách vytvárania liberálnych podmienok podnikania a modernizácie infraštruktúry prístavov na Dunaji.</w:t>
      </w:r>
    </w:p>
    <w:p w:rsidR="005D04A1" w:rsidRPr="005D04A1" w:rsidRDefault="005D04A1" w:rsidP="00D83282">
      <w:pPr>
        <w:spacing w:before="180" w:after="120"/>
        <w:jc w:val="both"/>
        <w:rPr>
          <w:sz w:val="22"/>
          <w:szCs w:val="22"/>
        </w:rPr>
      </w:pPr>
      <w:r w:rsidRPr="005D04A1">
        <w:rPr>
          <w:sz w:val="22"/>
          <w:szCs w:val="22"/>
        </w:rPr>
        <w:t>Uvedené podmienky predstavujú aktívne nástroje pre podporu vstupu významných tovarových operátorov na trh a získanie tovarových prúdov s cieľom rozvoja mobility a podpory hospodárskeho rozvoja štátu a regiónov. Technické riešenia projektových zámerov budú podliehať výsledkom príslušných štúdií realizovateľnosti. V prípade verejných prístavov bude taktiež vypracovaná komplexná analýza o možnostiach rozvoja verejných prístavov v kontexte štátnej pomoci.</w:t>
      </w:r>
    </w:p>
    <w:p w:rsidR="000C5ED2" w:rsidRPr="005139F6" w:rsidRDefault="00B0524C" w:rsidP="00FE6025">
      <w:pPr>
        <w:numPr>
          <w:ilvl w:val="2"/>
          <w:numId w:val="31"/>
        </w:numPr>
        <w:tabs>
          <w:tab w:val="clear" w:pos="360"/>
        </w:tabs>
        <w:spacing w:before="180" w:after="120"/>
        <w:ind w:left="851" w:hanging="425"/>
        <w:jc w:val="both"/>
        <w:rPr>
          <w:b/>
          <w:i/>
          <w:color w:val="4F81BD" w:themeColor="accent1"/>
          <w:sz w:val="22"/>
          <w:szCs w:val="22"/>
        </w:rPr>
      </w:pPr>
      <w:r w:rsidRPr="005139F6">
        <w:rPr>
          <w:b/>
          <w:i/>
          <w:color w:val="4F81BD" w:themeColor="accent1"/>
          <w:sz w:val="22"/>
          <w:szCs w:val="22"/>
        </w:rPr>
        <w:t>Zavádzanie moderných technológií</w:t>
      </w:r>
      <w:r w:rsidR="005D04A1" w:rsidRPr="005139F6">
        <w:rPr>
          <w:b/>
          <w:i/>
          <w:color w:val="4F81BD" w:themeColor="accent1"/>
          <w:sz w:val="22"/>
          <w:szCs w:val="22"/>
        </w:rPr>
        <w:t xml:space="preserve"> do riadenia lodnej a prístavnej prevádzky</w:t>
      </w:r>
    </w:p>
    <w:p w:rsidR="000E41D5" w:rsidRDefault="005D04A1" w:rsidP="00A55A8E">
      <w:pPr>
        <w:spacing w:before="120"/>
        <w:jc w:val="both"/>
        <w:rPr>
          <w:sz w:val="22"/>
          <w:szCs w:val="22"/>
        </w:rPr>
      </w:pPr>
      <w:r w:rsidRPr="005D04A1">
        <w:rPr>
          <w:sz w:val="22"/>
          <w:szCs w:val="22"/>
        </w:rPr>
        <w:t>Dobudovanie infraštruktúry vodných ciest a prístavov bude doplnené o zavádzanie nových technológií do oblasti riadenia lodnej a prístavnej prevádzky. Uplatnenie riečnych informačných systémov (RIS) umožní dosiahnuť zvýšenie kapacity infraštruktúry, optimálne využívanie existujúcej infraštruktúry, zvýšenie bezpečnosti a zníženie negatívnych vplyvov na životné prostredie.</w:t>
      </w:r>
    </w:p>
    <w:p w:rsidR="000C5ED2" w:rsidRPr="005139F6" w:rsidRDefault="005D04A1" w:rsidP="00FE6025">
      <w:pPr>
        <w:numPr>
          <w:ilvl w:val="2"/>
          <w:numId w:val="31"/>
        </w:numPr>
        <w:tabs>
          <w:tab w:val="clear" w:pos="360"/>
        </w:tabs>
        <w:spacing w:before="180" w:after="120"/>
        <w:ind w:left="851" w:hanging="425"/>
        <w:jc w:val="both"/>
        <w:rPr>
          <w:b/>
          <w:i/>
          <w:color w:val="4F81BD" w:themeColor="accent1"/>
          <w:sz w:val="22"/>
          <w:szCs w:val="22"/>
        </w:rPr>
      </w:pPr>
      <w:r w:rsidRPr="005139F6">
        <w:rPr>
          <w:b/>
          <w:i/>
          <w:color w:val="4F81BD" w:themeColor="accent1"/>
          <w:sz w:val="22"/>
          <w:szCs w:val="22"/>
        </w:rPr>
        <w:t>Predinvestičná a projektová príprava</w:t>
      </w:r>
    </w:p>
    <w:p w:rsidR="000C5ED2" w:rsidRDefault="00FC4AEB" w:rsidP="00E01D5B">
      <w:pPr>
        <w:spacing w:after="180"/>
        <w:jc w:val="both"/>
        <w:rPr>
          <w:b/>
          <w:sz w:val="22"/>
          <w:szCs w:val="22"/>
        </w:rPr>
      </w:pPr>
      <w:r>
        <w:rPr>
          <w:sz w:val="22"/>
          <w:szCs w:val="22"/>
        </w:rPr>
        <w:t>Súčasný stav prípravy projektov na infraštruktúre vodnej dopravy</w:t>
      </w:r>
      <w:r w:rsidR="00EE4612">
        <w:rPr>
          <w:sz w:val="22"/>
          <w:szCs w:val="22"/>
        </w:rPr>
        <w:t xml:space="preserve"> je možné označiť </w:t>
      </w:r>
      <w:r>
        <w:rPr>
          <w:sz w:val="22"/>
          <w:szCs w:val="22"/>
        </w:rPr>
        <w:t>ako najhor</w:t>
      </w:r>
      <w:r w:rsidR="004913E3">
        <w:rPr>
          <w:sz w:val="22"/>
          <w:szCs w:val="22"/>
        </w:rPr>
        <w:t>ší zo všetkých prioritných osí, keďže t</w:t>
      </w:r>
      <w:r>
        <w:rPr>
          <w:sz w:val="22"/>
          <w:szCs w:val="22"/>
        </w:rPr>
        <w:t>ento sektor vst</w:t>
      </w:r>
      <w:r w:rsidR="00EE4612">
        <w:rPr>
          <w:sz w:val="22"/>
          <w:szCs w:val="22"/>
        </w:rPr>
        <w:t xml:space="preserve">upuje do programového obdobia </w:t>
      </w:r>
      <w:r w:rsidR="004913E3">
        <w:rPr>
          <w:sz w:val="22"/>
          <w:szCs w:val="22"/>
        </w:rPr>
        <w:t xml:space="preserve">2014 – 2020 </w:t>
      </w:r>
      <w:r w:rsidR="00EE4612">
        <w:rPr>
          <w:sz w:val="22"/>
          <w:szCs w:val="22"/>
        </w:rPr>
        <w:t>prakticky bez pripravených projektov.</w:t>
      </w:r>
      <w:r w:rsidR="00EE4612" w:rsidRPr="00EE4612">
        <w:rPr>
          <w:b/>
          <w:sz w:val="22"/>
          <w:szCs w:val="22"/>
        </w:rPr>
        <w:t xml:space="preserve"> </w:t>
      </w:r>
      <w:r w:rsidR="00EE4612" w:rsidRPr="006C3A0D">
        <w:rPr>
          <w:b/>
          <w:sz w:val="22"/>
          <w:szCs w:val="22"/>
        </w:rPr>
        <w:t xml:space="preserve">Na základe uvedeného bude </w:t>
      </w:r>
      <w:r w:rsidR="00A22DE9">
        <w:rPr>
          <w:b/>
          <w:sz w:val="22"/>
          <w:szCs w:val="22"/>
        </w:rPr>
        <w:t xml:space="preserve">obstaranie predinvestičnej a projektovej prípravy </w:t>
      </w:r>
      <w:r w:rsidR="0061667C">
        <w:rPr>
          <w:b/>
          <w:sz w:val="22"/>
          <w:szCs w:val="22"/>
        </w:rPr>
        <w:t xml:space="preserve">jednou z </w:t>
      </w:r>
      <w:r w:rsidR="00A22DE9">
        <w:rPr>
          <w:b/>
          <w:sz w:val="22"/>
          <w:szCs w:val="22"/>
        </w:rPr>
        <w:t>hl</w:t>
      </w:r>
      <w:r w:rsidR="0061667C">
        <w:rPr>
          <w:b/>
          <w:sz w:val="22"/>
          <w:szCs w:val="22"/>
        </w:rPr>
        <w:t>avnou priorít</w:t>
      </w:r>
      <w:r w:rsidR="00A22DE9">
        <w:rPr>
          <w:b/>
          <w:sz w:val="22"/>
          <w:szCs w:val="22"/>
        </w:rPr>
        <w:t xml:space="preserve"> aktivít prioritnej osi.</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287"/>
        <w:gridCol w:w="5785"/>
      </w:tblGrid>
      <w:tr w:rsidR="00FE6C5A" w:rsidTr="00532DA2">
        <w:trPr>
          <w:trHeight w:val="340"/>
          <w:jc w:val="center"/>
        </w:trPr>
        <w:tc>
          <w:tcPr>
            <w:tcW w:w="3331" w:type="dxa"/>
            <w:shd w:val="clear" w:color="auto" w:fill="DBE5F1" w:themeFill="accent1" w:themeFillTint="33"/>
            <w:vAlign w:val="center"/>
          </w:tcPr>
          <w:p w:rsidR="00FE6C5A" w:rsidRPr="009553A0" w:rsidRDefault="00FE6C5A" w:rsidP="00532DA2">
            <w:pPr>
              <w:autoSpaceDE w:val="0"/>
              <w:autoSpaceDN w:val="0"/>
              <w:adjustRightInd w:val="0"/>
              <w:ind w:left="0"/>
              <w:rPr>
                <w:i/>
                <w:sz w:val="22"/>
                <w:szCs w:val="22"/>
              </w:rPr>
            </w:pPr>
            <w:r w:rsidRPr="009553A0">
              <w:rPr>
                <w:i/>
                <w:sz w:val="22"/>
                <w:szCs w:val="22"/>
              </w:rPr>
              <w:t>Cieľové skupiny:</w:t>
            </w:r>
          </w:p>
        </w:tc>
        <w:tc>
          <w:tcPr>
            <w:tcW w:w="5879" w:type="dxa"/>
            <w:vAlign w:val="center"/>
          </w:tcPr>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široká verejnosť</w:t>
            </w:r>
          </w:p>
          <w:p w:rsidR="00FE6C5A" w:rsidRDefault="00FE6C5A" w:rsidP="00532DA2">
            <w:pPr>
              <w:pStyle w:val="Odsekzoznamu"/>
              <w:numPr>
                <w:ilvl w:val="0"/>
                <w:numId w:val="28"/>
              </w:numPr>
              <w:autoSpaceDE w:val="0"/>
              <w:autoSpaceDN w:val="0"/>
              <w:adjustRightInd w:val="0"/>
              <w:ind w:left="284" w:hanging="284"/>
              <w:jc w:val="both"/>
              <w:rPr>
                <w:sz w:val="22"/>
                <w:szCs w:val="22"/>
              </w:rPr>
            </w:pPr>
            <w:r>
              <w:rPr>
                <w:sz w:val="22"/>
                <w:szCs w:val="22"/>
              </w:rPr>
              <w:t>prepravcovia a operátori pôsobiaci v oblasti vodnej dopravy</w:t>
            </w:r>
          </w:p>
        </w:tc>
      </w:tr>
      <w:tr w:rsidR="00FE6C5A" w:rsidTr="00532DA2">
        <w:trPr>
          <w:trHeight w:val="340"/>
          <w:jc w:val="center"/>
        </w:trPr>
        <w:tc>
          <w:tcPr>
            <w:tcW w:w="3331" w:type="dxa"/>
            <w:shd w:val="clear" w:color="auto" w:fill="DBE5F1" w:themeFill="accent1" w:themeFillTint="33"/>
            <w:vAlign w:val="center"/>
          </w:tcPr>
          <w:p w:rsidR="00FE6C5A" w:rsidRPr="009553A0" w:rsidRDefault="00FE6C5A" w:rsidP="00532DA2">
            <w:pPr>
              <w:autoSpaceDE w:val="0"/>
              <w:autoSpaceDN w:val="0"/>
              <w:adjustRightInd w:val="0"/>
              <w:ind w:left="0"/>
              <w:rPr>
                <w:i/>
                <w:sz w:val="22"/>
                <w:szCs w:val="22"/>
              </w:rPr>
            </w:pPr>
            <w:r w:rsidRPr="009553A0">
              <w:rPr>
                <w:i/>
                <w:sz w:val="22"/>
                <w:szCs w:val="22"/>
              </w:rPr>
              <w:t>Cieľové územia:</w:t>
            </w:r>
          </w:p>
        </w:tc>
        <w:tc>
          <w:tcPr>
            <w:tcW w:w="5879" w:type="dxa"/>
            <w:vAlign w:val="center"/>
          </w:tcPr>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Bratislavský kraj</w:t>
            </w:r>
          </w:p>
        </w:tc>
      </w:tr>
      <w:tr w:rsidR="00FE6C5A" w:rsidRPr="009553A0" w:rsidTr="00532DA2">
        <w:trPr>
          <w:trHeight w:val="340"/>
          <w:jc w:val="center"/>
        </w:trPr>
        <w:tc>
          <w:tcPr>
            <w:tcW w:w="3331" w:type="dxa"/>
            <w:shd w:val="clear" w:color="auto" w:fill="DBE5F1" w:themeFill="accent1" w:themeFillTint="33"/>
            <w:vAlign w:val="center"/>
          </w:tcPr>
          <w:p w:rsidR="00FE6C5A" w:rsidRPr="009553A0" w:rsidRDefault="00FE6C5A" w:rsidP="00532DA2">
            <w:pPr>
              <w:autoSpaceDE w:val="0"/>
              <w:autoSpaceDN w:val="0"/>
              <w:adjustRightInd w:val="0"/>
              <w:ind w:left="0"/>
              <w:rPr>
                <w:i/>
                <w:sz w:val="22"/>
                <w:szCs w:val="22"/>
              </w:rPr>
            </w:pPr>
            <w:r w:rsidRPr="009553A0">
              <w:rPr>
                <w:i/>
                <w:sz w:val="22"/>
                <w:szCs w:val="22"/>
              </w:rPr>
              <w:t>Prijímatelia:</w:t>
            </w:r>
          </w:p>
        </w:tc>
        <w:tc>
          <w:tcPr>
            <w:tcW w:w="5879" w:type="dxa"/>
            <w:vAlign w:val="center"/>
          </w:tcPr>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Agentúra rozvoja vodnej dopravy,</w:t>
            </w:r>
          </w:p>
          <w:p w:rsidR="00FE6C5A" w:rsidRPr="009553A0" w:rsidRDefault="00FE6C5A" w:rsidP="00532DA2">
            <w:pPr>
              <w:pStyle w:val="Odsekzoznamu"/>
              <w:numPr>
                <w:ilvl w:val="0"/>
                <w:numId w:val="28"/>
              </w:numPr>
              <w:autoSpaceDE w:val="0"/>
              <w:autoSpaceDN w:val="0"/>
              <w:adjustRightInd w:val="0"/>
              <w:ind w:left="284" w:hanging="284"/>
              <w:rPr>
                <w:sz w:val="22"/>
                <w:szCs w:val="22"/>
              </w:rPr>
            </w:pPr>
            <w:r>
              <w:rPr>
                <w:sz w:val="22"/>
                <w:szCs w:val="22"/>
              </w:rPr>
              <w:t>Verejné prístavy, a. s.</w:t>
            </w:r>
          </w:p>
        </w:tc>
      </w:tr>
    </w:tbl>
    <w:p w:rsidR="005D5247" w:rsidRDefault="005D5247" w:rsidP="005139F6">
      <w:pPr>
        <w:pStyle w:val="Nadpis4"/>
        <w:spacing w:before="240"/>
      </w:pPr>
      <w:r>
        <w:t>Hlavné princípy výberu projektov</w:t>
      </w:r>
    </w:p>
    <w:p w:rsidR="005D5247" w:rsidRPr="005D5247" w:rsidRDefault="005D5247" w:rsidP="005D5247">
      <w:pPr>
        <w:tabs>
          <w:tab w:val="left" w:pos="540"/>
        </w:tabs>
        <w:jc w:val="both"/>
        <w:rPr>
          <w:sz w:val="22"/>
          <w:szCs w:val="22"/>
        </w:rPr>
      </w:pPr>
      <w:r>
        <w:rPr>
          <w:sz w:val="22"/>
          <w:szCs w:val="22"/>
        </w:rPr>
        <w:t>Vzhľadom na </w:t>
      </w:r>
      <w:r w:rsidRPr="00FE75AD">
        <w:rPr>
          <w:sz w:val="22"/>
          <w:szCs w:val="22"/>
        </w:rPr>
        <w:t>špecifické postavenie MDVRR SR vo vzťahu k</w:t>
      </w:r>
      <w:r>
        <w:rPr>
          <w:sz w:val="22"/>
          <w:szCs w:val="22"/>
        </w:rPr>
        <w:t> </w:t>
      </w:r>
      <w:r w:rsidRPr="00FE75AD">
        <w:rPr>
          <w:sz w:val="22"/>
          <w:szCs w:val="22"/>
        </w:rPr>
        <w:t>podporovaným aktivitám budú jednotliví prijímatelia stanovení vopred a</w:t>
      </w:r>
      <w:r>
        <w:rPr>
          <w:sz w:val="22"/>
          <w:szCs w:val="22"/>
        </w:rPr>
        <w:t> </w:t>
      </w:r>
      <w:r w:rsidRPr="00FE75AD">
        <w:rPr>
          <w:sz w:val="22"/>
          <w:szCs w:val="22"/>
        </w:rPr>
        <w:t>písomnými vyzvaniami (pre stanovené oblasti) žiadaní o</w:t>
      </w:r>
      <w:r>
        <w:rPr>
          <w:sz w:val="22"/>
          <w:szCs w:val="22"/>
        </w:rPr>
        <w:t> </w:t>
      </w:r>
      <w:r w:rsidRPr="00FE75AD">
        <w:rPr>
          <w:sz w:val="22"/>
          <w:szCs w:val="22"/>
        </w:rPr>
        <w:t>predkladanie projektových žiadostí.</w:t>
      </w:r>
      <w:r>
        <w:rPr>
          <w:sz w:val="22"/>
          <w:szCs w:val="22"/>
        </w:rPr>
        <w:t xml:space="preserve"> </w:t>
      </w:r>
      <w:r w:rsidRPr="00FE75AD">
        <w:rPr>
          <w:sz w:val="22"/>
          <w:szCs w:val="22"/>
        </w:rPr>
        <w:t xml:space="preserve">Výber </w:t>
      </w:r>
      <w:r>
        <w:rPr>
          <w:sz w:val="22"/>
          <w:szCs w:val="22"/>
        </w:rPr>
        <w:t>projektov na </w:t>
      </w:r>
      <w:r w:rsidRPr="00FE75AD">
        <w:rPr>
          <w:sz w:val="22"/>
          <w:szCs w:val="22"/>
        </w:rPr>
        <w:t>implementáci</w:t>
      </w:r>
      <w:r>
        <w:rPr>
          <w:sz w:val="22"/>
          <w:szCs w:val="22"/>
        </w:rPr>
        <w:t>u bude rešpektovať výstupy strategických dokumentov spracovaných pre potreby programového obdobia, ako aj ich prípa</w:t>
      </w:r>
      <w:r w:rsidR="007E69E9">
        <w:rPr>
          <w:sz w:val="22"/>
          <w:szCs w:val="22"/>
        </w:rPr>
        <w:t>dné aktualizácie, ktoré zohľadňujú</w:t>
      </w:r>
      <w:r>
        <w:rPr>
          <w:sz w:val="22"/>
          <w:szCs w:val="22"/>
        </w:rPr>
        <w:t xml:space="preserve"> rezortné potreby v širšom kontexte. Ide predovšetkým o Strategický plán a Stratégiu </w:t>
      </w:r>
      <w:r w:rsidR="001E09F3">
        <w:rPr>
          <w:sz w:val="22"/>
          <w:szCs w:val="22"/>
        </w:rPr>
        <w:t>VOD</w:t>
      </w:r>
      <w:r>
        <w:rPr>
          <w:sz w:val="22"/>
          <w:szCs w:val="22"/>
        </w:rPr>
        <w:t>.</w:t>
      </w:r>
    </w:p>
    <w:p w:rsidR="006D24A5" w:rsidRDefault="006D24A5" w:rsidP="005139F6">
      <w:pPr>
        <w:pStyle w:val="Nadpis4"/>
        <w:spacing w:before="240"/>
      </w:pPr>
      <w:r>
        <w:t>Plánované využitie finančných nástrojov</w:t>
      </w:r>
    </w:p>
    <w:p w:rsidR="006D24A5" w:rsidRPr="00AB00A4" w:rsidRDefault="006D24A5" w:rsidP="006D24A5">
      <w:pPr>
        <w:jc w:val="both"/>
        <w:rPr>
          <w:sz w:val="22"/>
          <w:szCs w:val="22"/>
        </w:rPr>
      </w:pPr>
      <w:r w:rsidRPr="00AB00A4">
        <w:rPr>
          <w:sz w:val="22"/>
          <w:szCs w:val="22"/>
        </w:rPr>
        <w:t>Finančné nástroje budú použité na podporu implementácie tých aktivít, pri ktorých bude preukázané efektívnejšie využitie finančných prostriedkov z EŠIF takouto formou podpory. Pri ekonomicky životaschopných projektoch, kde sa predpokladá návratnosť prostriedkov alebo úspora nákladov, predstavujú finančné nástroje vhodnejšiu formu podpory, ktorá vedie len k minimálnej, prípadne žiadnej deformácii trhu a nenarúša tak hospodársku súťaž. Finančné nástroje budú zamerané na podporu tých aktivít, ktoré nenachádzajú financovanie na trhu, prípadne nenachádzajú adekvátne financovanie, pri ktorom by ich realizácia bola efektívnou.</w:t>
      </w:r>
    </w:p>
    <w:p w:rsidR="006D24A5" w:rsidRDefault="006D24A5" w:rsidP="006D24A5">
      <w:pPr>
        <w:spacing w:before="180"/>
        <w:jc w:val="both"/>
        <w:rPr>
          <w:sz w:val="22"/>
          <w:szCs w:val="22"/>
        </w:rPr>
      </w:pPr>
      <w:r w:rsidRPr="00430B9D">
        <w:rPr>
          <w:sz w:val="22"/>
          <w:szCs w:val="22"/>
        </w:rPr>
        <w:t>Okrem možnosti opakovateľného použitia prostriedkov</w:t>
      </w:r>
      <w:r w:rsidR="007E69E9">
        <w:rPr>
          <w:sz w:val="22"/>
          <w:szCs w:val="22"/>
        </w:rPr>
        <w:t xml:space="preserve"> na realizáciu cieľov </w:t>
      </w:r>
      <w:r w:rsidRPr="00430B9D">
        <w:rPr>
          <w:sz w:val="22"/>
          <w:szCs w:val="22"/>
        </w:rPr>
        <w:t xml:space="preserve">prioritnej osi patrí medzi výhody využitia finančných nástrojov možnosť navýšenia </w:t>
      </w:r>
      <w:r>
        <w:rPr>
          <w:sz w:val="22"/>
          <w:szCs w:val="22"/>
        </w:rPr>
        <w:t>prostri</w:t>
      </w:r>
      <w:r w:rsidR="007E69E9">
        <w:rPr>
          <w:sz w:val="22"/>
          <w:szCs w:val="22"/>
        </w:rPr>
        <w:t>edkov na</w:t>
      </w:r>
      <w:r>
        <w:rPr>
          <w:sz w:val="22"/>
          <w:szCs w:val="22"/>
        </w:rPr>
        <w:t> </w:t>
      </w:r>
      <w:r w:rsidRPr="00430B9D">
        <w:rPr>
          <w:sz w:val="22"/>
          <w:szCs w:val="22"/>
        </w:rPr>
        <w:t>dosiahnutie príslušných cieľov prostredníctvom pritiahnutia dodatočného kapitálu vďaka atraktívnemu nastaveniu daných nástrojov. Pritiahnutie dodatočného kapi</w:t>
      </w:r>
      <w:r>
        <w:rPr>
          <w:sz w:val="22"/>
          <w:szCs w:val="22"/>
        </w:rPr>
        <w:t>tálu je potrebné aj vzhľadom na limitovaný</w:t>
      </w:r>
      <w:r w:rsidRPr="00430B9D">
        <w:rPr>
          <w:sz w:val="22"/>
          <w:szCs w:val="22"/>
        </w:rPr>
        <w:t xml:space="preserve"> objem prostriedkov z </w:t>
      </w:r>
      <w:r>
        <w:rPr>
          <w:sz w:val="22"/>
          <w:szCs w:val="22"/>
        </w:rPr>
        <w:t>EŠIF</w:t>
      </w:r>
      <w:r w:rsidRPr="00430B9D">
        <w:rPr>
          <w:sz w:val="22"/>
          <w:szCs w:val="22"/>
        </w:rPr>
        <w:t xml:space="preserve"> na pokrytie všetkých investičných potrieb v príslušných oblastiach. Účasť súkromných investorov môže prispieť aj ku skvalitneniu implementácie projektov, a teda dodatočne prispieva k celkovo efektívnejšiemu po</w:t>
      </w:r>
      <w:r>
        <w:rPr>
          <w:sz w:val="22"/>
          <w:szCs w:val="22"/>
        </w:rPr>
        <w:t>užitiu finančných prostriedkov.</w:t>
      </w:r>
    </w:p>
    <w:p w:rsidR="000A1A12" w:rsidRPr="00034021" w:rsidRDefault="000A1A12" w:rsidP="000A1A12">
      <w:pPr>
        <w:spacing w:before="180"/>
        <w:jc w:val="both"/>
        <w:rPr>
          <w:sz w:val="22"/>
          <w:szCs w:val="22"/>
        </w:rPr>
      </w:pPr>
      <w:r w:rsidRPr="00034021">
        <w:rPr>
          <w:sz w:val="22"/>
          <w:szCs w:val="22"/>
        </w:rPr>
        <w:lastRenderedPageBreak/>
        <w:t>Príslušné aktivity bude možné podporiť rôznymi finančnými produktmi (úvery, záruky, kapitálové vklady, mezanínové financovanie a</w:t>
      </w:r>
      <w:r>
        <w:rPr>
          <w:sz w:val="22"/>
          <w:szCs w:val="22"/>
        </w:rPr>
        <w:t> </w:t>
      </w:r>
      <w:r w:rsidRPr="00034021">
        <w:rPr>
          <w:sz w:val="22"/>
          <w:szCs w:val="22"/>
        </w:rPr>
        <w:t>pod</w:t>
      </w:r>
      <w:r>
        <w:rPr>
          <w:sz w:val="22"/>
          <w:szCs w:val="22"/>
        </w:rPr>
        <w:t>.</w:t>
      </w:r>
      <w:r w:rsidRPr="00034021">
        <w:rPr>
          <w:sz w:val="22"/>
          <w:szCs w:val="22"/>
        </w:rPr>
        <w:t xml:space="preserve">). V súlade s čl. 37(2) nariadenia č. 1303/2013, </w:t>
      </w:r>
      <w:r w:rsidRPr="00034021">
        <w:rPr>
          <w:b/>
          <w:sz w:val="22"/>
          <w:szCs w:val="22"/>
        </w:rPr>
        <w:t>konkrétne aktivity, vhodná suma prostriedkov a podmienky implementácie finančných nástrojov vrátane možnej multiplikácie alokovaných prostriedkov a ich kombinácie s inými formami podpory budú vychádzať z výsledkov ex ante hodnotenia pre finančné nástroje</w:t>
      </w:r>
      <w:r>
        <w:rPr>
          <w:b/>
          <w:sz w:val="22"/>
          <w:szCs w:val="22"/>
        </w:rPr>
        <w:t>.</w:t>
      </w:r>
    </w:p>
    <w:p w:rsidR="006D24A5" w:rsidRDefault="006D24A5" w:rsidP="00740654">
      <w:pPr>
        <w:pStyle w:val="Nadpis4"/>
      </w:pPr>
      <w:r>
        <w:t>Plánované využitie veľkých projektov</w:t>
      </w:r>
    </w:p>
    <w:p w:rsidR="006D24A5" w:rsidRDefault="006D24A5" w:rsidP="006D24A5">
      <w:pPr>
        <w:jc w:val="both"/>
        <w:rPr>
          <w:sz w:val="22"/>
          <w:szCs w:val="22"/>
        </w:rPr>
      </w:pPr>
      <w:r w:rsidRPr="00FE75AD">
        <w:rPr>
          <w:sz w:val="22"/>
          <w:szCs w:val="22"/>
        </w:rPr>
        <w:t>Zoznam veľkých projektov, ktorých spolufinancovanie z</w:t>
      </w:r>
      <w:r>
        <w:rPr>
          <w:sz w:val="22"/>
          <w:szCs w:val="22"/>
        </w:rPr>
        <w:t> </w:t>
      </w:r>
      <w:r w:rsidRPr="00FE75AD">
        <w:rPr>
          <w:sz w:val="22"/>
          <w:szCs w:val="22"/>
        </w:rPr>
        <w:t>prostriedkov prioritnej osi navrhuje RO </w:t>
      </w:r>
      <w:r>
        <w:rPr>
          <w:sz w:val="22"/>
          <w:szCs w:val="22"/>
        </w:rPr>
        <w:t>OPII</w:t>
      </w:r>
      <w:r w:rsidRPr="00FE75AD">
        <w:rPr>
          <w:sz w:val="22"/>
          <w:szCs w:val="22"/>
        </w:rPr>
        <w:t xml:space="preserve"> je uvedený v</w:t>
      </w:r>
      <w:r>
        <w:rPr>
          <w:sz w:val="22"/>
          <w:szCs w:val="22"/>
        </w:rPr>
        <w:t> kapitole 13.1</w:t>
      </w:r>
      <w:r w:rsidRPr="00FE75AD">
        <w:rPr>
          <w:sz w:val="22"/>
          <w:szCs w:val="22"/>
        </w:rPr>
        <w:t>.</w:t>
      </w:r>
    </w:p>
    <w:p w:rsidR="006D24A5" w:rsidRDefault="006D24A5" w:rsidP="00740654">
      <w:pPr>
        <w:pStyle w:val="Nadpis4"/>
      </w:pPr>
      <w:r>
        <w:t>Ukazovatele výstupu na úrovni investičnej priority a kategórie regiónu</w:t>
      </w:r>
    </w:p>
    <w:p w:rsidR="006D24A5" w:rsidRPr="008C1732" w:rsidRDefault="006D24A5" w:rsidP="006D24A5">
      <w:pPr>
        <w:pStyle w:val="Tab"/>
      </w:pPr>
      <w:r>
        <w:t>Spoločné a špecifické ukazovatele výstupu</w:t>
      </w:r>
      <w:r w:rsidR="00E01D5B">
        <w:t xml:space="preserve"> investičnej priority</w:t>
      </w:r>
      <w:r w:rsidR="00D83282">
        <w:t xml:space="preserve"> 7a)</w:t>
      </w:r>
    </w:p>
    <w:tbl>
      <w:tblPr>
        <w:tblStyle w:val="Mriekatabuky"/>
        <w:tblW w:w="941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78"/>
        <w:gridCol w:w="2425"/>
        <w:gridCol w:w="903"/>
        <w:gridCol w:w="621"/>
        <w:gridCol w:w="1229"/>
        <w:gridCol w:w="1253"/>
        <w:gridCol w:w="1015"/>
        <w:gridCol w:w="1388"/>
      </w:tblGrid>
      <w:tr w:rsidR="006D24A5" w:rsidTr="003D6170">
        <w:trPr>
          <w:trHeight w:val="487"/>
          <w:jc w:val="center"/>
        </w:trPr>
        <w:tc>
          <w:tcPr>
            <w:tcW w:w="578" w:type="dxa"/>
            <w:shd w:val="clear" w:color="auto" w:fill="C6D9F1" w:themeFill="text2" w:themeFillTint="33"/>
            <w:vAlign w:val="center"/>
          </w:tcPr>
          <w:p w:rsidR="006D24A5" w:rsidRPr="008C1732" w:rsidRDefault="003D6170" w:rsidP="003D6170">
            <w:pPr>
              <w:ind w:left="0"/>
              <w:jc w:val="center"/>
              <w:rPr>
                <w:b/>
                <w:sz w:val="18"/>
                <w:szCs w:val="18"/>
              </w:rPr>
            </w:pPr>
            <w:r>
              <w:rPr>
                <w:b/>
                <w:sz w:val="18"/>
                <w:szCs w:val="18"/>
              </w:rPr>
              <w:t>P. č.</w:t>
            </w:r>
          </w:p>
        </w:tc>
        <w:tc>
          <w:tcPr>
            <w:tcW w:w="2425" w:type="dxa"/>
            <w:shd w:val="clear" w:color="auto" w:fill="C6D9F1" w:themeFill="text2" w:themeFillTint="33"/>
            <w:vAlign w:val="center"/>
          </w:tcPr>
          <w:p w:rsidR="006D24A5" w:rsidRPr="008C1732" w:rsidRDefault="006D24A5" w:rsidP="003D6170">
            <w:pPr>
              <w:ind w:left="0"/>
              <w:jc w:val="center"/>
              <w:rPr>
                <w:b/>
                <w:sz w:val="18"/>
                <w:szCs w:val="18"/>
              </w:rPr>
            </w:pPr>
            <w:r w:rsidRPr="008C1732">
              <w:rPr>
                <w:b/>
                <w:sz w:val="18"/>
                <w:szCs w:val="18"/>
              </w:rPr>
              <w:t>Ukazovateľ výstupu</w:t>
            </w:r>
          </w:p>
        </w:tc>
        <w:tc>
          <w:tcPr>
            <w:tcW w:w="903" w:type="dxa"/>
            <w:shd w:val="clear" w:color="auto" w:fill="C6D9F1" w:themeFill="text2" w:themeFillTint="33"/>
            <w:vAlign w:val="center"/>
          </w:tcPr>
          <w:p w:rsidR="006D24A5" w:rsidRPr="008C1732" w:rsidRDefault="006D24A5" w:rsidP="003D6170">
            <w:pPr>
              <w:ind w:left="0"/>
              <w:jc w:val="center"/>
              <w:rPr>
                <w:b/>
                <w:sz w:val="18"/>
                <w:szCs w:val="18"/>
              </w:rPr>
            </w:pPr>
            <w:r w:rsidRPr="008C1732">
              <w:rPr>
                <w:b/>
                <w:sz w:val="18"/>
                <w:szCs w:val="18"/>
              </w:rPr>
              <w:t>Merná jednotka</w:t>
            </w:r>
          </w:p>
        </w:tc>
        <w:tc>
          <w:tcPr>
            <w:tcW w:w="621" w:type="dxa"/>
            <w:shd w:val="clear" w:color="auto" w:fill="C6D9F1" w:themeFill="text2" w:themeFillTint="33"/>
            <w:vAlign w:val="center"/>
          </w:tcPr>
          <w:p w:rsidR="006D24A5" w:rsidRPr="008C1732" w:rsidRDefault="006D24A5" w:rsidP="003D6170">
            <w:pPr>
              <w:ind w:left="0"/>
              <w:jc w:val="center"/>
              <w:rPr>
                <w:b/>
                <w:sz w:val="18"/>
                <w:szCs w:val="18"/>
              </w:rPr>
            </w:pPr>
            <w:r w:rsidRPr="008C1732">
              <w:rPr>
                <w:b/>
                <w:sz w:val="18"/>
                <w:szCs w:val="18"/>
              </w:rPr>
              <w:t>Fond</w:t>
            </w:r>
          </w:p>
        </w:tc>
        <w:tc>
          <w:tcPr>
            <w:tcW w:w="1229" w:type="dxa"/>
            <w:shd w:val="clear" w:color="auto" w:fill="C6D9F1" w:themeFill="text2" w:themeFillTint="33"/>
            <w:vAlign w:val="center"/>
          </w:tcPr>
          <w:p w:rsidR="006D24A5" w:rsidRPr="008C1732" w:rsidRDefault="006D24A5" w:rsidP="003D6170">
            <w:pPr>
              <w:ind w:left="0"/>
              <w:jc w:val="center"/>
              <w:rPr>
                <w:b/>
                <w:sz w:val="18"/>
                <w:szCs w:val="18"/>
              </w:rPr>
            </w:pPr>
            <w:r w:rsidRPr="008C1732">
              <w:rPr>
                <w:b/>
                <w:sz w:val="18"/>
                <w:szCs w:val="18"/>
              </w:rPr>
              <w:t>Kategória regiónu</w:t>
            </w:r>
          </w:p>
        </w:tc>
        <w:tc>
          <w:tcPr>
            <w:tcW w:w="1253" w:type="dxa"/>
            <w:shd w:val="clear" w:color="auto" w:fill="C6D9F1" w:themeFill="text2" w:themeFillTint="33"/>
            <w:vAlign w:val="center"/>
          </w:tcPr>
          <w:p w:rsidR="006D24A5" w:rsidRPr="008C1732" w:rsidRDefault="006D24A5" w:rsidP="003D6170">
            <w:pPr>
              <w:ind w:left="0"/>
              <w:jc w:val="center"/>
              <w:rPr>
                <w:b/>
                <w:sz w:val="18"/>
                <w:szCs w:val="18"/>
              </w:rPr>
            </w:pPr>
            <w:r w:rsidRPr="008C1732">
              <w:rPr>
                <w:b/>
                <w:sz w:val="18"/>
                <w:szCs w:val="18"/>
              </w:rPr>
              <w:t>Cieľová hodnota (2023)</w:t>
            </w:r>
          </w:p>
        </w:tc>
        <w:tc>
          <w:tcPr>
            <w:tcW w:w="1015" w:type="dxa"/>
            <w:shd w:val="clear" w:color="auto" w:fill="C6D9F1" w:themeFill="text2" w:themeFillTint="33"/>
            <w:vAlign w:val="center"/>
          </w:tcPr>
          <w:p w:rsidR="006D24A5" w:rsidRPr="008C1732" w:rsidRDefault="006D24A5" w:rsidP="003D6170">
            <w:pPr>
              <w:ind w:left="0"/>
              <w:jc w:val="center"/>
              <w:rPr>
                <w:b/>
                <w:sz w:val="18"/>
                <w:szCs w:val="18"/>
              </w:rPr>
            </w:pPr>
            <w:r w:rsidRPr="008C1732">
              <w:rPr>
                <w:b/>
                <w:sz w:val="18"/>
                <w:szCs w:val="18"/>
              </w:rPr>
              <w:t>Zdroj údajov</w:t>
            </w:r>
          </w:p>
        </w:tc>
        <w:tc>
          <w:tcPr>
            <w:tcW w:w="1388" w:type="dxa"/>
            <w:shd w:val="clear" w:color="auto" w:fill="C6D9F1" w:themeFill="text2" w:themeFillTint="33"/>
            <w:vAlign w:val="center"/>
          </w:tcPr>
          <w:p w:rsidR="006D24A5" w:rsidRPr="008C1732" w:rsidRDefault="006D24A5" w:rsidP="003D6170">
            <w:pPr>
              <w:ind w:left="0"/>
              <w:jc w:val="center"/>
              <w:rPr>
                <w:b/>
                <w:sz w:val="18"/>
                <w:szCs w:val="18"/>
              </w:rPr>
            </w:pPr>
            <w:r w:rsidRPr="008C1732">
              <w:rPr>
                <w:b/>
                <w:sz w:val="18"/>
                <w:szCs w:val="18"/>
              </w:rPr>
              <w:t>Frekvencia vykazovania</w:t>
            </w:r>
          </w:p>
        </w:tc>
      </w:tr>
      <w:tr w:rsidR="00225C2F" w:rsidTr="003D6170">
        <w:trPr>
          <w:trHeight w:val="680"/>
          <w:jc w:val="center"/>
        </w:trPr>
        <w:tc>
          <w:tcPr>
            <w:tcW w:w="578" w:type="dxa"/>
            <w:shd w:val="clear" w:color="auto" w:fill="auto"/>
            <w:vAlign w:val="center"/>
          </w:tcPr>
          <w:p w:rsidR="00225C2F" w:rsidRPr="00737ED2" w:rsidRDefault="00225C2F" w:rsidP="00017B79">
            <w:pPr>
              <w:ind w:left="0"/>
              <w:jc w:val="center"/>
              <w:rPr>
                <w:sz w:val="18"/>
                <w:szCs w:val="18"/>
              </w:rPr>
            </w:pPr>
            <w:r>
              <w:rPr>
                <w:sz w:val="18"/>
                <w:szCs w:val="18"/>
              </w:rPr>
              <w:t>1</w:t>
            </w:r>
            <w:r w:rsidRPr="00737ED2">
              <w:rPr>
                <w:sz w:val="18"/>
                <w:szCs w:val="18"/>
              </w:rPr>
              <w:t>.</w:t>
            </w:r>
          </w:p>
        </w:tc>
        <w:tc>
          <w:tcPr>
            <w:tcW w:w="2425" w:type="dxa"/>
            <w:shd w:val="clear" w:color="auto" w:fill="auto"/>
            <w:vAlign w:val="center"/>
          </w:tcPr>
          <w:p w:rsidR="00225C2F" w:rsidRPr="00737ED2" w:rsidRDefault="00225C2F" w:rsidP="00C3107B">
            <w:pPr>
              <w:ind w:left="0"/>
              <w:rPr>
                <w:sz w:val="18"/>
                <w:szCs w:val="18"/>
              </w:rPr>
            </w:pPr>
            <w:r>
              <w:rPr>
                <w:sz w:val="18"/>
                <w:szCs w:val="18"/>
              </w:rPr>
              <w:t>Počet zmodernizovaných verejných prístavov na sieti TEN-T</w:t>
            </w:r>
          </w:p>
        </w:tc>
        <w:tc>
          <w:tcPr>
            <w:tcW w:w="903" w:type="dxa"/>
            <w:shd w:val="clear" w:color="auto" w:fill="auto"/>
            <w:vAlign w:val="center"/>
          </w:tcPr>
          <w:p w:rsidR="00225C2F" w:rsidRPr="004F0234" w:rsidRDefault="00225C2F" w:rsidP="00C3107B">
            <w:pPr>
              <w:ind w:left="0"/>
              <w:jc w:val="center"/>
              <w:rPr>
                <w:i/>
                <w:sz w:val="18"/>
                <w:szCs w:val="18"/>
              </w:rPr>
            </w:pPr>
            <w:r>
              <w:rPr>
                <w:i/>
                <w:sz w:val="18"/>
                <w:szCs w:val="18"/>
              </w:rPr>
              <w:t>počet</w:t>
            </w:r>
          </w:p>
        </w:tc>
        <w:tc>
          <w:tcPr>
            <w:tcW w:w="621" w:type="dxa"/>
            <w:shd w:val="clear" w:color="auto" w:fill="auto"/>
            <w:vAlign w:val="center"/>
          </w:tcPr>
          <w:p w:rsidR="00225C2F" w:rsidRPr="004F0234" w:rsidRDefault="00225C2F" w:rsidP="00C3107B">
            <w:pPr>
              <w:ind w:left="0"/>
              <w:jc w:val="center"/>
              <w:rPr>
                <w:i/>
                <w:sz w:val="18"/>
                <w:szCs w:val="18"/>
              </w:rPr>
            </w:pPr>
            <w:r w:rsidRPr="004F0234">
              <w:rPr>
                <w:i/>
                <w:sz w:val="18"/>
                <w:szCs w:val="18"/>
              </w:rPr>
              <w:t>KF</w:t>
            </w:r>
          </w:p>
        </w:tc>
        <w:tc>
          <w:tcPr>
            <w:tcW w:w="1229" w:type="dxa"/>
            <w:shd w:val="clear" w:color="auto" w:fill="auto"/>
            <w:vAlign w:val="center"/>
          </w:tcPr>
          <w:p w:rsidR="00225C2F" w:rsidRPr="004F0234" w:rsidRDefault="00225C2F" w:rsidP="00C3107B">
            <w:pPr>
              <w:ind w:left="0"/>
              <w:jc w:val="center"/>
              <w:rPr>
                <w:i/>
                <w:sz w:val="18"/>
                <w:szCs w:val="18"/>
              </w:rPr>
            </w:pPr>
            <w:r w:rsidRPr="00F55678">
              <w:rPr>
                <w:i/>
                <w:sz w:val="18"/>
                <w:szCs w:val="18"/>
              </w:rPr>
              <w:t>N/A</w:t>
            </w:r>
          </w:p>
        </w:tc>
        <w:tc>
          <w:tcPr>
            <w:tcW w:w="1253" w:type="dxa"/>
            <w:shd w:val="clear" w:color="auto" w:fill="auto"/>
            <w:vAlign w:val="center"/>
          </w:tcPr>
          <w:p w:rsidR="00225C2F" w:rsidRPr="004F0234" w:rsidRDefault="00612D9A" w:rsidP="00C3107B">
            <w:pPr>
              <w:ind w:left="0"/>
              <w:jc w:val="center"/>
              <w:rPr>
                <w:i/>
                <w:sz w:val="18"/>
                <w:szCs w:val="18"/>
              </w:rPr>
            </w:pPr>
            <w:r>
              <w:rPr>
                <w:i/>
                <w:sz w:val="18"/>
                <w:szCs w:val="18"/>
              </w:rPr>
              <w:t>1</w:t>
            </w:r>
          </w:p>
        </w:tc>
        <w:tc>
          <w:tcPr>
            <w:tcW w:w="1015" w:type="dxa"/>
            <w:vAlign w:val="center"/>
          </w:tcPr>
          <w:p w:rsidR="00225C2F" w:rsidRPr="004F0234" w:rsidRDefault="00225C2F" w:rsidP="00C3107B">
            <w:pPr>
              <w:ind w:left="0"/>
              <w:jc w:val="center"/>
              <w:rPr>
                <w:i/>
                <w:sz w:val="18"/>
                <w:szCs w:val="18"/>
              </w:rPr>
            </w:pPr>
            <w:r w:rsidRPr="004F0234">
              <w:rPr>
                <w:i/>
                <w:sz w:val="18"/>
                <w:szCs w:val="18"/>
              </w:rPr>
              <w:t>RO OPII</w:t>
            </w:r>
          </w:p>
        </w:tc>
        <w:tc>
          <w:tcPr>
            <w:tcW w:w="1388" w:type="dxa"/>
            <w:vAlign w:val="center"/>
          </w:tcPr>
          <w:p w:rsidR="00225C2F" w:rsidRPr="004F0234" w:rsidRDefault="00225C2F" w:rsidP="00C3107B">
            <w:pPr>
              <w:ind w:left="0"/>
              <w:jc w:val="center"/>
              <w:rPr>
                <w:i/>
                <w:sz w:val="18"/>
                <w:szCs w:val="18"/>
              </w:rPr>
            </w:pPr>
            <w:r>
              <w:rPr>
                <w:i/>
                <w:sz w:val="18"/>
                <w:szCs w:val="18"/>
              </w:rPr>
              <w:t>Ročne</w:t>
            </w:r>
          </w:p>
        </w:tc>
      </w:tr>
      <w:tr w:rsidR="006D24A5" w:rsidTr="003D6170">
        <w:trPr>
          <w:trHeight w:val="680"/>
          <w:jc w:val="center"/>
        </w:trPr>
        <w:tc>
          <w:tcPr>
            <w:tcW w:w="578" w:type="dxa"/>
            <w:shd w:val="clear" w:color="auto" w:fill="auto"/>
            <w:vAlign w:val="center"/>
          </w:tcPr>
          <w:p w:rsidR="006D24A5" w:rsidRDefault="006D24A5" w:rsidP="00017B79">
            <w:pPr>
              <w:ind w:left="0"/>
              <w:jc w:val="center"/>
              <w:rPr>
                <w:sz w:val="18"/>
                <w:szCs w:val="18"/>
              </w:rPr>
            </w:pPr>
            <w:r>
              <w:rPr>
                <w:sz w:val="18"/>
                <w:szCs w:val="18"/>
              </w:rPr>
              <w:t>2.</w:t>
            </w:r>
          </w:p>
        </w:tc>
        <w:tc>
          <w:tcPr>
            <w:tcW w:w="2425" w:type="dxa"/>
            <w:shd w:val="clear" w:color="auto" w:fill="auto"/>
            <w:vAlign w:val="center"/>
          </w:tcPr>
          <w:p w:rsidR="006D24A5" w:rsidRPr="00737ED2" w:rsidRDefault="002F2B02" w:rsidP="00225C2F">
            <w:pPr>
              <w:ind w:left="0"/>
              <w:rPr>
                <w:sz w:val="18"/>
                <w:szCs w:val="18"/>
              </w:rPr>
            </w:pPr>
            <w:r>
              <w:rPr>
                <w:sz w:val="18"/>
                <w:szCs w:val="18"/>
              </w:rPr>
              <w:t>Počet vypracovaných štúdií realizovateľnosti (v súvislosti s rozvojom prístavov a vodných ciest TEN-T CORE)</w:t>
            </w:r>
          </w:p>
        </w:tc>
        <w:tc>
          <w:tcPr>
            <w:tcW w:w="903" w:type="dxa"/>
            <w:shd w:val="clear" w:color="auto" w:fill="auto"/>
            <w:vAlign w:val="center"/>
          </w:tcPr>
          <w:p w:rsidR="006D24A5" w:rsidRPr="004F0234" w:rsidRDefault="00225C2F" w:rsidP="00225C2F">
            <w:pPr>
              <w:ind w:left="0"/>
              <w:jc w:val="center"/>
              <w:rPr>
                <w:i/>
                <w:sz w:val="18"/>
                <w:szCs w:val="18"/>
              </w:rPr>
            </w:pPr>
            <w:r>
              <w:rPr>
                <w:i/>
                <w:sz w:val="18"/>
                <w:szCs w:val="18"/>
              </w:rPr>
              <w:t>počet</w:t>
            </w:r>
          </w:p>
        </w:tc>
        <w:tc>
          <w:tcPr>
            <w:tcW w:w="621" w:type="dxa"/>
            <w:shd w:val="clear" w:color="auto" w:fill="auto"/>
            <w:vAlign w:val="center"/>
          </w:tcPr>
          <w:p w:rsidR="006D24A5" w:rsidRPr="004F0234" w:rsidRDefault="006D24A5" w:rsidP="00E01D5B">
            <w:pPr>
              <w:ind w:left="0"/>
              <w:jc w:val="center"/>
              <w:rPr>
                <w:i/>
                <w:sz w:val="18"/>
                <w:szCs w:val="18"/>
              </w:rPr>
            </w:pPr>
            <w:r w:rsidRPr="004F0234">
              <w:rPr>
                <w:i/>
                <w:sz w:val="18"/>
                <w:szCs w:val="18"/>
              </w:rPr>
              <w:t>KF</w:t>
            </w:r>
          </w:p>
        </w:tc>
        <w:tc>
          <w:tcPr>
            <w:tcW w:w="1229" w:type="dxa"/>
            <w:shd w:val="clear" w:color="auto" w:fill="auto"/>
            <w:vAlign w:val="center"/>
          </w:tcPr>
          <w:p w:rsidR="006D24A5" w:rsidRPr="004F0234" w:rsidRDefault="006D24A5" w:rsidP="00E01D5B">
            <w:pPr>
              <w:ind w:left="0"/>
              <w:jc w:val="center"/>
              <w:rPr>
                <w:i/>
                <w:sz w:val="18"/>
                <w:szCs w:val="18"/>
              </w:rPr>
            </w:pPr>
            <w:r w:rsidRPr="00F55678">
              <w:rPr>
                <w:i/>
                <w:sz w:val="18"/>
                <w:szCs w:val="18"/>
              </w:rPr>
              <w:t>N/A</w:t>
            </w:r>
          </w:p>
        </w:tc>
        <w:tc>
          <w:tcPr>
            <w:tcW w:w="1253" w:type="dxa"/>
            <w:shd w:val="clear" w:color="auto" w:fill="auto"/>
            <w:vAlign w:val="center"/>
          </w:tcPr>
          <w:p w:rsidR="006D24A5" w:rsidRPr="004F0234" w:rsidRDefault="00612D9A" w:rsidP="00E01D5B">
            <w:pPr>
              <w:ind w:left="0"/>
              <w:jc w:val="center"/>
              <w:rPr>
                <w:i/>
                <w:sz w:val="18"/>
                <w:szCs w:val="18"/>
              </w:rPr>
            </w:pPr>
            <w:r>
              <w:rPr>
                <w:i/>
                <w:sz w:val="18"/>
                <w:szCs w:val="18"/>
              </w:rPr>
              <w:t>3</w:t>
            </w:r>
          </w:p>
        </w:tc>
        <w:tc>
          <w:tcPr>
            <w:tcW w:w="1015" w:type="dxa"/>
            <w:vAlign w:val="center"/>
          </w:tcPr>
          <w:p w:rsidR="006D24A5" w:rsidRPr="004F0234" w:rsidRDefault="006D24A5" w:rsidP="00E01D5B">
            <w:pPr>
              <w:ind w:left="0"/>
              <w:jc w:val="center"/>
              <w:rPr>
                <w:i/>
                <w:sz w:val="18"/>
                <w:szCs w:val="18"/>
              </w:rPr>
            </w:pPr>
            <w:r w:rsidRPr="004F0234">
              <w:rPr>
                <w:i/>
                <w:sz w:val="18"/>
                <w:szCs w:val="18"/>
              </w:rPr>
              <w:t>RO OPII</w:t>
            </w:r>
          </w:p>
        </w:tc>
        <w:tc>
          <w:tcPr>
            <w:tcW w:w="1388" w:type="dxa"/>
            <w:vAlign w:val="center"/>
          </w:tcPr>
          <w:p w:rsidR="006D24A5" w:rsidRPr="004F0234" w:rsidRDefault="006D24A5" w:rsidP="00E01D5B">
            <w:pPr>
              <w:ind w:left="0"/>
              <w:jc w:val="center"/>
              <w:rPr>
                <w:i/>
                <w:sz w:val="18"/>
                <w:szCs w:val="18"/>
              </w:rPr>
            </w:pPr>
            <w:r>
              <w:rPr>
                <w:i/>
                <w:sz w:val="18"/>
                <w:szCs w:val="18"/>
              </w:rPr>
              <w:t>Ročne</w:t>
            </w:r>
          </w:p>
        </w:tc>
      </w:tr>
    </w:tbl>
    <w:p w:rsidR="00395D81" w:rsidRPr="007746D2" w:rsidRDefault="00395D81" w:rsidP="007746D2">
      <w:pPr>
        <w:rPr>
          <w:sz w:val="20"/>
          <w:szCs w:val="20"/>
        </w:rPr>
      </w:pPr>
      <w:r w:rsidRPr="007746D2">
        <w:rPr>
          <w:sz w:val="20"/>
          <w:szCs w:val="20"/>
          <w:u w:val="single"/>
        </w:rPr>
        <w:t>Pozn</w:t>
      </w:r>
      <w:r w:rsidRPr="007746D2">
        <w:rPr>
          <w:sz w:val="20"/>
          <w:szCs w:val="20"/>
        </w:rPr>
        <w:t xml:space="preserve">.: Hodnoty ukazovateľov budú doplnené v ďalšom štádiu prípravy dokumentu. </w:t>
      </w:r>
    </w:p>
    <w:p w:rsidR="006D24A5" w:rsidRDefault="006D24A5" w:rsidP="006D24A5">
      <w:pPr>
        <w:pStyle w:val="Nadpis3"/>
      </w:pPr>
      <w:bookmarkStart w:id="45" w:name="_Toc385310704"/>
      <w:r>
        <w:t>Výkonnostný rámec prioritnej osi</w:t>
      </w:r>
      <w:bookmarkEnd w:id="45"/>
    </w:p>
    <w:p w:rsidR="006D24A5" w:rsidRPr="007B3B80" w:rsidRDefault="006D24A5" w:rsidP="006D24A5">
      <w:pPr>
        <w:pStyle w:val="Tab"/>
      </w:pPr>
      <w:r>
        <w:t>Vý</w:t>
      </w:r>
      <w:r w:rsidR="00EF2D7B">
        <w:t xml:space="preserve">konnostný rámec Prioritnej osi </w:t>
      </w:r>
      <w:r w:rsidR="00E00F70">
        <w:t>4</w:t>
      </w:r>
    </w:p>
    <w:tbl>
      <w:tblPr>
        <w:tblStyle w:val="Mriekatabuky"/>
        <w:tblW w:w="982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1476"/>
        <w:gridCol w:w="371"/>
        <w:gridCol w:w="1576"/>
        <w:gridCol w:w="897"/>
        <w:gridCol w:w="617"/>
        <w:gridCol w:w="986"/>
        <w:gridCol w:w="987"/>
        <w:gridCol w:w="736"/>
        <w:gridCol w:w="747"/>
        <w:gridCol w:w="1432"/>
      </w:tblGrid>
      <w:tr w:rsidR="006D24A5" w:rsidTr="00395D81">
        <w:trPr>
          <w:trHeight w:val="340"/>
          <w:jc w:val="center"/>
        </w:trPr>
        <w:tc>
          <w:tcPr>
            <w:tcW w:w="1476" w:type="dxa"/>
            <w:shd w:val="clear" w:color="auto" w:fill="C6D9F1" w:themeFill="text2" w:themeFillTint="33"/>
          </w:tcPr>
          <w:p w:rsidR="006D24A5" w:rsidRPr="008C1732" w:rsidRDefault="006D24A5" w:rsidP="00017B79">
            <w:pPr>
              <w:ind w:left="0"/>
              <w:rPr>
                <w:b/>
                <w:sz w:val="18"/>
                <w:szCs w:val="18"/>
              </w:rPr>
            </w:pPr>
            <w:r w:rsidRPr="008C1732">
              <w:rPr>
                <w:b/>
                <w:sz w:val="18"/>
                <w:szCs w:val="18"/>
              </w:rPr>
              <w:t>Typ ukazovateľa</w:t>
            </w:r>
          </w:p>
          <w:p w:rsidR="006D24A5" w:rsidRPr="008C1732" w:rsidRDefault="006D24A5" w:rsidP="00017B79">
            <w:pPr>
              <w:ind w:left="0"/>
              <w:rPr>
                <w:b/>
                <w:sz w:val="18"/>
                <w:szCs w:val="18"/>
              </w:rPr>
            </w:pPr>
          </w:p>
          <w:p w:rsidR="006D24A5" w:rsidRPr="008C1732" w:rsidRDefault="006D24A5" w:rsidP="00017B79">
            <w:pPr>
              <w:ind w:left="0"/>
              <w:rPr>
                <w:b/>
                <w:sz w:val="18"/>
                <w:szCs w:val="18"/>
              </w:rPr>
            </w:pPr>
            <w:r w:rsidRPr="008C1732">
              <w:rPr>
                <w:b/>
                <w:sz w:val="18"/>
                <w:szCs w:val="18"/>
              </w:rPr>
              <w:t>(Implementačný krok, finančný ukazovateľ, ukazovateľ výstupu alebo výsledku)</w:t>
            </w:r>
            <w:r w:rsidRPr="008C1732">
              <w:rPr>
                <w:b/>
                <w:bCs/>
                <w:sz w:val="16"/>
                <w:szCs w:val="16"/>
              </w:rPr>
              <w:t xml:space="preserve"> </w:t>
            </w:r>
          </w:p>
        </w:tc>
        <w:tc>
          <w:tcPr>
            <w:tcW w:w="371" w:type="dxa"/>
            <w:shd w:val="clear" w:color="auto" w:fill="C6D9F1" w:themeFill="text2" w:themeFillTint="33"/>
          </w:tcPr>
          <w:p w:rsidR="006D24A5" w:rsidRPr="008C1732" w:rsidRDefault="00AF56C3" w:rsidP="00017B79">
            <w:pPr>
              <w:ind w:left="0"/>
              <w:rPr>
                <w:b/>
                <w:sz w:val="18"/>
                <w:szCs w:val="18"/>
              </w:rPr>
            </w:pPr>
            <w:r>
              <w:rPr>
                <w:b/>
                <w:sz w:val="18"/>
                <w:szCs w:val="18"/>
              </w:rPr>
              <w:t>P. č.</w:t>
            </w:r>
          </w:p>
        </w:tc>
        <w:tc>
          <w:tcPr>
            <w:tcW w:w="1576" w:type="dxa"/>
            <w:shd w:val="clear" w:color="auto" w:fill="C6D9F1" w:themeFill="text2" w:themeFillTint="33"/>
          </w:tcPr>
          <w:p w:rsidR="006D24A5" w:rsidRPr="008C1732" w:rsidRDefault="006D24A5" w:rsidP="00017B79">
            <w:pPr>
              <w:ind w:left="0"/>
              <w:rPr>
                <w:b/>
                <w:sz w:val="18"/>
                <w:szCs w:val="18"/>
              </w:rPr>
            </w:pPr>
            <w:r w:rsidRPr="008C1732">
              <w:rPr>
                <w:b/>
                <w:sz w:val="18"/>
                <w:szCs w:val="18"/>
              </w:rPr>
              <w:t>Definícia ukazovateľa alebo implementačného kroku</w:t>
            </w:r>
          </w:p>
        </w:tc>
        <w:tc>
          <w:tcPr>
            <w:tcW w:w="897" w:type="dxa"/>
            <w:shd w:val="clear" w:color="auto" w:fill="C6D9F1" w:themeFill="text2" w:themeFillTint="33"/>
          </w:tcPr>
          <w:p w:rsidR="006D24A5" w:rsidRPr="008C1732" w:rsidRDefault="006D24A5" w:rsidP="00017B79">
            <w:pPr>
              <w:ind w:left="0"/>
              <w:rPr>
                <w:b/>
                <w:sz w:val="18"/>
                <w:szCs w:val="18"/>
              </w:rPr>
            </w:pPr>
            <w:r w:rsidRPr="008C1732">
              <w:rPr>
                <w:b/>
                <w:sz w:val="18"/>
                <w:szCs w:val="18"/>
              </w:rPr>
              <w:t>Merná jednotka</w:t>
            </w:r>
          </w:p>
        </w:tc>
        <w:tc>
          <w:tcPr>
            <w:tcW w:w="617" w:type="dxa"/>
            <w:shd w:val="clear" w:color="auto" w:fill="C6D9F1" w:themeFill="text2" w:themeFillTint="33"/>
          </w:tcPr>
          <w:p w:rsidR="006D24A5" w:rsidRPr="008C1732" w:rsidRDefault="006D24A5" w:rsidP="00017B79">
            <w:pPr>
              <w:ind w:left="0"/>
              <w:rPr>
                <w:b/>
                <w:sz w:val="18"/>
                <w:szCs w:val="18"/>
              </w:rPr>
            </w:pPr>
            <w:r w:rsidRPr="008C1732">
              <w:rPr>
                <w:b/>
                <w:sz w:val="18"/>
                <w:szCs w:val="18"/>
              </w:rPr>
              <w:t>Fond</w:t>
            </w:r>
          </w:p>
        </w:tc>
        <w:tc>
          <w:tcPr>
            <w:tcW w:w="986" w:type="dxa"/>
            <w:shd w:val="clear" w:color="auto" w:fill="C6D9F1" w:themeFill="text2" w:themeFillTint="33"/>
          </w:tcPr>
          <w:p w:rsidR="006D24A5" w:rsidRPr="008C1732" w:rsidRDefault="006D24A5" w:rsidP="00017B79">
            <w:pPr>
              <w:ind w:left="0"/>
              <w:rPr>
                <w:b/>
                <w:sz w:val="18"/>
                <w:szCs w:val="18"/>
              </w:rPr>
            </w:pPr>
            <w:r w:rsidRPr="008C1732">
              <w:rPr>
                <w:b/>
                <w:sz w:val="18"/>
                <w:szCs w:val="18"/>
              </w:rPr>
              <w:t>Kategória regiónu</w:t>
            </w:r>
          </w:p>
        </w:tc>
        <w:tc>
          <w:tcPr>
            <w:tcW w:w="987" w:type="dxa"/>
            <w:shd w:val="clear" w:color="auto" w:fill="C6D9F1" w:themeFill="text2" w:themeFillTint="33"/>
          </w:tcPr>
          <w:p w:rsidR="006D24A5" w:rsidRPr="008C1732" w:rsidRDefault="006D24A5" w:rsidP="00017B79">
            <w:pPr>
              <w:ind w:left="0"/>
              <w:rPr>
                <w:b/>
                <w:sz w:val="18"/>
                <w:szCs w:val="18"/>
              </w:rPr>
            </w:pPr>
            <w:r w:rsidRPr="008C1732">
              <w:rPr>
                <w:b/>
                <w:sz w:val="18"/>
                <w:szCs w:val="18"/>
              </w:rPr>
              <w:t>Čiastkový cieľ pre rok 2018</w:t>
            </w:r>
          </w:p>
        </w:tc>
        <w:tc>
          <w:tcPr>
            <w:tcW w:w="736" w:type="dxa"/>
            <w:shd w:val="clear" w:color="auto" w:fill="C6D9F1" w:themeFill="text2" w:themeFillTint="33"/>
          </w:tcPr>
          <w:p w:rsidR="006D24A5" w:rsidRPr="008C1732" w:rsidRDefault="006D24A5" w:rsidP="00017B79">
            <w:pPr>
              <w:ind w:left="0"/>
              <w:rPr>
                <w:b/>
                <w:sz w:val="18"/>
                <w:szCs w:val="18"/>
              </w:rPr>
            </w:pPr>
            <w:r w:rsidRPr="008C1732">
              <w:rPr>
                <w:b/>
                <w:sz w:val="18"/>
                <w:szCs w:val="18"/>
              </w:rPr>
              <w:t>Zámer</w:t>
            </w:r>
          </w:p>
          <w:p w:rsidR="006D24A5" w:rsidRPr="008C1732" w:rsidRDefault="006D24A5" w:rsidP="00017B79">
            <w:pPr>
              <w:ind w:left="0"/>
              <w:rPr>
                <w:b/>
                <w:sz w:val="18"/>
                <w:szCs w:val="18"/>
              </w:rPr>
            </w:pPr>
            <w:r w:rsidRPr="008C1732">
              <w:rPr>
                <w:b/>
                <w:sz w:val="18"/>
                <w:szCs w:val="18"/>
              </w:rPr>
              <w:t>(2023)</w:t>
            </w:r>
          </w:p>
        </w:tc>
        <w:tc>
          <w:tcPr>
            <w:tcW w:w="747" w:type="dxa"/>
            <w:shd w:val="clear" w:color="auto" w:fill="C6D9F1" w:themeFill="text2" w:themeFillTint="33"/>
          </w:tcPr>
          <w:p w:rsidR="006D24A5" w:rsidRPr="008C1732" w:rsidRDefault="006D24A5" w:rsidP="00017B79">
            <w:pPr>
              <w:ind w:left="0"/>
              <w:rPr>
                <w:b/>
                <w:sz w:val="18"/>
                <w:szCs w:val="18"/>
              </w:rPr>
            </w:pPr>
            <w:r w:rsidRPr="008C1732">
              <w:rPr>
                <w:b/>
                <w:sz w:val="18"/>
                <w:szCs w:val="18"/>
              </w:rPr>
              <w:t>Zdroj údajov</w:t>
            </w:r>
          </w:p>
        </w:tc>
        <w:tc>
          <w:tcPr>
            <w:tcW w:w="1432" w:type="dxa"/>
            <w:shd w:val="clear" w:color="auto" w:fill="C6D9F1" w:themeFill="text2" w:themeFillTint="33"/>
          </w:tcPr>
          <w:p w:rsidR="006D24A5" w:rsidRPr="008C1732" w:rsidRDefault="006D24A5" w:rsidP="00017B79">
            <w:pPr>
              <w:ind w:left="0"/>
              <w:rPr>
                <w:b/>
                <w:sz w:val="18"/>
                <w:szCs w:val="18"/>
              </w:rPr>
            </w:pPr>
            <w:r w:rsidRPr="008C1732">
              <w:rPr>
                <w:b/>
                <w:sz w:val="18"/>
                <w:szCs w:val="18"/>
              </w:rPr>
              <w:t>Zdôvodnenie výberu ukazovateľa</w:t>
            </w:r>
          </w:p>
        </w:tc>
      </w:tr>
      <w:tr w:rsidR="006D24A5" w:rsidTr="00395D81">
        <w:trPr>
          <w:trHeight w:val="454"/>
          <w:jc w:val="center"/>
        </w:trPr>
        <w:tc>
          <w:tcPr>
            <w:tcW w:w="1476" w:type="dxa"/>
            <w:vAlign w:val="center"/>
          </w:tcPr>
          <w:p w:rsidR="006D24A5" w:rsidRPr="00D9570C" w:rsidRDefault="006D24A5" w:rsidP="005139F6">
            <w:pPr>
              <w:ind w:left="0"/>
              <w:rPr>
                <w:i/>
                <w:sz w:val="18"/>
                <w:szCs w:val="18"/>
              </w:rPr>
            </w:pPr>
            <w:r w:rsidRPr="00D9570C">
              <w:rPr>
                <w:i/>
                <w:sz w:val="18"/>
                <w:szCs w:val="18"/>
              </w:rPr>
              <w:t>výstupový ukazovateľ</w:t>
            </w:r>
          </w:p>
        </w:tc>
        <w:tc>
          <w:tcPr>
            <w:tcW w:w="371" w:type="dxa"/>
          </w:tcPr>
          <w:p w:rsidR="006D24A5" w:rsidRPr="00D9570C" w:rsidRDefault="006D24A5" w:rsidP="00017B79">
            <w:pPr>
              <w:rPr>
                <w:sz w:val="18"/>
                <w:szCs w:val="18"/>
              </w:rPr>
            </w:pPr>
          </w:p>
        </w:tc>
        <w:tc>
          <w:tcPr>
            <w:tcW w:w="1576" w:type="dxa"/>
            <w:vAlign w:val="center"/>
          </w:tcPr>
          <w:p w:rsidR="006D24A5" w:rsidRPr="00D9570C" w:rsidRDefault="002F2B02" w:rsidP="00017B79">
            <w:pPr>
              <w:ind w:left="0"/>
              <w:rPr>
                <w:sz w:val="18"/>
                <w:szCs w:val="18"/>
              </w:rPr>
            </w:pPr>
            <w:r>
              <w:rPr>
                <w:sz w:val="18"/>
                <w:szCs w:val="18"/>
              </w:rPr>
              <w:t>Počet vypracovaných štúdií realizovateľnosti (v súvislosti s rozvojom prístavov a vodných ciest TEN-T CORE)</w:t>
            </w:r>
          </w:p>
        </w:tc>
        <w:tc>
          <w:tcPr>
            <w:tcW w:w="897" w:type="dxa"/>
            <w:vAlign w:val="center"/>
          </w:tcPr>
          <w:p w:rsidR="006D24A5" w:rsidRPr="00D9570C" w:rsidRDefault="00E00F70" w:rsidP="005139F6">
            <w:pPr>
              <w:ind w:left="0"/>
              <w:jc w:val="center"/>
              <w:rPr>
                <w:i/>
                <w:sz w:val="18"/>
                <w:szCs w:val="18"/>
              </w:rPr>
            </w:pPr>
            <w:r>
              <w:rPr>
                <w:i/>
                <w:sz w:val="18"/>
                <w:szCs w:val="18"/>
              </w:rPr>
              <w:t>počet</w:t>
            </w:r>
          </w:p>
        </w:tc>
        <w:tc>
          <w:tcPr>
            <w:tcW w:w="617" w:type="dxa"/>
            <w:vAlign w:val="center"/>
          </w:tcPr>
          <w:p w:rsidR="006D24A5" w:rsidRPr="00D9570C" w:rsidRDefault="006D24A5" w:rsidP="005139F6">
            <w:pPr>
              <w:ind w:left="0"/>
              <w:jc w:val="center"/>
              <w:rPr>
                <w:i/>
                <w:sz w:val="18"/>
                <w:szCs w:val="18"/>
              </w:rPr>
            </w:pPr>
            <w:r w:rsidRPr="00D9570C">
              <w:rPr>
                <w:i/>
                <w:sz w:val="18"/>
                <w:szCs w:val="18"/>
              </w:rPr>
              <w:t>KF</w:t>
            </w:r>
          </w:p>
        </w:tc>
        <w:tc>
          <w:tcPr>
            <w:tcW w:w="986" w:type="dxa"/>
            <w:vAlign w:val="center"/>
          </w:tcPr>
          <w:p w:rsidR="006D24A5" w:rsidRPr="00D9570C" w:rsidRDefault="006D24A5" w:rsidP="005139F6">
            <w:pPr>
              <w:ind w:left="0"/>
              <w:jc w:val="center"/>
              <w:rPr>
                <w:i/>
                <w:sz w:val="18"/>
                <w:szCs w:val="18"/>
              </w:rPr>
            </w:pPr>
            <w:r w:rsidRPr="00D9570C">
              <w:rPr>
                <w:i/>
                <w:sz w:val="18"/>
                <w:szCs w:val="18"/>
              </w:rPr>
              <w:t>N/A</w:t>
            </w:r>
          </w:p>
        </w:tc>
        <w:tc>
          <w:tcPr>
            <w:tcW w:w="987" w:type="dxa"/>
            <w:vAlign w:val="center"/>
          </w:tcPr>
          <w:p w:rsidR="006D24A5" w:rsidRPr="00D9570C" w:rsidRDefault="006D24A5" w:rsidP="005139F6">
            <w:pPr>
              <w:ind w:left="0"/>
              <w:jc w:val="center"/>
              <w:rPr>
                <w:i/>
                <w:sz w:val="18"/>
                <w:szCs w:val="18"/>
              </w:rPr>
            </w:pPr>
          </w:p>
        </w:tc>
        <w:tc>
          <w:tcPr>
            <w:tcW w:w="736" w:type="dxa"/>
            <w:vAlign w:val="center"/>
          </w:tcPr>
          <w:p w:rsidR="006D24A5" w:rsidRPr="00D9570C" w:rsidRDefault="00612D9A" w:rsidP="005139F6">
            <w:pPr>
              <w:ind w:left="0"/>
              <w:jc w:val="center"/>
              <w:rPr>
                <w:i/>
                <w:sz w:val="18"/>
                <w:szCs w:val="18"/>
              </w:rPr>
            </w:pPr>
            <w:r>
              <w:rPr>
                <w:i/>
                <w:sz w:val="18"/>
                <w:szCs w:val="18"/>
              </w:rPr>
              <w:t>3</w:t>
            </w:r>
          </w:p>
        </w:tc>
        <w:tc>
          <w:tcPr>
            <w:tcW w:w="747" w:type="dxa"/>
            <w:vAlign w:val="center"/>
          </w:tcPr>
          <w:p w:rsidR="006D24A5" w:rsidRPr="00D9570C" w:rsidRDefault="006D24A5" w:rsidP="005139F6">
            <w:pPr>
              <w:ind w:left="0"/>
              <w:jc w:val="center"/>
              <w:rPr>
                <w:i/>
                <w:sz w:val="18"/>
                <w:szCs w:val="18"/>
              </w:rPr>
            </w:pPr>
            <w:r w:rsidRPr="00D9570C">
              <w:rPr>
                <w:i/>
                <w:sz w:val="18"/>
                <w:szCs w:val="18"/>
              </w:rPr>
              <w:t>RO OPII</w:t>
            </w:r>
          </w:p>
        </w:tc>
        <w:tc>
          <w:tcPr>
            <w:tcW w:w="1432" w:type="dxa"/>
            <w:vAlign w:val="center"/>
          </w:tcPr>
          <w:p w:rsidR="006D24A5" w:rsidRPr="00D9570C" w:rsidRDefault="00E00F70" w:rsidP="005139F6">
            <w:pPr>
              <w:ind w:left="0"/>
              <w:jc w:val="center"/>
              <w:rPr>
                <w:i/>
                <w:sz w:val="18"/>
                <w:szCs w:val="18"/>
              </w:rPr>
            </w:pPr>
            <w:r>
              <w:rPr>
                <w:i/>
                <w:sz w:val="18"/>
                <w:szCs w:val="18"/>
              </w:rPr>
              <w:t>Štúdie realizovateľnosti predstavujú základ pre definíciu projektov</w:t>
            </w:r>
          </w:p>
        </w:tc>
      </w:tr>
      <w:tr w:rsidR="006D24A5" w:rsidTr="00395D81">
        <w:trPr>
          <w:trHeight w:val="454"/>
          <w:jc w:val="center"/>
        </w:trPr>
        <w:tc>
          <w:tcPr>
            <w:tcW w:w="1476" w:type="dxa"/>
            <w:vAlign w:val="center"/>
          </w:tcPr>
          <w:p w:rsidR="006D24A5" w:rsidRPr="00D9570C" w:rsidRDefault="006D24A5" w:rsidP="005139F6">
            <w:pPr>
              <w:ind w:left="0"/>
              <w:rPr>
                <w:sz w:val="18"/>
                <w:szCs w:val="18"/>
              </w:rPr>
            </w:pPr>
            <w:r w:rsidRPr="00D9570C">
              <w:rPr>
                <w:i/>
                <w:sz w:val="18"/>
                <w:szCs w:val="18"/>
              </w:rPr>
              <w:t xml:space="preserve"> finančný ukazovateľ</w:t>
            </w:r>
          </w:p>
        </w:tc>
        <w:tc>
          <w:tcPr>
            <w:tcW w:w="371" w:type="dxa"/>
          </w:tcPr>
          <w:p w:rsidR="006D24A5" w:rsidRPr="00D9570C" w:rsidRDefault="006D24A5" w:rsidP="00017B79">
            <w:pPr>
              <w:rPr>
                <w:sz w:val="18"/>
                <w:szCs w:val="18"/>
              </w:rPr>
            </w:pPr>
          </w:p>
        </w:tc>
        <w:tc>
          <w:tcPr>
            <w:tcW w:w="1576" w:type="dxa"/>
            <w:vAlign w:val="center"/>
          </w:tcPr>
          <w:p w:rsidR="006D24A5" w:rsidRPr="00D9570C" w:rsidRDefault="006D24A5" w:rsidP="00017B79">
            <w:pPr>
              <w:ind w:left="0"/>
              <w:rPr>
                <w:sz w:val="18"/>
                <w:szCs w:val="18"/>
              </w:rPr>
            </w:pPr>
            <w:r w:rsidRPr="00D9570C">
              <w:rPr>
                <w:sz w:val="18"/>
                <w:szCs w:val="18"/>
              </w:rPr>
              <w:t>Celková suma oprávnených výdavkov po ich certifikácii zo strany Certifikačného orgánu</w:t>
            </w:r>
          </w:p>
        </w:tc>
        <w:tc>
          <w:tcPr>
            <w:tcW w:w="897" w:type="dxa"/>
            <w:vAlign w:val="center"/>
          </w:tcPr>
          <w:p w:rsidR="006D24A5" w:rsidRPr="00D9570C" w:rsidRDefault="006D24A5" w:rsidP="005139F6">
            <w:pPr>
              <w:ind w:left="0"/>
              <w:jc w:val="center"/>
              <w:rPr>
                <w:i/>
                <w:sz w:val="18"/>
                <w:szCs w:val="18"/>
              </w:rPr>
            </w:pPr>
            <w:r w:rsidRPr="00D9570C">
              <w:rPr>
                <w:i/>
                <w:sz w:val="18"/>
                <w:szCs w:val="18"/>
              </w:rPr>
              <w:t>%</w:t>
            </w:r>
          </w:p>
        </w:tc>
        <w:tc>
          <w:tcPr>
            <w:tcW w:w="617" w:type="dxa"/>
            <w:vAlign w:val="center"/>
          </w:tcPr>
          <w:p w:rsidR="006D24A5" w:rsidRPr="00D9570C" w:rsidRDefault="006D24A5" w:rsidP="005139F6">
            <w:pPr>
              <w:ind w:left="0"/>
              <w:jc w:val="center"/>
              <w:rPr>
                <w:i/>
                <w:sz w:val="18"/>
                <w:szCs w:val="18"/>
              </w:rPr>
            </w:pPr>
            <w:r w:rsidRPr="00D9570C">
              <w:rPr>
                <w:i/>
                <w:sz w:val="18"/>
                <w:szCs w:val="18"/>
              </w:rPr>
              <w:t>KF</w:t>
            </w:r>
          </w:p>
        </w:tc>
        <w:tc>
          <w:tcPr>
            <w:tcW w:w="986" w:type="dxa"/>
            <w:vAlign w:val="center"/>
          </w:tcPr>
          <w:p w:rsidR="006D24A5" w:rsidRPr="00D9570C" w:rsidRDefault="006D24A5" w:rsidP="005139F6">
            <w:pPr>
              <w:ind w:left="0"/>
              <w:jc w:val="center"/>
              <w:rPr>
                <w:i/>
                <w:sz w:val="18"/>
                <w:szCs w:val="18"/>
              </w:rPr>
            </w:pPr>
            <w:r w:rsidRPr="00D9570C">
              <w:rPr>
                <w:i/>
                <w:sz w:val="18"/>
                <w:szCs w:val="18"/>
              </w:rPr>
              <w:t>N/A</w:t>
            </w:r>
          </w:p>
        </w:tc>
        <w:tc>
          <w:tcPr>
            <w:tcW w:w="987" w:type="dxa"/>
            <w:vAlign w:val="center"/>
          </w:tcPr>
          <w:p w:rsidR="006D24A5" w:rsidRPr="00D9570C" w:rsidRDefault="006D24A5" w:rsidP="005139F6">
            <w:pPr>
              <w:ind w:left="0"/>
              <w:jc w:val="center"/>
              <w:rPr>
                <w:i/>
                <w:sz w:val="18"/>
                <w:szCs w:val="18"/>
              </w:rPr>
            </w:pPr>
          </w:p>
        </w:tc>
        <w:tc>
          <w:tcPr>
            <w:tcW w:w="736" w:type="dxa"/>
            <w:vAlign w:val="center"/>
          </w:tcPr>
          <w:p w:rsidR="006D24A5" w:rsidRPr="00D9570C" w:rsidRDefault="006D24A5" w:rsidP="005139F6">
            <w:pPr>
              <w:ind w:left="0"/>
              <w:jc w:val="center"/>
              <w:rPr>
                <w:i/>
                <w:sz w:val="18"/>
                <w:szCs w:val="18"/>
              </w:rPr>
            </w:pPr>
          </w:p>
        </w:tc>
        <w:tc>
          <w:tcPr>
            <w:tcW w:w="747" w:type="dxa"/>
            <w:vAlign w:val="center"/>
          </w:tcPr>
          <w:p w:rsidR="006D24A5" w:rsidRPr="00D9570C" w:rsidRDefault="006D24A5" w:rsidP="005139F6">
            <w:pPr>
              <w:ind w:left="0"/>
              <w:jc w:val="center"/>
              <w:rPr>
                <w:i/>
                <w:sz w:val="18"/>
                <w:szCs w:val="18"/>
              </w:rPr>
            </w:pPr>
            <w:r w:rsidRPr="00D9570C">
              <w:rPr>
                <w:i/>
                <w:sz w:val="18"/>
                <w:szCs w:val="18"/>
              </w:rPr>
              <w:t>RO OPII</w:t>
            </w:r>
          </w:p>
        </w:tc>
        <w:tc>
          <w:tcPr>
            <w:tcW w:w="1432" w:type="dxa"/>
            <w:vAlign w:val="center"/>
          </w:tcPr>
          <w:p w:rsidR="006D24A5" w:rsidRPr="00D9570C" w:rsidRDefault="006D24A5" w:rsidP="005139F6">
            <w:pPr>
              <w:ind w:left="0"/>
              <w:jc w:val="center"/>
              <w:rPr>
                <w:i/>
                <w:sz w:val="18"/>
                <w:szCs w:val="18"/>
              </w:rPr>
            </w:pPr>
            <w:r w:rsidRPr="00D9570C">
              <w:rPr>
                <w:i/>
                <w:sz w:val="18"/>
                <w:szCs w:val="18"/>
              </w:rPr>
              <w:t>Základný finančný ukazovateľ</w:t>
            </w:r>
          </w:p>
        </w:tc>
      </w:tr>
    </w:tbl>
    <w:p w:rsidR="00395D81" w:rsidRPr="007746D2" w:rsidRDefault="00395D81" w:rsidP="007746D2">
      <w:pPr>
        <w:rPr>
          <w:sz w:val="20"/>
          <w:szCs w:val="20"/>
        </w:rPr>
      </w:pPr>
      <w:r w:rsidRPr="007746D2">
        <w:rPr>
          <w:sz w:val="20"/>
          <w:szCs w:val="20"/>
          <w:u w:val="single"/>
        </w:rPr>
        <w:t>Pozn</w:t>
      </w:r>
      <w:r w:rsidRPr="007746D2">
        <w:rPr>
          <w:sz w:val="20"/>
          <w:szCs w:val="20"/>
        </w:rPr>
        <w:t xml:space="preserve">.: Hodnoty ukazovateľov budú doplnené v ďalšom štádiu prípravy dokumentu. </w:t>
      </w:r>
    </w:p>
    <w:p w:rsidR="008D24AC" w:rsidRDefault="008D24AC">
      <w:pPr>
        <w:rPr>
          <w:rFonts w:ascii="Arial Narrow" w:hAnsi="Arial Narrow" w:cs="Arial"/>
          <w:b/>
          <w:bCs/>
          <w:color w:val="1F497D" w:themeColor="text2"/>
          <w:sz w:val="22"/>
          <w:szCs w:val="26"/>
        </w:rPr>
      </w:pPr>
      <w:bookmarkStart w:id="46" w:name="_Toc385310705"/>
      <w:r>
        <w:br w:type="page"/>
      </w:r>
    </w:p>
    <w:p w:rsidR="006D24A5" w:rsidRDefault="006D24A5" w:rsidP="006D24A5">
      <w:pPr>
        <w:pStyle w:val="Nadpis3"/>
      </w:pPr>
      <w:r>
        <w:lastRenderedPageBreak/>
        <w:t>Kategórie intervencií</w:t>
      </w:r>
      <w:bookmarkEnd w:id="46"/>
    </w:p>
    <w:p w:rsidR="006D24A5" w:rsidRPr="006579CE" w:rsidRDefault="006D24A5" w:rsidP="006D24A5">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6D24A5" w:rsidTr="00017B79">
        <w:trPr>
          <w:trHeight w:val="284"/>
          <w:jc w:val="center"/>
        </w:trPr>
        <w:tc>
          <w:tcPr>
            <w:tcW w:w="9072" w:type="dxa"/>
            <w:gridSpan w:val="3"/>
            <w:shd w:val="clear" w:color="auto" w:fill="DBE5F1" w:themeFill="accent1" w:themeFillTint="33"/>
            <w:vAlign w:val="center"/>
          </w:tcPr>
          <w:p w:rsidR="006D24A5" w:rsidRPr="006579CE" w:rsidRDefault="006D24A5" w:rsidP="00017B79">
            <w:pPr>
              <w:pStyle w:val="Default"/>
              <w:autoSpaceDE/>
              <w:autoSpaceDN/>
              <w:adjustRightInd/>
              <w:ind w:left="0"/>
              <w:rPr>
                <w:sz w:val="20"/>
                <w:szCs w:val="20"/>
              </w:rPr>
            </w:pPr>
            <w:r>
              <w:rPr>
                <w:b/>
                <w:bCs/>
                <w:sz w:val="20"/>
                <w:szCs w:val="20"/>
              </w:rPr>
              <w:t xml:space="preserve">Rozmer 1 – Oblasť intervencie </w:t>
            </w:r>
          </w:p>
        </w:tc>
      </w:tr>
      <w:tr w:rsidR="006D24A5" w:rsidTr="00017B79">
        <w:trPr>
          <w:trHeight w:val="284"/>
          <w:jc w:val="center"/>
        </w:trPr>
        <w:tc>
          <w:tcPr>
            <w:tcW w:w="4913" w:type="dxa"/>
            <w:shd w:val="clear" w:color="auto" w:fill="DBE5F1" w:themeFill="accent1" w:themeFillTint="33"/>
            <w:vAlign w:val="center"/>
          </w:tcPr>
          <w:p w:rsidR="006D24A5" w:rsidRPr="006579CE" w:rsidRDefault="006D24A5" w:rsidP="00017B79">
            <w:pPr>
              <w:pStyle w:val="Default"/>
              <w:autoSpaceDE/>
              <w:autoSpaceDN/>
              <w:adjustRightInd/>
              <w:ind w:left="0"/>
              <w:rPr>
                <w:b/>
                <w:bCs/>
                <w:sz w:val="20"/>
                <w:szCs w:val="20"/>
              </w:rPr>
            </w:pPr>
            <w:r w:rsidRPr="006579CE">
              <w:rPr>
                <w:b/>
                <w:bCs/>
                <w:sz w:val="20"/>
                <w:szCs w:val="20"/>
              </w:rPr>
              <w:t>Fond</w:t>
            </w:r>
          </w:p>
        </w:tc>
        <w:tc>
          <w:tcPr>
            <w:tcW w:w="4159" w:type="dxa"/>
            <w:gridSpan w:val="2"/>
            <w:shd w:val="clear" w:color="auto" w:fill="DBE5F1" w:themeFill="accent1" w:themeFillTint="33"/>
            <w:vAlign w:val="center"/>
          </w:tcPr>
          <w:p w:rsidR="006D24A5" w:rsidRPr="006579CE" w:rsidRDefault="006D24A5" w:rsidP="00017B79">
            <w:pPr>
              <w:pStyle w:val="Default"/>
              <w:autoSpaceDE/>
              <w:autoSpaceDN/>
              <w:adjustRightInd/>
              <w:ind w:left="0"/>
              <w:rPr>
                <w:bCs/>
                <w:sz w:val="20"/>
                <w:szCs w:val="20"/>
              </w:rPr>
            </w:pPr>
            <w:r w:rsidRPr="006579CE">
              <w:rPr>
                <w:bCs/>
                <w:sz w:val="20"/>
                <w:szCs w:val="20"/>
              </w:rPr>
              <w:t>Kohézny fond</w:t>
            </w:r>
          </w:p>
        </w:tc>
      </w:tr>
      <w:tr w:rsidR="006D24A5" w:rsidTr="00017B79">
        <w:trPr>
          <w:trHeight w:val="284"/>
          <w:jc w:val="center"/>
        </w:trPr>
        <w:tc>
          <w:tcPr>
            <w:tcW w:w="4913" w:type="dxa"/>
            <w:shd w:val="clear" w:color="auto" w:fill="DBE5F1" w:themeFill="accent1" w:themeFillTint="33"/>
            <w:vAlign w:val="center"/>
          </w:tcPr>
          <w:p w:rsidR="006D24A5" w:rsidRPr="006579CE" w:rsidRDefault="006D24A5" w:rsidP="00017B79">
            <w:pPr>
              <w:ind w:left="0"/>
              <w:rPr>
                <w:sz w:val="20"/>
                <w:szCs w:val="20"/>
              </w:rPr>
            </w:pPr>
            <w:r w:rsidRPr="006579CE">
              <w:rPr>
                <w:b/>
                <w:bCs/>
                <w:color w:val="000000"/>
                <w:sz w:val="20"/>
                <w:szCs w:val="20"/>
              </w:rPr>
              <w:t>Kategória regiónu</w:t>
            </w:r>
          </w:p>
        </w:tc>
        <w:tc>
          <w:tcPr>
            <w:tcW w:w="4159" w:type="dxa"/>
            <w:gridSpan w:val="2"/>
            <w:shd w:val="clear" w:color="auto" w:fill="DBE5F1" w:themeFill="accent1" w:themeFillTint="33"/>
            <w:vAlign w:val="center"/>
          </w:tcPr>
          <w:p w:rsidR="006D24A5" w:rsidRPr="006579CE" w:rsidRDefault="006D24A5" w:rsidP="00017B79">
            <w:pPr>
              <w:ind w:left="0"/>
              <w:rPr>
                <w:sz w:val="20"/>
                <w:szCs w:val="20"/>
              </w:rPr>
            </w:pPr>
            <w:r w:rsidRPr="006579CE">
              <w:rPr>
                <w:sz w:val="20"/>
                <w:szCs w:val="20"/>
              </w:rPr>
              <w:t>N/A</w:t>
            </w:r>
          </w:p>
        </w:tc>
      </w:tr>
      <w:tr w:rsidR="006D24A5" w:rsidTr="00017B79">
        <w:trPr>
          <w:trHeight w:val="284"/>
          <w:jc w:val="center"/>
        </w:trPr>
        <w:tc>
          <w:tcPr>
            <w:tcW w:w="4913" w:type="dxa"/>
            <w:vAlign w:val="center"/>
          </w:tcPr>
          <w:p w:rsidR="006D24A5" w:rsidRPr="00D479A4" w:rsidRDefault="006D24A5" w:rsidP="00017B79">
            <w:pPr>
              <w:ind w:left="0"/>
              <w:jc w:val="center"/>
              <w:rPr>
                <w:b/>
                <w:sz w:val="20"/>
                <w:szCs w:val="20"/>
              </w:rPr>
            </w:pPr>
            <w:r w:rsidRPr="00D479A4">
              <w:rPr>
                <w:b/>
                <w:sz w:val="20"/>
                <w:szCs w:val="20"/>
              </w:rPr>
              <w:t>Prioritná os</w:t>
            </w:r>
          </w:p>
        </w:tc>
        <w:tc>
          <w:tcPr>
            <w:tcW w:w="2120" w:type="dxa"/>
            <w:vAlign w:val="center"/>
          </w:tcPr>
          <w:p w:rsidR="006D24A5" w:rsidRPr="00D479A4" w:rsidRDefault="006D24A5" w:rsidP="00017B79">
            <w:pPr>
              <w:ind w:left="0"/>
              <w:jc w:val="center"/>
              <w:rPr>
                <w:b/>
                <w:sz w:val="20"/>
                <w:szCs w:val="20"/>
              </w:rPr>
            </w:pPr>
            <w:r w:rsidRPr="00D479A4">
              <w:rPr>
                <w:b/>
                <w:sz w:val="20"/>
                <w:szCs w:val="20"/>
              </w:rPr>
              <w:t>Kód</w:t>
            </w:r>
          </w:p>
        </w:tc>
        <w:tc>
          <w:tcPr>
            <w:tcW w:w="2039" w:type="dxa"/>
            <w:vAlign w:val="center"/>
          </w:tcPr>
          <w:p w:rsidR="006D24A5" w:rsidRPr="00D479A4" w:rsidRDefault="006D24A5" w:rsidP="00017B79">
            <w:pPr>
              <w:ind w:left="0"/>
              <w:jc w:val="center"/>
              <w:rPr>
                <w:b/>
                <w:sz w:val="20"/>
                <w:szCs w:val="20"/>
              </w:rPr>
            </w:pPr>
            <w:r w:rsidRPr="00D479A4">
              <w:rPr>
                <w:b/>
                <w:sz w:val="20"/>
                <w:szCs w:val="20"/>
              </w:rPr>
              <w:t>Suma (v EUR)</w:t>
            </w:r>
          </w:p>
        </w:tc>
      </w:tr>
      <w:tr w:rsidR="00E00F70" w:rsidTr="00017B79">
        <w:trPr>
          <w:trHeight w:val="284"/>
          <w:jc w:val="center"/>
        </w:trPr>
        <w:tc>
          <w:tcPr>
            <w:tcW w:w="4913" w:type="dxa"/>
            <w:vAlign w:val="center"/>
          </w:tcPr>
          <w:p w:rsidR="00E00F70" w:rsidRPr="00D479A4" w:rsidRDefault="003E0235" w:rsidP="00E00F70">
            <w:pPr>
              <w:ind w:left="0"/>
              <w:rPr>
                <w:b/>
                <w:sz w:val="20"/>
                <w:szCs w:val="20"/>
              </w:rPr>
            </w:pPr>
            <w:r>
              <w:rPr>
                <w:sz w:val="20"/>
                <w:szCs w:val="20"/>
              </w:rPr>
              <w:t xml:space="preserve">Prioritná os 4 - </w:t>
            </w:r>
            <w:r w:rsidR="00E00F70">
              <w:rPr>
                <w:sz w:val="20"/>
                <w:szCs w:val="20"/>
              </w:rPr>
              <w:t>Infraštruktúra vodnej dopravy (TEN-T CORE)</w:t>
            </w:r>
          </w:p>
        </w:tc>
        <w:tc>
          <w:tcPr>
            <w:tcW w:w="2120" w:type="dxa"/>
            <w:vAlign w:val="center"/>
          </w:tcPr>
          <w:p w:rsidR="00E00F70" w:rsidRPr="00D479A4" w:rsidRDefault="00E00F70" w:rsidP="00E00F70">
            <w:pPr>
              <w:ind w:left="0"/>
              <w:jc w:val="center"/>
              <w:rPr>
                <w:b/>
                <w:sz w:val="20"/>
                <w:szCs w:val="20"/>
              </w:rPr>
            </w:pPr>
            <w:r>
              <w:rPr>
                <w:sz w:val="20"/>
                <w:szCs w:val="20"/>
              </w:rPr>
              <w:t>041</w:t>
            </w:r>
          </w:p>
        </w:tc>
        <w:tc>
          <w:tcPr>
            <w:tcW w:w="2039" w:type="dxa"/>
            <w:vAlign w:val="center"/>
          </w:tcPr>
          <w:p w:rsidR="00E00F70" w:rsidRPr="00E00F70" w:rsidRDefault="00E00F70" w:rsidP="00E00F70">
            <w:pPr>
              <w:ind w:left="0"/>
              <w:jc w:val="center"/>
              <w:rPr>
                <w:sz w:val="20"/>
                <w:szCs w:val="20"/>
              </w:rPr>
            </w:pPr>
            <w:r w:rsidRPr="00E00F70">
              <w:rPr>
                <w:sz w:val="20"/>
                <w:szCs w:val="20"/>
              </w:rPr>
              <w:t>116 450 000</w:t>
            </w:r>
          </w:p>
        </w:tc>
      </w:tr>
    </w:tbl>
    <w:p w:rsidR="006D24A5" w:rsidRPr="006579CE" w:rsidRDefault="006D24A5" w:rsidP="006D24A5">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6D24A5" w:rsidTr="00017B79">
        <w:trPr>
          <w:trHeight w:val="255"/>
          <w:jc w:val="center"/>
        </w:trPr>
        <w:tc>
          <w:tcPr>
            <w:tcW w:w="9098" w:type="dxa"/>
            <w:gridSpan w:val="3"/>
            <w:shd w:val="clear" w:color="auto" w:fill="DBE5F1" w:themeFill="accent1" w:themeFillTint="33"/>
            <w:vAlign w:val="center"/>
          </w:tcPr>
          <w:p w:rsidR="006D24A5" w:rsidRPr="006579CE" w:rsidRDefault="006D24A5" w:rsidP="00017B79">
            <w:pPr>
              <w:pStyle w:val="Default"/>
              <w:autoSpaceDE/>
              <w:autoSpaceDN/>
              <w:adjustRightInd/>
              <w:ind w:left="0"/>
              <w:rPr>
                <w:sz w:val="20"/>
                <w:szCs w:val="20"/>
              </w:rPr>
            </w:pPr>
            <w:r>
              <w:rPr>
                <w:b/>
                <w:bCs/>
                <w:sz w:val="20"/>
                <w:szCs w:val="20"/>
              </w:rPr>
              <w:t xml:space="preserve">Rozmer 2 – Forma financovania </w:t>
            </w:r>
          </w:p>
        </w:tc>
      </w:tr>
      <w:tr w:rsidR="006D24A5" w:rsidTr="00017B79">
        <w:trPr>
          <w:trHeight w:val="255"/>
          <w:jc w:val="center"/>
        </w:trPr>
        <w:tc>
          <w:tcPr>
            <w:tcW w:w="4928" w:type="dxa"/>
            <w:shd w:val="clear" w:color="auto" w:fill="DBE5F1" w:themeFill="accent1" w:themeFillTint="33"/>
            <w:vAlign w:val="center"/>
          </w:tcPr>
          <w:p w:rsidR="006D24A5" w:rsidRPr="006579CE" w:rsidRDefault="006D24A5" w:rsidP="00017B79">
            <w:pPr>
              <w:pStyle w:val="Default"/>
              <w:autoSpaceDE/>
              <w:autoSpaceDN/>
              <w:adjustRightInd/>
              <w:ind w:left="0"/>
              <w:rPr>
                <w:b/>
                <w:bCs/>
                <w:sz w:val="20"/>
                <w:szCs w:val="20"/>
              </w:rPr>
            </w:pPr>
            <w:r w:rsidRPr="006579CE">
              <w:rPr>
                <w:b/>
                <w:bCs/>
                <w:sz w:val="20"/>
                <w:szCs w:val="20"/>
              </w:rPr>
              <w:t>Fond</w:t>
            </w:r>
          </w:p>
        </w:tc>
        <w:tc>
          <w:tcPr>
            <w:tcW w:w="4170" w:type="dxa"/>
            <w:gridSpan w:val="2"/>
            <w:shd w:val="clear" w:color="auto" w:fill="DBE5F1" w:themeFill="accent1" w:themeFillTint="33"/>
            <w:vAlign w:val="center"/>
          </w:tcPr>
          <w:p w:rsidR="006D24A5" w:rsidRPr="006579CE" w:rsidRDefault="006D24A5" w:rsidP="00017B79">
            <w:pPr>
              <w:pStyle w:val="Default"/>
              <w:autoSpaceDE/>
              <w:autoSpaceDN/>
              <w:adjustRightInd/>
              <w:ind w:left="0"/>
              <w:rPr>
                <w:bCs/>
                <w:sz w:val="20"/>
                <w:szCs w:val="20"/>
              </w:rPr>
            </w:pPr>
            <w:r w:rsidRPr="006579CE">
              <w:rPr>
                <w:bCs/>
                <w:sz w:val="20"/>
                <w:szCs w:val="20"/>
              </w:rPr>
              <w:t>Kohézny fond</w:t>
            </w:r>
          </w:p>
        </w:tc>
      </w:tr>
      <w:tr w:rsidR="006D24A5" w:rsidTr="00017B79">
        <w:trPr>
          <w:trHeight w:val="255"/>
          <w:jc w:val="center"/>
        </w:trPr>
        <w:tc>
          <w:tcPr>
            <w:tcW w:w="4928" w:type="dxa"/>
            <w:shd w:val="clear" w:color="auto" w:fill="DBE5F1" w:themeFill="accent1" w:themeFillTint="33"/>
            <w:vAlign w:val="center"/>
          </w:tcPr>
          <w:p w:rsidR="006D24A5" w:rsidRPr="006579CE" w:rsidRDefault="006D24A5" w:rsidP="00017B79">
            <w:pPr>
              <w:ind w:left="0"/>
              <w:rPr>
                <w:sz w:val="20"/>
                <w:szCs w:val="20"/>
              </w:rPr>
            </w:pPr>
            <w:r w:rsidRPr="006579CE">
              <w:rPr>
                <w:b/>
                <w:bCs/>
                <w:color w:val="000000"/>
                <w:sz w:val="20"/>
                <w:szCs w:val="20"/>
              </w:rPr>
              <w:t>Kategória regiónu</w:t>
            </w:r>
          </w:p>
        </w:tc>
        <w:tc>
          <w:tcPr>
            <w:tcW w:w="4170" w:type="dxa"/>
            <w:gridSpan w:val="2"/>
            <w:shd w:val="clear" w:color="auto" w:fill="DBE5F1" w:themeFill="accent1" w:themeFillTint="33"/>
            <w:vAlign w:val="center"/>
          </w:tcPr>
          <w:p w:rsidR="006D24A5" w:rsidRPr="006579CE" w:rsidRDefault="006D24A5" w:rsidP="00017B79">
            <w:pPr>
              <w:ind w:left="0"/>
              <w:rPr>
                <w:sz w:val="20"/>
                <w:szCs w:val="20"/>
              </w:rPr>
            </w:pPr>
            <w:r w:rsidRPr="006579CE">
              <w:rPr>
                <w:sz w:val="20"/>
                <w:szCs w:val="20"/>
              </w:rPr>
              <w:t>N/A</w:t>
            </w:r>
          </w:p>
        </w:tc>
      </w:tr>
      <w:tr w:rsidR="006D24A5" w:rsidTr="00017B79">
        <w:trPr>
          <w:trHeight w:val="255"/>
          <w:jc w:val="center"/>
        </w:trPr>
        <w:tc>
          <w:tcPr>
            <w:tcW w:w="4928" w:type="dxa"/>
            <w:vAlign w:val="center"/>
          </w:tcPr>
          <w:p w:rsidR="006D24A5" w:rsidRPr="00D479A4" w:rsidRDefault="006D24A5" w:rsidP="00017B79">
            <w:pPr>
              <w:ind w:left="0"/>
              <w:jc w:val="center"/>
              <w:rPr>
                <w:b/>
                <w:sz w:val="20"/>
                <w:szCs w:val="20"/>
              </w:rPr>
            </w:pPr>
            <w:r w:rsidRPr="00D479A4">
              <w:rPr>
                <w:b/>
                <w:sz w:val="20"/>
                <w:szCs w:val="20"/>
              </w:rPr>
              <w:t>Prioritná os</w:t>
            </w:r>
          </w:p>
        </w:tc>
        <w:tc>
          <w:tcPr>
            <w:tcW w:w="2126" w:type="dxa"/>
            <w:vAlign w:val="center"/>
          </w:tcPr>
          <w:p w:rsidR="006D24A5" w:rsidRPr="00D479A4" w:rsidRDefault="006D24A5" w:rsidP="00017B79">
            <w:pPr>
              <w:ind w:left="0"/>
              <w:jc w:val="center"/>
              <w:rPr>
                <w:b/>
                <w:sz w:val="20"/>
                <w:szCs w:val="20"/>
              </w:rPr>
            </w:pPr>
            <w:r w:rsidRPr="00D479A4">
              <w:rPr>
                <w:b/>
                <w:sz w:val="20"/>
                <w:szCs w:val="20"/>
              </w:rPr>
              <w:t>Kód</w:t>
            </w:r>
          </w:p>
        </w:tc>
        <w:tc>
          <w:tcPr>
            <w:tcW w:w="2044" w:type="dxa"/>
            <w:vAlign w:val="center"/>
          </w:tcPr>
          <w:p w:rsidR="006D24A5" w:rsidRPr="00D479A4" w:rsidRDefault="006D24A5" w:rsidP="00017B79">
            <w:pPr>
              <w:ind w:left="0"/>
              <w:jc w:val="center"/>
              <w:rPr>
                <w:b/>
                <w:sz w:val="20"/>
                <w:szCs w:val="20"/>
              </w:rPr>
            </w:pPr>
            <w:r w:rsidRPr="00D479A4">
              <w:rPr>
                <w:b/>
                <w:sz w:val="20"/>
                <w:szCs w:val="20"/>
              </w:rPr>
              <w:t>Suma (v EUR)</w:t>
            </w:r>
          </w:p>
        </w:tc>
      </w:tr>
      <w:tr w:rsidR="006D24A5" w:rsidTr="00017B79">
        <w:trPr>
          <w:trHeight w:val="255"/>
          <w:jc w:val="center"/>
        </w:trPr>
        <w:tc>
          <w:tcPr>
            <w:tcW w:w="4928" w:type="dxa"/>
            <w:vMerge w:val="restart"/>
            <w:vAlign w:val="center"/>
          </w:tcPr>
          <w:p w:rsidR="006D24A5" w:rsidRPr="00D479A4" w:rsidRDefault="003E0235" w:rsidP="00DE620A">
            <w:pPr>
              <w:ind w:left="0"/>
              <w:rPr>
                <w:sz w:val="20"/>
                <w:szCs w:val="20"/>
              </w:rPr>
            </w:pPr>
            <w:r>
              <w:rPr>
                <w:sz w:val="20"/>
                <w:szCs w:val="20"/>
              </w:rPr>
              <w:t xml:space="preserve">Prioritná os 4 - </w:t>
            </w:r>
            <w:r w:rsidR="00E00F70">
              <w:rPr>
                <w:sz w:val="20"/>
                <w:szCs w:val="20"/>
              </w:rPr>
              <w:t>Infraštruktúra vodnej dopravy (TEN-T CORE)</w:t>
            </w:r>
          </w:p>
        </w:tc>
        <w:tc>
          <w:tcPr>
            <w:tcW w:w="2126" w:type="dxa"/>
            <w:vAlign w:val="center"/>
          </w:tcPr>
          <w:p w:rsidR="006D24A5" w:rsidRPr="00D479A4" w:rsidRDefault="006D24A5" w:rsidP="00017B79">
            <w:pPr>
              <w:ind w:left="0"/>
              <w:jc w:val="center"/>
              <w:rPr>
                <w:sz w:val="20"/>
                <w:szCs w:val="20"/>
              </w:rPr>
            </w:pPr>
            <w:r>
              <w:rPr>
                <w:sz w:val="20"/>
                <w:szCs w:val="20"/>
              </w:rPr>
              <w:t>01</w:t>
            </w:r>
          </w:p>
        </w:tc>
        <w:tc>
          <w:tcPr>
            <w:tcW w:w="2044" w:type="dxa"/>
            <w:vAlign w:val="center"/>
          </w:tcPr>
          <w:p w:rsidR="006D24A5" w:rsidRPr="00E92F9B" w:rsidRDefault="00E00F70" w:rsidP="00DB3BED">
            <w:pPr>
              <w:ind w:left="0"/>
              <w:jc w:val="center"/>
              <w:rPr>
                <w:sz w:val="20"/>
                <w:szCs w:val="20"/>
              </w:rPr>
            </w:pPr>
            <w:r w:rsidRPr="00E92F9B">
              <w:rPr>
                <w:sz w:val="20"/>
                <w:szCs w:val="20"/>
                <w:lang w:val="en-US"/>
              </w:rPr>
              <w:t>112 956 500</w:t>
            </w:r>
          </w:p>
        </w:tc>
      </w:tr>
      <w:tr w:rsidR="006D24A5" w:rsidTr="00017B79">
        <w:trPr>
          <w:trHeight w:val="255"/>
          <w:jc w:val="center"/>
        </w:trPr>
        <w:tc>
          <w:tcPr>
            <w:tcW w:w="4928" w:type="dxa"/>
            <w:vMerge/>
            <w:vAlign w:val="center"/>
          </w:tcPr>
          <w:p w:rsidR="006D24A5" w:rsidRPr="00D479A4" w:rsidRDefault="006D24A5" w:rsidP="00017B79">
            <w:pPr>
              <w:ind w:left="0"/>
              <w:rPr>
                <w:sz w:val="20"/>
                <w:szCs w:val="20"/>
              </w:rPr>
            </w:pPr>
          </w:p>
        </w:tc>
        <w:tc>
          <w:tcPr>
            <w:tcW w:w="2126" w:type="dxa"/>
            <w:vAlign w:val="center"/>
          </w:tcPr>
          <w:p w:rsidR="006D24A5" w:rsidRPr="00D479A4" w:rsidRDefault="006D24A5" w:rsidP="00017B79">
            <w:pPr>
              <w:ind w:left="0"/>
              <w:jc w:val="center"/>
              <w:rPr>
                <w:sz w:val="20"/>
                <w:szCs w:val="20"/>
              </w:rPr>
            </w:pPr>
            <w:r>
              <w:rPr>
                <w:sz w:val="20"/>
                <w:szCs w:val="20"/>
              </w:rPr>
              <w:t>02</w:t>
            </w:r>
          </w:p>
        </w:tc>
        <w:tc>
          <w:tcPr>
            <w:tcW w:w="2044" w:type="dxa"/>
            <w:vAlign w:val="center"/>
          </w:tcPr>
          <w:p w:rsidR="006D24A5" w:rsidRPr="00E92F9B" w:rsidRDefault="00E00F70" w:rsidP="00017B79">
            <w:pPr>
              <w:ind w:left="0"/>
              <w:jc w:val="center"/>
              <w:rPr>
                <w:sz w:val="20"/>
                <w:szCs w:val="20"/>
              </w:rPr>
            </w:pPr>
            <w:r w:rsidRPr="00E92F9B">
              <w:rPr>
                <w:sz w:val="20"/>
                <w:szCs w:val="20"/>
              </w:rPr>
              <w:t>3 493 500</w:t>
            </w:r>
          </w:p>
        </w:tc>
      </w:tr>
    </w:tbl>
    <w:p w:rsidR="003D6170" w:rsidRPr="003D6170" w:rsidRDefault="003D6170" w:rsidP="003D6170">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6D24A5" w:rsidTr="00017B79">
        <w:trPr>
          <w:trHeight w:val="255"/>
          <w:jc w:val="center"/>
        </w:trPr>
        <w:tc>
          <w:tcPr>
            <w:tcW w:w="9098" w:type="dxa"/>
            <w:gridSpan w:val="3"/>
            <w:shd w:val="clear" w:color="auto" w:fill="DBE5F1" w:themeFill="accent1" w:themeFillTint="33"/>
            <w:vAlign w:val="center"/>
          </w:tcPr>
          <w:p w:rsidR="006D24A5" w:rsidRPr="006579CE" w:rsidRDefault="006D24A5" w:rsidP="00017B79">
            <w:pPr>
              <w:pStyle w:val="Default"/>
              <w:autoSpaceDE/>
              <w:autoSpaceDN/>
              <w:adjustRightInd/>
              <w:ind w:left="0"/>
              <w:rPr>
                <w:sz w:val="20"/>
                <w:szCs w:val="20"/>
              </w:rPr>
            </w:pPr>
            <w:r>
              <w:rPr>
                <w:b/>
                <w:bCs/>
                <w:sz w:val="20"/>
                <w:szCs w:val="20"/>
              </w:rPr>
              <w:t xml:space="preserve">Rozmer 3 – Druh územia </w:t>
            </w:r>
          </w:p>
        </w:tc>
      </w:tr>
      <w:tr w:rsidR="006D24A5" w:rsidTr="00017B79">
        <w:trPr>
          <w:trHeight w:val="255"/>
          <w:jc w:val="center"/>
        </w:trPr>
        <w:tc>
          <w:tcPr>
            <w:tcW w:w="4928" w:type="dxa"/>
            <w:shd w:val="clear" w:color="auto" w:fill="DBE5F1" w:themeFill="accent1" w:themeFillTint="33"/>
            <w:vAlign w:val="center"/>
          </w:tcPr>
          <w:p w:rsidR="006D24A5" w:rsidRPr="006579CE" w:rsidRDefault="006D24A5" w:rsidP="00017B79">
            <w:pPr>
              <w:pStyle w:val="Default"/>
              <w:autoSpaceDE/>
              <w:autoSpaceDN/>
              <w:adjustRightInd/>
              <w:ind w:left="0"/>
              <w:rPr>
                <w:b/>
                <w:bCs/>
                <w:sz w:val="20"/>
                <w:szCs w:val="20"/>
              </w:rPr>
            </w:pPr>
            <w:r w:rsidRPr="006579CE">
              <w:rPr>
                <w:b/>
                <w:bCs/>
                <w:sz w:val="20"/>
                <w:szCs w:val="20"/>
              </w:rPr>
              <w:t>Fond</w:t>
            </w:r>
          </w:p>
        </w:tc>
        <w:tc>
          <w:tcPr>
            <w:tcW w:w="4170" w:type="dxa"/>
            <w:gridSpan w:val="2"/>
            <w:shd w:val="clear" w:color="auto" w:fill="DBE5F1" w:themeFill="accent1" w:themeFillTint="33"/>
            <w:vAlign w:val="center"/>
          </w:tcPr>
          <w:p w:rsidR="006D24A5" w:rsidRPr="006579CE" w:rsidRDefault="006D24A5" w:rsidP="00017B79">
            <w:pPr>
              <w:pStyle w:val="Default"/>
              <w:autoSpaceDE/>
              <w:autoSpaceDN/>
              <w:adjustRightInd/>
              <w:ind w:left="0"/>
              <w:rPr>
                <w:bCs/>
                <w:sz w:val="20"/>
                <w:szCs w:val="20"/>
              </w:rPr>
            </w:pPr>
            <w:r w:rsidRPr="006579CE">
              <w:rPr>
                <w:bCs/>
                <w:sz w:val="20"/>
                <w:szCs w:val="20"/>
              </w:rPr>
              <w:t>Kohézny fond</w:t>
            </w:r>
          </w:p>
        </w:tc>
      </w:tr>
      <w:tr w:rsidR="006D24A5" w:rsidTr="00017B79">
        <w:trPr>
          <w:trHeight w:val="255"/>
          <w:jc w:val="center"/>
        </w:trPr>
        <w:tc>
          <w:tcPr>
            <w:tcW w:w="4928" w:type="dxa"/>
            <w:shd w:val="clear" w:color="auto" w:fill="DBE5F1" w:themeFill="accent1" w:themeFillTint="33"/>
            <w:vAlign w:val="center"/>
          </w:tcPr>
          <w:p w:rsidR="006D24A5" w:rsidRPr="006579CE" w:rsidRDefault="006D24A5" w:rsidP="00017B79">
            <w:pPr>
              <w:ind w:left="0"/>
              <w:rPr>
                <w:sz w:val="20"/>
                <w:szCs w:val="20"/>
              </w:rPr>
            </w:pPr>
            <w:r w:rsidRPr="006579CE">
              <w:rPr>
                <w:b/>
                <w:bCs/>
                <w:color w:val="000000"/>
                <w:sz w:val="20"/>
                <w:szCs w:val="20"/>
              </w:rPr>
              <w:t>Kategória regiónu</w:t>
            </w:r>
          </w:p>
        </w:tc>
        <w:tc>
          <w:tcPr>
            <w:tcW w:w="4170" w:type="dxa"/>
            <w:gridSpan w:val="2"/>
            <w:shd w:val="clear" w:color="auto" w:fill="DBE5F1" w:themeFill="accent1" w:themeFillTint="33"/>
            <w:vAlign w:val="center"/>
          </w:tcPr>
          <w:p w:rsidR="006D24A5" w:rsidRPr="006579CE" w:rsidRDefault="006D24A5" w:rsidP="00017B79">
            <w:pPr>
              <w:ind w:left="0"/>
              <w:rPr>
                <w:sz w:val="20"/>
                <w:szCs w:val="20"/>
              </w:rPr>
            </w:pPr>
            <w:r w:rsidRPr="006579CE">
              <w:rPr>
                <w:sz w:val="20"/>
                <w:szCs w:val="20"/>
              </w:rPr>
              <w:t>N/A</w:t>
            </w:r>
          </w:p>
        </w:tc>
      </w:tr>
      <w:tr w:rsidR="006D24A5" w:rsidTr="00017B79">
        <w:trPr>
          <w:trHeight w:val="255"/>
          <w:jc w:val="center"/>
        </w:trPr>
        <w:tc>
          <w:tcPr>
            <w:tcW w:w="4928" w:type="dxa"/>
            <w:vAlign w:val="center"/>
          </w:tcPr>
          <w:p w:rsidR="006D24A5" w:rsidRPr="00D479A4" w:rsidRDefault="006D24A5" w:rsidP="00017B79">
            <w:pPr>
              <w:ind w:left="0"/>
              <w:jc w:val="center"/>
              <w:rPr>
                <w:b/>
                <w:sz w:val="20"/>
                <w:szCs w:val="20"/>
              </w:rPr>
            </w:pPr>
            <w:r w:rsidRPr="00D479A4">
              <w:rPr>
                <w:b/>
                <w:sz w:val="20"/>
                <w:szCs w:val="20"/>
              </w:rPr>
              <w:t>Prioritná os</w:t>
            </w:r>
          </w:p>
        </w:tc>
        <w:tc>
          <w:tcPr>
            <w:tcW w:w="2126" w:type="dxa"/>
            <w:vAlign w:val="center"/>
          </w:tcPr>
          <w:p w:rsidR="006D24A5" w:rsidRPr="00D479A4" w:rsidRDefault="006D24A5" w:rsidP="00017B79">
            <w:pPr>
              <w:ind w:left="0"/>
              <w:jc w:val="center"/>
              <w:rPr>
                <w:b/>
                <w:sz w:val="20"/>
                <w:szCs w:val="20"/>
              </w:rPr>
            </w:pPr>
            <w:r w:rsidRPr="00D479A4">
              <w:rPr>
                <w:b/>
                <w:sz w:val="20"/>
                <w:szCs w:val="20"/>
              </w:rPr>
              <w:t>Kód</w:t>
            </w:r>
          </w:p>
        </w:tc>
        <w:tc>
          <w:tcPr>
            <w:tcW w:w="2044" w:type="dxa"/>
            <w:vAlign w:val="center"/>
          </w:tcPr>
          <w:p w:rsidR="006D24A5" w:rsidRPr="00D479A4" w:rsidRDefault="006D24A5" w:rsidP="00017B79">
            <w:pPr>
              <w:ind w:left="0"/>
              <w:jc w:val="center"/>
              <w:rPr>
                <w:b/>
                <w:sz w:val="20"/>
                <w:szCs w:val="20"/>
              </w:rPr>
            </w:pPr>
            <w:r w:rsidRPr="00D479A4">
              <w:rPr>
                <w:b/>
                <w:sz w:val="20"/>
                <w:szCs w:val="20"/>
              </w:rPr>
              <w:t>Suma (v EUR)</w:t>
            </w:r>
          </w:p>
        </w:tc>
      </w:tr>
      <w:tr w:rsidR="006D24A5" w:rsidTr="00017B79">
        <w:trPr>
          <w:trHeight w:val="255"/>
          <w:jc w:val="center"/>
        </w:trPr>
        <w:tc>
          <w:tcPr>
            <w:tcW w:w="4928" w:type="dxa"/>
            <w:vAlign w:val="center"/>
          </w:tcPr>
          <w:p w:rsidR="006D24A5" w:rsidRPr="00D479A4" w:rsidRDefault="003E0235" w:rsidP="00017B79">
            <w:pPr>
              <w:ind w:left="0"/>
              <w:rPr>
                <w:sz w:val="20"/>
                <w:szCs w:val="20"/>
              </w:rPr>
            </w:pPr>
            <w:r>
              <w:rPr>
                <w:sz w:val="20"/>
                <w:szCs w:val="20"/>
              </w:rPr>
              <w:t xml:space="preserve">Prioritná os 4 - </w:t>
            </w:r>
            <w:r w:rsidR="00E00F70">
              <w:rPr>
                <w:sz w:val="20"/>
                <w:szCs w:val="20"/>
              </w:rPr>
              <w:t>Infraštruktúra vodnej dopravy (TEN-T CORE)</w:t>
            </w:r>
          </w:p>
        </w:tc>
        <w:tc>
          <w:tcPr>
            <w:tcW w:w="2126" w:type="dxa"/>
            <w:vAlign w:val="center"/>
          </w:tcPr>
          <w:p w:rsidR="006D24A5" w:rsidRPr="00D479A4" w:rsidRDefault="006D24A5" w:rsidP="00017B79">
            <w:pPr>
              <w:ind w:left="0"/>
              <w:jc w:val="center"/>
              <w:rPr>
                <w:sz w:val="20"/>
                <w:szCs w:val="20"/>
              </w:rPr>
            </w:pPr>
            <w:r>
              <w:rPr>
                <w:sz w:val="20"/>
                <w:szCs w:val="20"/>
              </w:rPr>
              <w:t>01</w:t>
            </w:r>
          </w:p>
        </w:tc>
        <w:tc>
          <w:tcPr>
            <w:tcW w:w="2044" w:type="dxa"/>
            <w:vAlign w:val="center"/>
          </w:tcPr>
          <w:p w:rsidR="006D24A5" w:rsidRPr="00E92F9B" w:rsidRDefault="00E00F70" w:rsidP="00DB3BED">
            <w:pPr>
              <w:ind w:left="0"/>
              <w:jc w:val="center"/>
              <w:rPr>
                <w:sz w:val="20"/>
                <w:szCs w:val="20"/>
                <w:lang w:val="en-US"/>
              </w:rPr>
            </w:pPr>
            <w:r w:rsidRPr="00E92F9B">
              <w:rPr>
                <w:sz w:val="20"/>
                <w:szCs w:val="20"/>
                <w:lang w:val="en-US"/>
              </w:rPr>
              <w:t>116 450 000</w:t>
            </w:r>
          </w:p>
        </w:tc>
      </w:tr>
    </w:tbl>
    <w:p w:rsidR="001E09F3" w:rsidRPr="001E09F3" w:rsidRDefault="001E09F3" w:rsidP="001E09F3">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6D24A5" w:rsidTr="00017B79">
        <w:trPr>
          <w:trHeight w:val="255"/>
          <w:jc w:val="center"/>
        </w:trPr>
        <w:tc>
          <w:tcPr>
            <w:tcW w:w="9098" w:type="dxa"/>
            <w:gridSpan w:val="3"/>
            <w:shd w:val="clear" w:color="auto" w:fill="DBE5F1" w:themeFill="accent1" w:themeFillTint="33"/>
            <w:vAlign w:val="center"/>
          </w:tcPr>
          <w:p w:rsidR="006D24A5" w:rsidRPr="008C1732" w:rsidRDefault="006D24A5" w:rsidP="00017B79">
            <w:pPr>
              <w:pStyle w:val="Default"/>
              <w:autoSpaceDE/>
              <w:autoSpaceDN/>
              <w:adjustRightInd/>
              <w:ind w:left="0"/>
              <w:rPr>
                <w:b/>
                <w:bCs/>
                <w:sz w:val="20"/>
                <w:szCs w:val="20"/>
              </w:rPr>
            </w:pPr>
            <w:r>
              <w:rPr>
                <w:b/>
                <w:bCs/>
                <w:sz w:val="20"/>
                <w:szCs w:val="20"/>
              </w:rPr>
              <w:t>Rozmer 4 – Územné mechanizmy realizácie</w:t>
            </w:r>
          </w:p>
        </w:tc>
      </w:tr>
      <w:tr w:rsidR="006D24A5" w:rsidTr="00017B79">
        <w:trPr>
          <w:trHeight w:val="255"/>
          <w:jc w:val="center"/>
        </w:trPr>
        <w:tc>
          <w:tcPr>
            <w:tcW w:w="4928" w:type="dxa"/>
            <w:shd w:val="clear" w:color="auto" w:fill="DBE5F1" w:themeFill="accent1" w:themeFillTint="33"/>
            <w:vAlign w:val="center"/>
          </w:tcPr>
          <w:p w:rsidR="006D24A5" w:rsidRPr="006579CE" w:rsidRDefault="006D24A5" w:rsidP="00017B79">
            <w:pPr>
              <w:pStyle w:val="Default"/>
              <w:autoSpaceDE/>
              <w:autoSpaceDN/>
              <w:adjustRightInd/>
              <w:ind w:left="0"/>
              <w:rPr>
                <w:b/>
                <w:bCs/>
                <w:sz w:val="20"/>
                <w:szCs w:val="20"/>
              </w:rPr>
            </w:pPr>
            <w:r w:rsidRPr="006579CE">
              <w:rPr>
                <w:b/>
                <w:bCs/>
                <w:sz w:val="20"/>
                <w:szCs w:val="20"/>
              </w:rPr>
              <w:t>Fond</w:t>
            </w:r>
          </w:p>
        </w:tc>
        <w:tc>
          <w:tcPr>
            <w:tcW w:w="4170" w:type="dxa"/>
            <w:gridSpan w:val="2"/>
            <w:shd w:val="clear" w:color="auto" w:fill="DBE5F1" w:themeFill="accent1" w:themeFillTint="33"/>
            <w:vAlign w:val="center"/>
          </w:tcPr>
          <w:p w:rsidR="006D24A5" w:rsidRPr="006579CE" w:rsidRDefault="006D24A5" w:rsidP="00017B79">
            <w:pPr>
              <w:pStyle w:val="Default"/>
              <w:autoSpaceDE/>
              <w:autoSpaceDN/>
              <w:adjustRightInd/>
              <w:ind w:left="0"/>
              <w:rPr>
                <w:bCs/>
                <w:sz w:val="20"/>
                <w:szCs w:val="20"/>
              </w:rPr>
            </w:pPr>
            <w:r w:rsidRPr="006579CE">
              <w:rPr>
                <w:bCs/>
                <w:sz w:val="20"/>
                <w:szCs w:val="20"/>
              </w:rPr>
              <w:t>Kohézny fond</w:t>
            </w:r>
          </w:p>
        </w:tc>
      </w:tr>
      <w:tr w:rsidR="006D24A5" w:rsidTr="00017B79">
        <w:trPr>
          <w:trHeight w:val="255"/>
          <w:jc w:val="center"/>
        </w:trPr>
        <w:tc>
          <w:tcPr>
            <w:tcW w:w="4928" w:type="dxa"/>
            <w:shd w:val="clear" w:color="auto" w:fill="DBE5F1" w:themeFill="accent1" w:themeFillTint="33"/>
            <w:vAlign w:val="center"/>
          </w:tcPr>
          <w:p w:rsidR="006D24A5" w:rsidRPr="006579CE" w:rsidRDefault="006D24A5" w:rsidP="00017B79">
            <w:pPr>
              <w:ind w:left="0"/>
              <w:rPr>
                <w:sz w:val="20"/>
                <w:szCs w:val="20"/>
              </w:rPr>
            </w:pPr>
            <w:r w:rsidRPr="006579CE">
              <w:rPr>
                <w:b/>
                <w:bCs/>
                <w:color w:val="000000"/>
                <w:sz w:val="20"/>
                <w:szCs w:val="20"/>
              </w:rPr>
              <w:t>Kategória regiónu</w:t>
            </w:r>
          </w:p>
        </w:tc>
        <w:tc>
          <w:tcPr>
            <w:tcW w:w="4170" w:type="dxa"/>
            <w:gridSpan w:val="2"/>
            <w:shd w:val="clear" w:color="auto" w:fill="DBE5F1" w:themeFill="accent1" w:themeFillTint="33"/>
            <w:vAlign w:val="center"/>
          </w:tcPr>
          <w:p w:rsidR="006D24A5" w:rsidRPr="006579CE" w:rsidRDefault="006D24A5" w:rsidP="00017B79">
            <w:pPr>
              <w:ind w:left="0"/>
              <w:rPr>
                <w:sz w:val="20"/>
                <w:szCs w:val="20"/>
              </w:rPr>
            </w:pPr>
            <w:r w:rsidRPr="006579CE">
              <w:rPr>
                <w:sz w:val="20"/>
                <w:szCs w:val="20"/>
              </w:rPr>
              <w:t>N/A</w:t>
            </w:r>
          </w:p>
        </w:tc>
      </w:tr>
      <w:tr w:rsidR="006D24A5" w:rsidTr="00017B79">
        <w:trPr>
          <w:trHeight w:val="255"/>
          <w:jc w:val="center"/>
        </w:trPr>
        <w:tc>
          <w:tcPr>
            <w:tcW w:w="4928" w:type="dxa"/>
            <w:vAlign w:val="center"/>
          </w:tcPr>
          <w:p w:rsidR="006D24A5" w:rsidRPr="00D479A4" w:rsidRDefault="006D24A5" w:rsidP="00017B79">
            <w:pPr>
              <w:ind w:left="0"/>
              <w:jc w:val="center"/>
              <w:rPr>
                <w:b/>
                <w:sz w:val="20"/>
                <w:szCs w:val="20"/>
              </w:rPr>
            </w:pPr>
            <w:r w:rsidRPr="00D479A4">
              <w:rPr>
                <w:b/>
                <w:sz w:val="20"/>
                <w:szCs w:val="20"/>
              </w:rPr>
              <w:t>Prioritná os</w:t>
            </w:r>
          </w:p>
        </w:tc>
        <w:tc>
          <w:tcPr>
            <w:tcW w:w="2126" w:type="dxa"/>
            <w:vAlign w:val="center"/>
          </w:tcPr>
          <w:p w:rsidR="006D24A5" w:rsidRPr="00D479A4" w:rsidRDefault="006D24A5" w:rsidP="00017B79">
            <w:pPr>
              <w:ind w:left="0"/>
              <w:jc w:val="center"/>
              <w:rPr>
                <w:b/>
                <w:sz w:val="20"/>
                <w:szCs w:val="20"/>
              </w:rPr>
            </w:pPr>
            <w:r w:rsidRPr="00D479A4">
              <w:rPr>
                <w:b/>
                <w:sz w:val="20"/>
                <w:szCs w:val="20"/>
              </w:rPr>
              <w:t>Kód</w:t>
            </w:r>
          </w:p>
        </w:tc>
        <w:tc>
          <w:tcPr>
            <w:tcW w:w="2044" w:type="dxa"/>
            <w:vAlign w:val="center"/>
          </w:tcPr>
          <w:p w:rsidR="006D24A5" w:rsidRPr="00D479A4" w:rsidRDefault="006D24A5" w:rsidP="00017B79">
            <w:pPr>
              <w:ind w:left="0"/>
              <w:jc w:val="center"/>
              <w:rPr>
                <w:b/>
                <w:sz w:val="20"/>
                <w:szCs w:val="20"/>
              </w:rPr>
            </w:pPr>
            <w:r w:rsidRPr="00D479A4">
              <w:rPr>
                <w:b/>
                <w:sz w:val="20"/>
                <w:szCs w:val="20"/>
              </w:rPr>
              <w:t>Suma (v EUR)</w:t>
            </w:r>
          </w:p>
        </w:tc>
      </w:tr>
      <w:tr w:rsidR="006D24A5" w:rsidTr="00017B79">
        <w:trPr>
          <w:trHeight w:val="255"/>
          <w:jc w:val="center"/>
        </w:trPr>
        <w:tc>
          <w:tcPr>
            <w:tcW w:w="4928" w:type="dxa"/>
            <w:vAlign w:val="center"/>
          </w:tcPr>
          <w:p w:rsidR="006D24A5" w:rsidRPr="00D479A4" w:rsidRDefault="003E0235" w:rsidP="00DE620A">
            <w:pPr>
              <w:ind w:left="0"/>
              <w:rPr>
                <w:sz w:val="20"/>
                <w:szCs w:val="20"/>
              </w:rPr>
            </w:pPr>
            <w:r>
              <w:rPr>
                <w:sz w:val="20"/>
                <w:szCs w:val="20"/>
              </w:rPr>
              <w:t xml:space="preserve">Prioritná os 4 - </w:t>
            </w:r>
            <w:r w:rsidR="00E00F70">
              <w:rPr>
                <w:sz w:val="20"/>
                <w:szCs w:val="20"/>
              </w:rPr>
              <w:t>Infraštruktúra vodnej dopravy (TEN-T CORE)</w:t>
            </w:r>
          </w:p>
        </w:tc>
        <w:tc>
          <w:tcPr>
            <w:tcW w:w="2126" w:type="dxa"/>
            <w:vAlign w:val="center"/>
          </w:tcPr>
          <w:p w:rsidR="006D24A5" w:rsidRPr="00D479A4" w:rsidRDefault="006D24A5" w:rsidP="00017B79">
            <w:pPr>
              <w:ind w:left="0"/>
              <w:jc w:val="center"/>
              <w:rPr>
                <w:sz w:val="20"/>
                <w:szCs w:val="20"/>
              </w:rPr>
            </w:pPr>
            <w:r>
              <w:rPr>
                <w:sz w:val="20"/>
                <w:szCs w:val="20"/>
              </w:rPr>
              <w:t>01</w:t>
            </w:r>
          </w:p>
        </w:tc>
        <w:tc>
          <w:tcPr>
            <w:tcW w:w="2044" w:type="dxa"/>
            <w:vAlign w:val="center"/>
          </w:tcPr>
          <w:p w:rsidR="006D24A5" w:rsidRPr="00E92F9B" w:rsidRDefault="00E00F70" w:rsidP="00E00F70">
            <w:pPr>
              <w:ind w:left="0"/>
              <w:jc w:val="center"/>
              <w:rPr>
                <w:sz w:val="20"/>
                <w:szCs w:val="20"/>
                <w:lang w:val="en-US"/>
              </w:rPr>
            </w:pPr>
            <w:r w:rsidRPr="00E92F9B">
              <w:rPr>
                <w:sz w:val="20"/>
                <w:szCs w:val="20"/>
                <w:lang w:val="en-US"/>
              </w:rPr>
              <w:t>116 450 000</w:t>
            </w:r>
          </w:p>
        </w:tc>
      </w:tr>
    </w:tbl>
    <w:p w:rsidR="006D24A5" w:rsidRDefault="006D24A5" w:rsidP="006D24A5">
      <w:pPr>
        <w:pStyle w:val="Nadpis3"/>
        <w:jc w:val="both"/>
      </w:pPr>
      <w:bookmarkStart w:id="47" w:name="_Toc385310706"/>
      <w:r>
        <w:t>Súhrn plánovaného využitia technickej pomoci vrátane, ak je to vhodné, akcií na posilnenie administratívnej kapacity orgánov zapojených do riadenia a kontroly programu a prijímateľov (ak je to vhodné)</w:t>
      </w:r>
      <w:bookmarkEnd w:id="47"/>
    </w:p>
    <w:p w:rsidR="006D24A5" w:rsidRPr="008C1732" w:rsidRDefault="006D24A5" w:rsidP="006D24A5">
      <w:pPr>
        <w:rPr>
          <w:sz w:val="22"/>
          <w:szCs w:val="22"/>
        </w:rPr>
      </w:pPr>
      <w:r w:rsidRPr="008C1732">
        <w:rPr>
          <w:sz w:val="22"/>
          <w:szCs w:val="22"/>
        </w:rPr>
        <w:t>N/A</w:t>
      </w:r>
    </w:p>
    <w:p w:rsidR="008F243C" w:rsidRDefault="008F243C" w:rsidP="006B762B">
      <w:pPr>
        <w:rPr>
          <w:sz w:val="22"/>
          <w:szCs w:val="22"/>
        </w:rPr>
        <w:sectPr w:rsidR="008F243C" w:rsidSect="00D1658B">
          <w:headerReference w:type="default" r:id="rId24"/>
          <w:pgSz w:w="11906" w:h="16838"/>
          <w:pgMar w:top="1418" w:right="1361" w:bottom="1304" w:left="1474" w:header="709" w:footer="709" w:gutter="0"/>
          <w:cols w:space="708"/>
          <w:docGrid w:linePitch="360"/>
        </w:sectPr>
      </w:pPr>
    </w:p>
    <w:p w:rsidR="00017B79" w:rsidRDefault="00017B79" w:rsidP="00D83282">
      <w:pPr>
        <w:pStyle w:val="Nadpis2"/>
      </w:pPr>
      <w:bookmarkStart w:id="48" w:name="_Toc385310707"/>
      <w:r>
        <w:lastRenderedPageBreak/>
        <w:t>PRIORITNÁ OS 5: ŽELEZNIČNÁ INFRAŠTRUKTÚTA (mimo TEN-T CORE)</w:t>
      </w:r>
      <w:bookmarkEnd w:id="48"/>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033"/>
        <w:gridCol w:w="4039"/>
      </w:tblGrid>
      <w:tr w:rsidR="00D83282" w:rsidTr="002E1021">
        <w:trPr>
          <w:trHeight w:val="284"/>
          <w:jc w:val="center"/>
        </w:trPr>
        <w:tc>
          <w:tcPr>
            <w:tcW w:w="4404" w:type="dxa"/>
            <w:shd w:val="clear" w:color="auto" w:fill="DBE5F1" w:themeFill="accent1" w:themeFillTint="33"/>
            <w:vAlign w:val="center"/>
          </w:tcPr>
          <w:p w:rsidR="00D83282" w:rsidRDefault="00D83282" w:rsidP="005139F6">
            <w:pPr>
              <w:ind w:left="0"/>
            </w:pPr>
            <w:r w:rsidRPr="00863337">
              <w:rPr>
                <w:b/>
                <w:i/>
                <w:sz w:val="20"/>
                <w:szCs w:val="20"/>
              </w:rPr>
              <w:t>ID prioritnej osi</w:t>
            </w:r>
          </w:p>
        </w:tc>
        <w:tc>
          <w:tcPr>
            <w:tcW w:w="3534" w:type="dxa"/>
            <w:vAlign w:val="center"/>
          </w:tcPr>
          <w:p w:rsidR="00D83282" w:rsidRDefault="00D83282" w:rsidP="00D83282">
            <w:pPr>
              <w:pStyle w:val="PRIORITNA"/>
              <w:numPr>
                <w:ilvl w:val="0"/>
                <w:numId w:val="0"/>
              </w:numPr>
              <w:spacing w:after="0"/>
              <w:jc w:val="left"/>
            </w:pPr>
          </w:p>
        </w:tc>
      </w:tr>
      <w:tr w:rsidR="00D83282" w:rsidTr="002E1021">
        <w:trPr>
          <w:trHeight w:val="284"/>
          <w:jc w:val="center"/>
        </w:trPr>
        <w:tc>
          <w:tcPr>
            <w:tcW w:w="4404" w:type="dxa"/>
            <w:shd w:val="clear" w:color="auto" w:fill="DBE5F1" w:themeFill="accent1" w:themeFillTint="33"/>
            <w:vAlign w:val="center"/>
          </w:tcPr>
          <w:p w:rsidR="00D83282" w:rsidRPr="003D6170" w:rsidRDefault="00D83282" w:rsidP="003D6170">
            <w:pPr>
              <w:ind w:left="0"/>
            </w:pPr>
            <w:r w:rsidRPr="003D6170">
              <w:rPr>
                <w:b/>
                <w:i/>
                <w:sz w:val="20"/>
                <w:szCs w:val="20"/>
              </w:rPr>
              <w:t>Názov prioritnej osi</w:t>
            </w:r>
          </w:p>
        </w:tc>
        <w:tc>
          <w:tcPr>
            <w:tcW w:w="3534" w:type="dxa"/>
            <w:vAlign w:val="center"/>
          </w:tcPr>
          <w:p w:rsidR="00D83282" w:rsidRPr="00750A42" w:rsidRDefault="00D83282" w:rsidP="00D83282">
            <w:pPr>
              <w:ind w:left="0"/>
              <w:rPr>
                <w:sz w:val="20"/>
                <w:szCs w:val="20"/>
              </w:rPr>
            </w:pPr>
            <w:r>
              <w:rPr>
                <w:sz w:val="20"/>
                <w:szCs w:val="20"/>
              </w:rPr>
              <w:t>Železničná infr</w:t>
            </w:r>
            <w:r w:rsidR="005D5247">
              <w:rPr>
                <w:sz w:val="20"/>
                <w:szCs w:val="20"/>
              </w:rPr>
              <w:t>aštruktúra (mimo TEN-T CORE</w:t>
            </w:r>
            <w:r>
              <w:rPr>
                <w:sz w:val="20"/>
                <w:szCs w:val="20"/>
              </w:rPr>
              <w:t>)</w:t>
            </w:r>
          </w:p>
        </w:tc>
      </w:tr>
    </w:tbl>
    <w:p w:rsidR="00D83282" w:rsidRDefault="00D83282" w:rsidP="00D83282">
      <w:pPr>
        <w:pStyle w:val="PRIORITNA"/>
        <w:numPr>
          <w:ilvl w:val="0"/>
          <w:numId w:val="0"/>
        </w:numPr>
        <w:spacing w:after="0"/>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024"/>
        <w:gridCol w:w="4048"/>
      </w:tblGrid>
      <w:tr w:rsidR="00D83282" w:rsidRPr="00765DFA" w:rsidTr="002E1021">
        <w:trPr>
          <w:trHeight w:val="255"/>
          <w:jc w:val="center"/>
        </w:trPr>
        <w:tc>
          <w:tcPr>
            <w:tcW w:w="4396" w:type="dxa"/>
            <w:shd w:val="clear" w:color="auto" w:fill="DBE5F1" w:themeFill="accent1" w:themeFillTint="33"/>
            <w:vAlign w:val="center"/>
          </w:tcPr>
          <w:p w:rsidR="00D83282" w:rsidRPr="00765DFA" w:rsidRDefault="00D83282" w:rsidP="005139F6">
            <w:pPr>
              <w:ind w:left="0"/>
              <w:rPr>
                <w:b/>
                <w:i/>
                <w:sz w:val="20"/>
                <w:szCs w:val="20"/>
              </w:rPr>
            </w:pPr>
            <w:r>
              <w:rPr>
                <w:b/>
                <w:i/>
                <w:sz w:val="20"/>
                <w:szCs w:val="20"/>
              </w:rPr>
              <w:t xml:space="preserve">Celá prioritná os bude realizovaná výhradne prostredníctvom finančných nástrojov </w:t>
            </w:r>
          </w:p>
        </w:tc>
        <w:tc>
          <w:tcPr>
            <w:tcW w:w="3542" w:type="dxa"/>
            <w:vAlign w:val="center"/>
          </w:tcPr>
          <w:p w:rsidR="00D83282" w:rsidRPr="00765DFA" w:rsidRDefault="00D83282" w:rsidP="005139F6">
            <w:pPr>
              <w:ind w:left="0"/>
              <w:rPr>
                <w:sz w:val="20"/>
                <w:szCs w:val="20"/>
              </w:rPr>
            </w:pPr>
            <w:r>
              <w:rPr>
                <w:sz w:val="20"/>
                <w:szCs w:val="20"/>
              </w:rPr>
              <w:t>Nie</w:t>
            </w:r>
          </w:p>
        </w:tc>
      </w:tr>
      <w:tr w:rsidR="00D83282" w:rsidRPr="00765DFA" w:rsidTr="002E1021">
        <w:trPr>
          <w:trHeight w:val="255"/>
          <w:jc w:val="center"/>
        </w:trPr>
        <w:tc>
          <w:tcPr>
            <w:tcW w:w="4396" w:type="dxa"/>
            <w:shd w:val="clear" w:color="auto" w:fill="DBE5F1" w:themeFill="accent1" w:themeFillTint="33"/>
            <w:vAlign w:val="center"/>
          </w:tcPr>
          <w:p w:rsidR="00D83282" w:rsidRPr="00765DFA" w:rsidRDefault="00D83282" w:rsidP="005139F6">
            <w:pPr>
              <w:ind w:left="0"/>
              <w:rPr>
                <w:b/>
                <w:i/>
                <w:sz w:val="20"/>
                <w:szCs w:val="20"/>
              </w:rPr>
            </w:pPr>
            <w:r>
              <w:rPr>
                <w:b/>
                <w:i/>
                <w:sz w:val="20"/>
                <w:szCs w:val="20"/>
              </w:rPr>
              <w:t>Celá prioritná os bude realizovaná výhradne prostredníctvom finančných nástrojov vytvorených na úrovni Únie</w:t>
            </w:r>
          </w:p>
        </w:tc>
        <w:tc>
          <w:tcPr>
            <w:tcW w:w="3542" w:type="dxa"/>
            <w:vAlign w:val="center"/>
          </w:tcPr>
          <w:p w:rsidR="00D83282" w:rsidRPr="00765DFA" w:rsidRDefault="00D83282" w:rsidP="005139F6">
            <w:pPr>
              <w:ind w:left="0"/>
              <w:rPr>
                <w:sz w:val="20"/>
                <w:szCs w:val="20"/>
              </w:rPr>
            </w:pPr>
            <w:r>
              <w:rPr>
                <w:sz w:val="20"/>
                <w:szCs w:val="20"/>
              </w:rPr>
              <w:t>Nie</w:t>
            </w:r>
          </w:p>
        </w:tc>
      </w:tr>
      <w:tr w:rsidR="00D83282" w:rsidRPr="00750A42" w:rsidTr="002E1021">
        <w:trPr>
          <w:trHeight w:val="70"/>
          <w:jc w:val="center"/>
        </w:trPr>
        <w:tc>
          <w:tcPr>
            <w:tcW w:w="4396" w:type="dxa"/>
            <w:shd w:val="clear" w:color="auto" w:fill="DBE5F1" w:themeFill="accent1" w:themeFillTint="33"/>
            <w:vAlign w:val="center"/>
          </w:tcPr>
          <w:p w:rsidR="00D83282" w:rsidRPr="00765DFA" w:rsidRDefault="00D83282" w:rsidP="005139F6">
            <w:pPr>
              <w:ind w:left="0"/>
              <w:rPr>
                <w:b/>
                <w:i/>
                <w:sz w:val="20"/>
                <w:szCs w:val="20"/>
              </w:rPr>
            </w:pPr>
            <w:r>
              <w:rPr>
                <w:b/>
                <w:i/>
                <w:sz w:val="20"/>
                <w:szCs w:val="20"/>
              </w:rPr>
              <w:t>Celá prioritná os bude realizovaná prostredníctvom komunitne vedeného miestneho rozvoja</w:t>
            </w:r>
          </w:p>
        </w:tc>
        <w:tc>
          <w:tcPr>
            <w:tcW w:w="3542" w:type="dxa"/>
            <w:vAlign w:val="center"/>
          </w:tcPr>
          <w:p w:rsidR="00D83282" w:rsidRPr="00750A42" w:rsidRDefault="00D83282" w:rsidP="005139F6">
            <w:pPr>
              <w:ind w:left="0"/>
              <w:rPr>
                <w:sz w:val="20"/>
                <w:szCs w:val="20"/>
              </w:rPr>
            </w:pPr>
            <w:r>
              <w:rPr>
                <w:sz w:val="20"/>
                <w:szCs w:val="20"/>
              </w:rPr>
              <w:t>Nie</w:t>
            </w:r>
          </w:p>
        </w:tc>
      </w:tr>
      <w:tr w:rsidR="00D83282" w:rsidRPr="00765DFA" w:rsidTr="002E1021">
        <w:trPr>
          <w:jc w:val="center"/>
        </w:trPr>
        <w:tc>
          <w:tcPr>
            <w:tcW w:w="4396" w:type="dxa"/>
            <w:shd w:val="clear" w:color="auto" w:fill="DBE5F1" w:themeFill="accent1" w:themeFillTint="33"/>
          </w:tcPr>
          <w:p w:rsidR="00D83282" w:rsidRPr="00765DFA" w:rsidRDefault="00D83282" w:rsidP="005139F6">
            <w:pPr>
              <w:ind w:left="0"/>
              <w:rPr>
                <w:b/>
                <w:i/>
                <w:sz w:val="20"/>
                <w:szCs w:val="20"/>
              </w:rPr>
            </w:pPr>
            <w:r>
              <w:rPr>
                <w:b/>
                <w:i/>
                <w:sz w:val="20"/>
                <w:szCs w:val="20"/>
              </w:rPr>
              <w:t>Pre ESF: Celá prioritná os je zameraná na sociálnu inováciu alebo nadnárodnú spoluprácu, alebo oboje</w:t>
            </w:r>
          </w:p>
        </w:tc>
        <w:tc>
          <w:tcPr>
            <w:tcW w:w="3542" w:type="dxa"/>
            <w:vAlign w:val="center"/>
          </w:tcPr>
          <w:p w:rsidR="00D83282" w:rsidRPr="00765DFA" w:rsidRDefault="00D83282" w:rsidP="005139F6">
            <w:pPr>
              <w:ind w:left="0"/>
              <w:rPr>
                <w:sz w:val="20"/>
                <w:szCs w:val="20"/>
              </w:rPr>
            </w:pPr>
            <w:r>
              <w:rPr>
                <w:sz w:val="20"/>
                <w:szCs w:val="20"/>
              </w:rPr>
              <w:t>N/A</w:t>
            </w:r>
          </w:p>
        </w:tc>
      </w:tr>
    </w:tbl>
    <w:p w:rsidR="00017B79" w:rsidRDefault="00017B79" w:rsidP="00017B79">
      <w:pPr>
        <w:pStyle w:val="Nadpis3"/>
      </w:pPr>
      <w:bookmarkStart w:id="49" w:name="_Toc385310708"/>
      <w:r>
        <w:t>Fond, kategória regiónu a základ pre výpočet podpory Únie</w:t>
      </w:r>
      <w:bookmarkEnd w:id="49"/>
    </w:p>
    <w:tbl>
      <w:tblPr>
        <w:tblStyle w:val="Mriekatabuky"/>
        <w:tblW w:w="793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334"/>
        <w:gridCol w:w="3604"/>
      </w:tblGrid>
      <w:tr w:rsidR="00017B79" w:rsidTr="00D83282">
        <w:trPr>
          <w:trHeight w:val="255"/>
          <w:jc w:val="center"/>
        </w:trPr>
        <w:tc>
          <w:tcPr>
            <w:tcW w:w="4042" w:type="dxa"/>
            <w:shd w:val="clear" w:color="auto" w:fill="DBE5F1" w:themeFill="accent1" w:themeFillTint="33"/>
            <w:vAlign w:val="center"/>
          </w:tcPr>
          <w:p w:rsidR="00017B79" w:rsidRPr="003E0235" w:rsidRDefault="00017B79" w:rsidP="00744ECB">
            <w:pPr>
              <w:ind w:left="0"/>
              <w:rPr>
                <w:b/>
                <w:i/>
                <w:sz w:val="20"/>
                <w:szCs w:val="20"/>
              </w:rPr>
            </w:pPr>
            <w:r w:rsidRPr="003E0235">
              <w:rPr>
                <w:b/>
                <w:i/>
                <w:sz w:val="20"/>
                <w:szCs w:val="20"/>
              </w:rPr>
              <w:t>Fond</w:t>
            </w:r>
          </w:p>
        </w:tc>
        <w:tc>
          <w:tcPr>
            <w:tcW w:w="3361" w:type="dxa"/>
            <w:vAlign w:val="center"/>
          </w:tcPr>
          <w:p w:rsidR="00017B79" w:rsidRPr="003E0235" w:rsidRDefault="007F7347" w:rsidP="00744ECB">
            <w:pPr>
              <w:ind w:left="0"/>
              <w:rPr>
                <w:sz w:val="20"/>
                <w:szCs w:val="20"/>
              </w:rPr>
            </w:pPr>
            <w:r w:rsidRPr="003E0235">
              <w:rPr>
                <w:sz w:val="20"/>
                <w:szCs w:val="20"/>
              </w:rPr>
              <w:t>EFRR</w:t>
            </w:r>
          </w:p>
        </w:tc>
      </w:tr>
      <w:tr w:rsidR="00017B79" w:rsidTr="00D83282">
        <w:trPr>
          <w:trHeight w:val="255"/>
          <w:jc w:val="center"/>
        </w:trPr>
        <w:tc>
          <w:tcPr>
            <w:tcW w:w="4042" w:type="dxa"/>
            <w:shd w:val="clear" w:color="auto" w:fill="DBE5F1" w:themeFill="accent1" w:themeFillTint="33"/>
            <w:vAlign w:val="center"/>
          </w:tcPr>
          <w:p w:rsidR="00017B79" w:rsidRPr="003E0235" w:rsidRDefault="00017B79" w:rsidP="00744ECB">
            <w:pPr>
              <w:ind w:left="0"/>
              <w:rPr>
                <w:b/>
                <w:i/>
                <w:sz w:val="20"/>
                <w:szCs w:val="20"/>
              </w:rPr>
            </w:pPr>
            <w:r w:rsidRPr="003E0235">
              <w:rPr>
                <w:b/>
                <w:i/>
                <w:sz w:val="20"/>
                <w:szCs w:val="20"/>
              </w:rPr>
              <w:t>Kategória regiónu</w:t>
            </w:r>
          </w:p>
        </w:tc>
        <w:tc>
          <w:tcPr>
            <w:tcW w:w="3361" w:type="dxa"/>
            <w:vAlign w:val="center"/>
          </w:tcPr>
          <w:p w:rsidR="00017B79" w:rsidRPr="003E0235" w:rsidRDefault="005D5247" w:rsidP="00744ECB">
            <w:pPr>
              <w:ind w:left="0"/>
              <w:rPr>
                <w:sz w:val="20"/>
                <w:szCs w:val="20"/>
              </w:rPr>
            </w:pPr>
            <w:r>
              <w:rPr>
                <w:sz w:val="20"/>
                <w:szCs w:val="20"/>
              </w:rPr>
              <w:t>Menej rozvinutý</w:t>
            </w:r>
          </w:p>
        </w:tc>
      </w:tr>
      <w:tr w:rsidR="00017B79" w:rsidTr="00D83282">
        <w:trPr>
          <w:trHeight w:val="255"/>
          <w:jc w:val="center"/>
        </w:trPr>
        <w:tc>
          <w:tcPr>
            <w:tcW w:w="4042" w:type="dxa"/>
            <w:shd w:val="clear" w:color="auto" w:fill="DBE5F1" w:themeFill="accent1" w:themeFillTint="33"/>
            <w:vAlign w:val="center"/>
          </w:tcPr>
          <w:p w:rsidR="00017B79" w:rsidRPr="003E0235" w:rsidRDefault="00017B79" w:rsidP="00744ECB">
            <w:pPr>
              <w:ind w:left="0"/>
              <w:rPr>
                <w:b/>
                <w:i/>
                <w:sz w:val="20"/>
                <w:szCs w:val="20"/>
              </w:rPr>
            </w:pPr>
            <w:r w:rsidRPr="003E0235">
              <w:rPr>
                <w:b/>
                <w:i/>
                <w:sz w:val="20"/>
                <w:szCs w:val="20"/>
              </w:rPr>
              <w:t>Základ pre výpočet (celkový príspevok)</w:t>
            </w:r>
          </w:p>
        </w:tc>
        <w:tc>
          <w:tcPr>
            <w:tcW w:w="3361" w:type="dxa"/>
            <w:vAlign w:val="center"/>
          </w:tcPr>
          <w:p w:rsidR="00017B79" w:rsidRPr="003E0235" w:rsidRDefault="00017B79" w:rsidP="00744ECB">
            <w:pPr>
              <w:ind w:left="0"/>
              <w:rPr>
                <w:sz w:val="20"/>
                <w:szCs w:val="20"/>
                <w:lang w:val="en-US"/>
              </w:rPr>
            </w:pPr>
            <w:r w:rsidRPr="003E0235">
              <w:rPr>
                <w:sz w:val="20"/>
                <w:szCs w:val="20"/>
                <w:lang w:val="en-US"/>
              </w:rPr>
              <w:t>353 508</w:t>
            </w:r>
            <w:r w:rsidR="00662EB4">
              <w:rPr>
                <w:sz w:val="20"/>
                <w:szCs w:val="20"/>
                <w:lang w:val="en-US"/>
              </w:rPr>
              <w:t> </w:t>
            </w:r>
            <w:r w:rsidRPr="003E0235">
              <w:rPr>
                <w:sz w:val="20"/>
                <w:szCs w:val="20"/>
                <w:lang w:val="en-US"/>
              </w:rPr>
              <w:t>503</w:t>
            </w:r>
            <w:r w:rsidR="00662EB4">
              <w:rPr>
                <w:sz w:val="20"/>
                <w:szCs w:val="20"/>
                <w:lang w:val="en-US"/>
              </w:rPr>
              <w:t xml:space="preserve"> EUR</w:t>
            </w:r>
          </w:p>
        </w:tc>
      </w:tr>
      <w:tr w:rsidR="00017B79" w:rsidTr="00D83282">
        <w:trPr>
          <w:trHeight w:val="255"/>
          <w:jc w:val="center"/>
        </w:trPr>
        <w:tc>
          <w:tcPr>
            <w:tcW w:w="4042" w:type="dxa"/>
            <w:shd w:val="clear" w:color="auto" w:fill="DBE5F1" w:themeFill="accent1" w:themeFillTint="33"/>
          </w:tcPr>
          <w:p w:rsidR="00017B79" w:rsidRPr="003E0235" w:rsidRDefault="00017B79" w:rsidP="00017B79">
            <w:pPr>
              <w:ind w:left="0"/>
              <w:rPr>
                <w:b/>
                <w:i/>
                <w:sz w:val="20"/>
                <w:szCs w:val="20"/>
              </w:rPr>
            </w:pPr>
            <w:r w:rsidRPr="003E0235">
              <w:rPr>
                <w:b/>
                <w:i/>
                <w:sz w:val="20"/>
                <w:szCs w:val="20"/>
              </w:rPr>
              <w:t>Kategória regiónu pre najvzdialenejšie a severné riedko osídlené regióny (ak je to vhodné)</w:t>
            </w:r>
          </w:p>
        </w:tc>
        <w:tc>
          <w:tcPr>
            <w:tcW w:w="3361" w:type="dxa"/>
          </w:tcPr>
          <w:p w:rsidR="00017B79" w:rsidRPr="003E0235" w:rsidRDefault="00017B79" w:rsidP="00017B79">
            <w:pPr>
              <w:ind w:left="0"/>
              <w:rPr>
                <w:sz w:val="20"/>
                <w:szCs w:val="20"/>
              </w:rPr>
            </w:pPr>
            <w:r w:rsidRPr="003E0235">
              <w:rPr>
                <w:sz w:val="20"/>
                <w:szCs w:val="20"/>
              </w:rPr>
              <w:t>N/A</w:t>
            </w:r>
          </w:p>
        </w:tc>
      </w:tr>
    </w:tbl>
    <w:p w:rsidR="00017B79" w:rsidRDefault="00017B79" w:rsidP="00017B79">
      <w:pPr>
        <w:pStyle w:val="Nadpis3"/>
        <w:jc w:val="both"/>
      </w:pPr>
      <w:bookmarkStart w:id="50" w:name="_Toc385310709"/>
      <w:r>
        <w:t>INVEST</w:t>
      </w:r>
      <w:r w:rsidR="008F67B1">
        <w:t xml:space="preserve">IČNÁ PRIORITA </w:t>
      </w:r>
      <w:r w:rsidR="00D83282">
        <w:t>7d)</w:t>
      </w:r>
      <w:r>
        <w:t xml:space="preserve">: </w:t>
      </w:r>
      <w:r w:rsidR="008F67B1" w:rsidRPr="008F67B1">
        <w:t>Vývoj a modernizácia komplexných, interoperabilných železničných systémov vysokej kvality a podpora opatrení na znižovanie hluku</w:t>
      </w:r>
      <w:bookmarkEnd w:id="50"/>
    </w:p>
    <w:p w:rsidR="00017B79" w:rsidRDefault="00017B79" w:rsidP="00740654">
      <w:pPr>
        <w:pStyle w:val="Nadpis4"/>
      </w:pPr>
      <w:r>
        <w:t>Špecifické ciele investičnej priority a očakávané výsledky</w:t>
      </w:r>
    </w:p>
    <w:p w:rsidR="00017B79" w:rsidRPr="006B762B" w:rsidRDefault="00017B79" w:rsidP="002E1021">
      <w:pPr>
        <w:shd w:val="clear" w:color="auto" w:fill="FFFFCC"/>
        <w:jc w:val="both"/>
        <w:rPr>
          <w:b/>
          <w:i/>
        </w:rPr>
      </w:pPr>
      <w:r w:rsidRPr="004F0234">
        <w:rPr>
          <w:i/>
        </w:rPr>
        <w:t xml:space="preserve">ŠPECIFICKÝ CIEĽ </w:t>
      </w:r>
      <w:r w:rsidR="00A67013">
        <w:rPr>
          <w:i/>
        </w:rPr>
        <w:t>5.</w:t>
      </w:r>
      <w:r>
        <w:rPr>
          <w:i/>
        </w:rPr>
        <w:t>1</w:t>
      </w:r>
      <w:r w:rsidRPr="004F0234">
        <w:rPr>
          <w:i/>
        </w:rPr>
        <w:t>:</w:t>
      </w:r>
      <w:r>
        <w:rPr>
          <w:i/>
        </w:rPr>
        <w:t xml:space="preserve"> </w:t>
      </w:r>
      <w:r w:rsidR="008F67B1" w:rsidRPr="008F67B1">
        <w:rPr>
          <w:b/>
          <w:i/>
        </w:rPr>
        <w:t>Modernizácia a rozvoj železničných tratí a súvisiacich objektov dopravne významných z hľadiska medzinárodnej a vnútroštátnej dopravy</w:t>
      </w:r>
      <w:r w:rsidR="00225C2F">
        <w:rPr>
          <w:b/>
          <w:i/>
        </w:rPr>
        <w:t xml:space="preserve"> (mimo TEN-T CORE)</w:t>
      </w:r>
    </w:p>
    <w:p w:rsidR="00382524" w:rsidRDefault="007E69E9" w:rsidP="00382524">
      <w:pPr>
        <w:spacing w:before="180"/>
        <w:jc w:val="both"/>
        <w:rPr>
          <w:sz w:val="22"/>
          <w:szCs w:val="22"/>
        </w:rPr>
      </w:pPr>
      <w:r>
        <w:rPr>
          <w:sz w:val="22"/>
          <w:szCs w:val="22"/>
        </w:rPr>
        <w:t>Železničnú infraštruktúru</w:t>
      </w:r>
      <w:r w:rsidR="00382524">
        <w:rPr>
          <w:sz w:val="22"/>
          <w:szCs w:val="22"/>
        </w:rPr>
        <w:t xml:space="preserve"> na Slovensku možno charakterizovať dostatočnou hustotou siete</w:t>
      </w:r>
      <w:r w:rsidR="00382524" w:rsidRPr="00454781">
        <w:rPr>
          <w:sz w:val="22"/>
          <w:szCs w:val="22"/>
        </w:rPr>
        <w:t>, ale jej technické parametre nie sú v súlade so súčasnými európskymi štandardami, ktoré obmedzujú interoperabilitu siete, negatívne vplývajú na životné prostredie a z pohľadu verejnej osobnej dopravy znižujú jej atraktivitu nízkym komfortom pre cestujúcich.</w:t>
      </w:r>
      <w:r w:rsidR="00382524">
        <w:rPr>
          <w:sz w:val="22"/>
          <w:szCs w:val="22"/>
        </w:rPr>
        <w:t xml:space="preserve"> Posun v tejto oblasti je podmienený jednak modernizáciou tratí, t. j. ich renováciou prípadne elektrifikáciou vybraných úsekov tratí, ako aj modernizáciou súvisiacich objektov. V rámci špecifického cieľa budú podporené aktivity zamerané na znižovanie bezpečnostných rizík v súvislosti so železničnou dopravou – odstraňovanie </w:t>
      </w:r>
      <w:r w:rsidR="00382524" w:rsidRPr="00393924">
        <w:rPr>
          <w:sz w:val="22"/>
          <w:szCs w:val="22"/>
        </w:rPr>
        <w:t>úrovňových križovaní s cestnou infraštruktúrou, modernizácia železničných priecestí</w:t>
      </w:r>
      <w:r w:rsidR="00382524">
        <w:rPr>
          <w:sz w:val="22"/>
          <w:szCs w:val="22"/>
        </w:rPr>
        <w:t>, ako aj aktivity zamerané na modernizáciu</w:t>
      </w:r>
      <w:r w:rsidR="00382524" w:rsidRPr="00393924">
        <w:rPr>
          <w:sz w:val="22"/>
          <w:szCs w:val="22"/>
        </w:rPr>
        <w:t xml:space="preserve"> prestupných terminálov železničnej osobnej doprav</w:t>
      </w:r>
      <w:r w:rsidR="00382524">
        <w:rPr>
          <w:sz w:val="22"/>
          <w:szCs w:val="22"/>
        </w:rPr>
        <w:t>y a ich napojení na cestnú sieť, v</w:t>
      </w:r>
      <w:r w:rsidR="00382524" w:rsidRPr="00393924">
        <w:rPr>
          <w:sz w:val="22"/>
          <w:szCs w:val="22"/>
        </w:rPr>
        <w:t>ýstav</w:t>
      </w:r>
      <w:r w:rsidR="00382524">
        <w:rPr>
          <w:sz w:val="22"/>
          <w:szCs w:val="22"/>
        </w:rPr>
        <w:t>ba nových železničných zastávok a pod.</w:t>
      </w:r>
    </w:p>
    <w:p w:rsidR="00034834" w:rsidRPr="00454781" w:rsidRDefault="00034834" w:rsidP="00034834">
      <w:pPr>
        <w:spacing w:before="180"/>
        <w:jc w:val="both"/>
        <w:rPr>
          <w:sz w:val="22"/>
          <w:szCs w:val="22"/>
        </w:rPr>
      </w:pPr>
      <w:r w:rsidRPr="00454781">
        <w:rPr>
          <w:sz w:val="22"/>
          <w:szCs w:val="22"/>
        </w:rPr>
        <w:t xml:space="preserve">Špecifický cieľ 5.1 je priamo v súlade so strategickým cieľom </w:t>
      </w:r>
      <w:r>
        <w:rPr>
          <w:sz w:val="22"/>
          <w:szCs w:val="22"/>
        </w:rPr>
        <w:t>„Modernizácia a </w:t>
      </w:r>
      <w:r w:rsidRPr="00454781">
        <w:rPr>
          <w:sz w:val="22"/>
          <w:szCs w:val="22"/>
        </w:rPr>
        <w:t>rozvoj železničnej</w:t>
      </w:r>
      <w:r>
        <w:rPr>
          <w:sz w:val="22"/>
          <w:szCs w:val="22"/>
        </w:rPr>
        <w:t xml:space="preserve"> dopravnej cesty tam, kde je to </w:t>
      </w:r>
      <w:r w:rsidRPr="00454781">
        <w:rPr>
          <w:sz w:val="22"/>
          <w:szCs w:val="22"/>
        </w:rPr>
        <w:t>účelné“ definovanom v Strategickom pláne</w:t>
      </w:r>
      <w:r>
        <w:rPr>
          <w:sz w:val="22"/>
          <w:szCs w:val="22"/>
        </w:rPr>
        <w:t xml:space="preserve"> a </w:t>
      </w:r>
      <w:r w:rsidRPr="00454781">
        <w:rPr>
          <w:sz w:val="22"/>
          <w:szCs w:val="22"/>
        </w:rPr>
        <w:t xml:space="preserve">kladie </w:t>
      </w:r>
      <w:r>
        <w:rPr>
          <w:sz w:val="22"/>
          <w:szCs w:val="22"/>
        </w:rPr>
        <w:t>dôraz na potrebu modernizácie v </w:t>
      </w:r>
      <w:r w:rsidRPr="00454781">
        <w:rPr>
          <w:sz w:val="22"/>
          <w:szCs w:val="22"/>
        </w:rPr>
        <w:t xml:space="preserve">osiach s vysokým dopytom po železničnej, osobnej alebo nákladnej doprave. </w:t>
      </w:r>
      <w:r>
        <w:rPr>
          <w:sz w:val="22"/>
          <w:szCs w:val="22"/>
        </w:rPr>
        <w:t xml:space="preserve">V rámci tohto špecifického cieľa bude modernizácia zameraná na traťové osi </w:t>
      </w:r>
      <w:r w:rsidRPr="00454781">
        <w:rPr>
          <w:sz w:val="22"/>
          <w:szCs w:val="22"/>
        </w:rPr>
        <w:t>mimo TEN-</w:t>
      </w:r>
      <w:r>
        <w:rPr>
          <w:sz w:val="22"/>
          <w:szCs w:val="22"/>
        </w:rPr>
        <w:t>T základnej siete.</w:t>
      </w:r>
    </w:p>
    <w:p w:rsidR="00DF263C" w:rsidRDefault="00382524" w:rsidP="00382524">
      <w:pPr>
        <w:spacing w:before="180"/>
        <w:jc w:val="both"/>
        <w:rPr>
          <w:sz w:val="22"/>
          <w:szCs w:val="22"/>
        </w:rPr>
      </w:pPr>
      <w:r w:rsidRPr="00454781">
        <w:rPr>
          <w:sz w:val="22"/>
          <w:szCs w:val="22"/>
        </w:rPr>
        <w:t xml:space="preserve">Rozvoj a </w:t>
      </w:r>
      <w:r>
        <w:rPr>
          <w:sz w:val="22"/>
          <w:szCs w:val="22"/>
        </w:rPr>
        <w:t>modernizácia</w:t>
      </w:r>
      <w:r w:rsidRPr="00454781">
        <w:rPr>
          <w:sz w:val="22"/>
          <w:szCs w:val="22"/>
        </w:rPr>
        <w:t xml:space="preserve"> železničnej dopravy ako environmentáln</w:t>
      </w:r>
      <w:r>
        <w:rPr>
          <w:sz w:val="22"/>
          <w:szCs w:val="22"/>
        </w:rPr>
        <w:t>e prijateľného módu prispieva k </w:t>
      </w:r>
      <w:r w:rsidRPr="00454781">
        <w:rPr>
          <w:sz w:val="22"/>
          <w:szCs w:val="22"/>
        </w:rPr>
        <w:t xml:space="preserve">dekarbonizácii a znižovaniu </w:t>
      </w:r>
      <w:r>
        <w:rPr>
          <w:sz w:val="22"/>
          <w:szCs w:val="22"/>
        </w:rPr>
        <w:t>emisií v doprave, čím sa podporuje</w:t>
      </w:r>
      <w:r w:rsidRPr="00454781">
        <w:rPr>
          <w:sz w:val="22"/>
          <w:szCs w:val="22"/>
        </w:rPr>
        <w:t xml:space="preserve"> udržateľná doprava. Podporené aktivity prispejú k</w:t>
      </w:r>
      <w:r w:rsidR="00771F01">
        <w:rPr>
          <w:sz w:val="22"/>
          <w:szCs w:val="22"/>
        </w:rPr>
        <w:t> zvýšeniu</w:t>
      </w:r>
      <w:r>
        <w:rPr>
          <w:sz w:val="22"/>
          <w:szCs w:val="22"/>
        </w:rPr>
        <w:t xml:space="preserve"> atraktívnosti železničnej dopravy,</w:t>
      </w:r>
      <w:r w:rsidRPr="00454781">
        <w:rPr>
          <w:sz w:val="22"/>
          <w:szCs w:val="22"/>
        </w:rPr>
        <w:t xml:space="preserve"> zníženiu </w:t>
      </w:r>
      <w:r>
        <w:rPr>
          <w:sz w:val="22"/>
          <w:szCs w:val="22"/>
        </w:rPr>
        <w:t>vplyvov</w:t>
      </w:r>
      <w:r w:rsidRPr="00454781">
        <w:rPr>
          <w:sz w:val="22"/>
          <w:szCs w:val="22"/>
        </w:rPr>
        <w:t xml:space="preserve"> </w:t>
      </w:r>
      <w:r>
        <w:rPr>
          <w:sz w:val="22"/>
          <w:szCs w:val="22"/>
        </w:rPr>
        <w:t xml:space="preserve">železničnej </w:t>
      </w:r>
      <w:r w:rsidRPr="00454781">
        <w:rPr>
          <w:sz w:val="22"/>
          <w:szCs w:val="22"/>
        </w:rPr>
        <w:t>dopravy na životné prostredie</w:t>
      </w:r>
      <w:r>
        <w:rPr>
          <w:sz w:val="22"/>
          <w:szCs w:val="22"/>
        </w:rPr>
        <w:t>, dosiahnutiu</w:t>
      </w:r>
      <w:r w:rsidRPr="00454781">
        <w:rPr>
          <w:sz w:val="22"/>
          <w:szCs w:val="22"/>
        </w:rPr>
        <w:t xml:space="preserve"> vyššej energetickej nezávislosti železnice na ropných produktoch</w:t>
      </w:r>
      <w:r>
        <w:rPr>
          <w:sz w:val="22"/>
          <w:szCs w:val="22"/>
        </w:rPr>
        <w:t xml:space="preserve"> ako aj zvýšeniu bezpečnosti v súvislosti so železničnou dopravou.</w:t>
      </w:r>
    </w:p>
    <w:p w:rsidR="00771F01" w:rsidRPr="002E40A5" w:rsidRDefault="00771F01" w:rsidP="00771F01">
      <w:pPr>
        <w:spacing w:before="180"/>
        <w:jc w:val="both"/>
        <w:rPr>
          <w:sz w:val="22"/>
          <w:szCs w:val="22"/>
        </w:rPr>
      </w:pPr>
      <w:r w:rsidRPr="002E40A5">
        <w:rPr>
          <w:sz w:val="22"/>
          <w:szCs w:val="22"/>
        </w:rPr>
        <w:t xml:space="preserve">Princípy trvalo udržateľného rozvoja </w:t>
      </w:r>
      <w:r>
        <w:rPr>
          <w:sz w:val="22"/>
          <w:szCs w:val="22"/>
        </w:rPr>
        <w:t>železničnej dopravy sú základným predpokladom pre to</w:t>
      </w:r>
      <w:r w:rsidRPr="002E40A5">
        <w:rPr>
          <w:sz w:val="22"/>
          <w:szCs w:val="22"/>
        </w:rPr>
        <w:t xml:space="preserve">, aby sa železničná doprava stala lídrom udržateľného dopravného systému, ktorý spĺňa náročné požiadavky spoločnosti o budúcnosti dopravy, ale zároveň neohrozuje kvalitu životného prostredia. Je dôležité, </w:t>
      </w:r>
      <w:r w:rsidRPr="002E40A5">
        <w:rPr>
          <w:sz w:val="22"/>
          <w:szCs w:val="22"/>
        </w:rPr>
        <w:lastRenderedPageBreak/>
        <w:t xml:space="preserve">aby princípy a zásady udržateľného rozvoja boli aplikované a stali sa neoddeliteľnou súčasťou nielen organizácie práce železničného dopravcu, ale </w:t>
      </w:r>
      <w:r w:rsidR="00E3616E">
        <w:rPr>
          <w:sz w:val="22"/>
          <w:szCs w:val="22"/>
        </w:rPr>
        <w:t>aj jeho rozhodovacích procesov.</w:t>
      </w:r>
    </w:p>
    <w:p w:rsidR="00771F01" w:rsidRDefault="00771F01" w:rsidP="00771F01">
      <w:pPr>
        <w:spacing w:before="180"/>
        <w:jc w:val="both"/>
        <w:rPr>
          <w:sz w:val="22"/>
          <w:szCs w:val="22"/>
        </w:rPr>
      </w:pPr>
      <w:r w:rsidRPr="002E40A5">
        <w:rPr>
          <w:sz w:val="22"/>
          <w:szCs w:val="22"/>
        </w:rPr>
        <w:t>Na systém železničnej dopravy je nutné nahliadať ako na previazaný celok. Udržateľný rozvoj znamená, že z plánov súčasnej a budúcej potreby dopravnej obslužnosti územia musí vychádzať udržateľný proces výstavby, modernizácie a obnovy železničnej infraštruktúry, rozvoj koridorov, dôraz na prepojenie s regionál</w:t>
      </w:r>
      <w:r>
        <w:rPr>
          <w:sz w:val="22"/>
          <w:szCs w:val="22"/>
        </w:rPr>
        <w:t>nou a mestskou dopravou,</w:t>
      </w:r>
      <w:r w:rsidRPr="002E40A5">
        <w:rPr>
          <w:sz w:val="22"/>
          <w:szCs w:val="22"/>
        </w:rPr>
        <w:t xml:space="preserve"> ako</w:t>
      </w:r>
      <w:r>
        <w:rPr>
          <w:sz w:val="22"/>
          <w:szCs w:val="22"/>
        </w:rPr>
        <w:t xml:space="preserve"> aj</w:t>
      </w:r>
      <w:r w:rsidRPr="002E40A5">
        <w:rPr>
          <w:sz w:val="22"/>
          <w:szCs w:val="22"/>
        </w:rPr>
        <w:t xml:space="preserve"> proces obnovy a následnej údr</w:t>
      </w:r>
      <w:r>
        <w:rPr>
          <w:sz w:val="22"/>
          <w:szCs w:val="22"/>
        </w:rPr>
        <w:t>žby parku koľajových vozidiel a</w:t>
      </w:r>
      <w:r w:rsidRPr="002E40A5">
        <w:rPr>
          <w:sz w:val="22"/>
          <w:szCs w:val="22"/>
        </w:rPr>
        <w:t xml:space="preserve"> technológií zabezpečujúcich bezpečnú,</w:t>
      </w:r>
      <w:r>
        <w:rPr>
          <w:sz w:val="22"/>
          <w:szCs w:val="22"/>
        </w:rPr>
        <w:t xml:space="preserve"> spoľahlivú a kvalitnú prevádzk</w:t>
      </w:r>
      <w:r w:rsidRPr="002E40A5">
        <w:rPr>
          <w:sz w:val="22"/>
          <w:szCs w:val="22"/>
        </w:rPr>
        <w:t>u vlakov.</w:t>
      </w:r>
    </w:p>
    <w:p w:rsidR="00771F01" w:rsidRDefault="00771F01" w:rsidP="00771F01">
      <w:pPr>
        <w:spacing w:before="120"/>
        <w:jc w:val="both"/>
        <w:rPr>
          <w:sz w:val="22"/>
          <w:szCs w:val="22"/>
          <w:lang w:eastAsia="cs-CZ"/>
        </w:rPr>
      </w:pPr>
      <w:r>
        <w:rPr>
          <w:sz w:val="22"/>
          <w:szCs w:val="22"/>
          <w:lang w:eastAsia="cs-CZ"/>
        </w:rPr>
        <w:t>Aj napriek skutočnosti</w:t>
      </w:r>
      <w:r w:rsidRPr="001B189D">
        <w:rPr>
          <w:sz w:val="22"/>
          <w:szCs w:val="22"/>
          <w:lang w:eastAsia="cs-CZ"/>
        </w:rPr>
        <w:t>, že železničná doprava je</w:t>
      </w:r>
      <w:r>
        <w:rPr>
          <w:sz w:val="22"/>
          <w:szCs w:val="22"/>
          <w:lang w:eastAsia="cs-CZ"/>
        </w:rPr>
        <w:t xml:space="preserve"> považovanú za lídra z pohľadu udržateľnosti</w:t>
      </w:r>
      <w:r w:rsidRPr="001B189D">
        <w:rPr>
          <w:sz w:val="22"/>
          <w:szCs w:val="22"/>
          <w:lang w:eastAsia="cs-CZ"/>
        </w:rPr>
        <w:t xml:space="preserve"> </w:t>
      </w:r>
      <w:r w:rsidR="00C3107B">
        <w:rPr>
          <w:sz w:val="22"/>
          <w:szCs w:val="22"/>
          <w:lang w:eastAsia="cs-CZ"/>
        </w:rPr>
        <w:t xml:space="preserve">dopravy, </w:t>
      </w:r>
      <w:r>
        <w:rPr>
          <w:sz w:val="22"/>
          <w:szCs w:val="22"/>
          <w:lang w:eastAsia="cs-CZ"/>
        </w:rPr>
        <w:t>stále existuje priestor na zníženie negatívnych dopadov</w:t>
      </w:r>
      <w:r w:rsidRPr="001B189D">
        <w:rPr>
          <w:sz w:val="22"/>
          <w:szCs w:val="22"/>
          <w:lang w:eastAsia="cs-CZ"/>
        </w:rPr>
        <w:t xml:space="preserve"> na zdravie a bezpečnosť ľudí, ako aj okolité prostredie. </w:t>
      </w:r>
      <w:r>
        <w:rPr>
          <w:sz w:val="22"/>
          <w:szCs w:val="22"/>
          <w:lang w:eastAsia="cs-CZ"/>
        </w:rPr>
        <w:t>Medzi oblasti na ktoré je potrebné zamerať úsilie možno zaradiť najmä</w:t>
      </w:r>
      <w:r w:rsidRPr="001B189D">
        <w:rPr>
          <w:sz w:val="22"/>
          <w:szCs w:val="22"/>
          <w:lang w:eastAsia="cs-CZ"/>
        </w:rPr>
        <w:t xml:space="preserve"> klimatické zmeny (vrátane energetickej spotreby), hluk a vibrácie, odpadové ho</w:t>
      </w:r>
      <w:r w:rsidR="00E3616E">
        <w:rPr>
          <w:sz w:val="22"/>
          <w:szCs w:val="22"/>
          <w:lang w:eastAsia="cs-CZ"/>
        </w:rPr>
        <w:t>spodárstvo, udržateľná výroba a </w:t>
      </w:r>
      <w:r w:rsidRPr="001B189D">
        <w:rPr>
          <w:sz w:val="22"/>
          <w:szCs w:val="22"/>
          <w:lang w:eastAsia="cs-CZ"/>
        </w:rPr>
        <w:t>spotreba, emisie látok znečisťujúcich ovzdušie, či ochrana biodiverzity a prírodných zdrojov.</w:t>
      </w:r>
    </w:p>
    <w:p w:rsidR="00017B79" w:rsidRPr="00771F01" w:rsidRDefault="00017B79" w:rsidP="00771F01">
      <w:pPr>
        <w:spacing w:before="180"/>
        <w:jc w:val="both"/>
        <w:rPr>
          <w:sz w:val="22"/>
          <w:szCs w:val="22"/>
        </w:rPr>
      </w:pPr>
      <w:r w:rsidRPr="001B2070">
        <w:rPr>
          <w:rFonts w:ascii="Arial Narrow" w:hAnsi="Arial Narrow"/>
          <w:b/>
          <w:i/>
          <w:color w:val="548DD4" w:themeColor="text2" w:themeTint="99"/>
          <w:sz w:val="22"/>
          <w:szCs w:val="22"/>
        </w:rPr>
        <w:t>VÝSLEDKY</w:t>
      </w:r>
    </w:p>
    <w:p w:rsidR="00DF263C" w:rsidRPr="00DF263C" w:rsidRDefault="00DF263C" w:rsidP="00C20BC1">
      <w:pPr>
        <w:pStyle w:val="Odsekzoznamu"/>
        <w:numPr>
          <w:ilvl w:val="0"/>
          <w:numId w:val="74"/>
        </w:numPr>
        <w:autoSpaceDE w:val="0"/>
        <w:autoSpaceDN w:val="0"/>
        <w:adjustRightInd w:val="0"/>
        <w:spacing w:before="120"/>
        <w:jc w:val="both"/>
        <w:rPr>
          <w:color w:val="000000" w:themeColor="text1"/>
          <w:sz w:val="22"/>
          <w:szCs w:val="22"/>
        </w:rPr>
      </w:pPr>
      <w:bookmarkStart w:id="51" w:name="_GoBack"/>
      <w:bookmarkEnd w:id="51"/>
      <w:r>
        <w:rPr>
          <w:color w:val="000000" w:themeColor="text1"/>
          <w:sz w:val="22"/>
          <w:szCs w:val="22"/>
        </w:rPr>
        <w:t>z</w:t>
      </w:r>
      <w:r w:rsidR="00382524" w:rsidRPr="00DF263C">
        <w:rPr>
          <w:color w:val="000000" w:themeColor="text1"/>
          <w:sz w:val="22"/>
          <w:szCs w:val="22"/>
        </w:rPr>
        <w:t xml:space="preserve">lepšenie technických parametrov železničnej infraštruktúry vo vybraných úsekoch </w:t>
      </w:r>
      <w:r w:rsidR="007F1B5F">
        <w:rPr>
          <w:color w:val="000000" w:themeColor="text1"/>
          <w:sz w:val="22"/>
          <w:szCs w:val="22"/>
        </w:rPr>
        <w:t>(mimo</w:t>
      </w:r>
      <w:r>
        <w:rPr>
          <w:color w:val="000000" w:themeColor="text1"/>
          <w:sz w:val="22"/>
          <w:szCs w:val="22"/>
        </w:rPr>
        <w:t xml:space="preserve"> </w:t>
      </w:r>
      <w:r w:rsidR="00382524" w:rsidRPr="00DF263C">
        <w:rPr>
          <w:color w:val="000000" w:themeColor="text1"/>
          <w:sz w:val="22"/>
          <w:szCs w:val="22"/>
        </w:rPr>
        <w:t>TEN-T</w:t>
      </w:r>
      <w:r w:rsidR="007F1B5F">
        <w:rPr>
          <w:color w:val="000000" w:themeColor="text1"/>
          <w:sz w:val="22"/>
          <w:szCs w:val="22"/>
        </w:rPr>
        <w:t xml:space="preserve"> CORE)</w:t>
      </w:r>
      <w:r w:rsidR="00382524" w:rsidRPr="00DF263C">
        <w:rPr>
          <w:color w:val="000000" w:themeColor="text1"/>
          <w:sz w:val="22"/>
          <w:szCs w:val="22"/>
        </w:rPr>
        <w:t>,</w:t>
      </w:r>
    </w:p>
    <w:p w:rsidR="00DF263C" w:rsidRPr="00DF263C" w:rsidRDefault="00DF263C" w:rsidP="00FE6025">
      <w:pPr>
        <w:pStyle w:val="Odsekzoznamu"/>
        <w:numPr>
          <w:ilvl w:val="0"/>
          <w:numId w:val="74"/>
        </w:numPr>
        <w:autoSpaceDE w:val="0"/>
        <w:autoSpaceDN w:val="0"/>
        <w:adjustRightInd w:val="0"/>
        <w:jc w:val="both"/>
        <w:rPr>
          <w:color w:val="000000" w:themeColor="text1"/>
          <w:sz w:val="22"/>
          <w:szCs w:val="22"/>
        </w:rPr>
      </w:pPr>
      <w:r>
        <w:rPr>
          <w:color w:val="000000" w:themeColor="text1"/>
          <w:sz w:val="22"/>
          <w:szCs w:val="22"/>
        </w:rPr>
        <w:t>z</w:t>
      </w:r>
      <w:r w:rsidR="00382524" w:rsidRPr="00DF263C">
        <w:rPr>
          <w:color w:val="000000" w:themeColor="text1"/>
          <w:sz w:val="22"/>
          <w:szCs w:val="22"/>
        </w:rPr>
        <w:t>výšenie podielu elektrifikovaných tratí</w:t>
      </w:r>
      <w:r>
        <w:rPr>
          <w:color w:val="000000" w:themeColor="text1"/>
          <w:sz w:val="22"/>
          <w:szCs w:val="22"/>
        </w:rPr>
        <w:t>,</w:t>
      </w:r>
    </w:p>
    <w:p w:rsidR="00DF263C" w:rsidRPr="00DF263C" w:rsidRDefault="00382524" w:rsidP="00FE6025">
      <w:pPr>
        <w:pStyle w:val="Odsekzoznamu"/>
        <w:numPr>
          <w:ilvl w:val="0"/>
          <w:numId w:val="74"/>
        </w:numPr>
        <w:autoSpaceDE w:val="0"/>
        <w:autoSpaceDN w:val="0"/>
        <w:adjustRightInd w:val="0"/>
        <w:jc w:val="both"/>
        <w:rPr>
          <w:color w:val="000000" w:themeColor="text1"/>
          <w:sz w:val="22"/>
          <w:szCs w:val="22"/>
        </w:rPr>
      </w:pPr>
      <w:r w:rsidRPr="00DF263C">
        <w:rPr>
          <w:color w:val="000000" w:themeColor="text1"/>
          <w:sz w:val="22"/>
          <w:szCs w:val="22"/>
        </w:rPr>
        <w:t>zníženie počtu úmrtí na železničných priecestiach,</w:t>
      </w:r>
    </w:p>
    <w:p w:rsidR="00382524" w:rsidRPr="00DF263C" w:rsidRDefault="00382524" w:rsidP="00FE6025">
      <w:pPr>
        <w:pStyle w:val="Odsekzoznamu"/>
        <w:numPr>
          <w:ilvl w:val="0"/>
          <w:numId w:val="74"/>
        </w:numPr>
        <w:autoSpaceDE w:val="0"/>
        <w:autoSpaceDN w:val="0"/>
        <w:adjustRightInd w:val="0"/>
        <w:jc w:val="both"/>
        <w:rPr>
          <w:color w:val="000000" w:themeColor="text1"/>
          <w:sz w:val="22"/>
          <w:szCs w:val="22"/>
        </w:rPr>
      </w:pPr>
      <w:r w:rsidRPr="00DF263C">
        <w:rPr>
          <w:color w:val="000000" w:themeColor="text1"/>
          <w:sz w:val="22"/>
          <w:szCs w:val="22"/>
        </w:rPr>
        <w:t>zníženie negatívnych vplyvov na životné prostredie (zníženie hlukovej a emisnej záťaže),</w:t>
      </w:r>
    </w:p>
    <w:p w:rsidR="00382524" w:rsidRPr="00DF263C" w:rsidRDefault="00382524" w:rsidP="00FE6025">
      <w:pPr>
        <w:pStyle w:val="Odsekzoznamu"/>
        <w:numPr>
          <w:ilvl w:val="0"/>
          <w:numId w:val="74"/>
        </w:numPr>
        <w:autoSpaceDE w:val="0"/>
        <w:autoSpaceDN w:val="0"/>
        <w:adjustRightInd w:val="0"/>
        <w:jc w:val="both"/>
        <w:rPr>
          <w:color w:val="000000" w:themeColor="text1"/>
          <w:sz w:val="22"/>
          <w:szCs w:val="22"/>
        </w:rPr>
      </w:pPr>
      <w:r w:rsidRPr="00DF263C">
        <w:rPr>
          <w:color w:val="000000" w:themeColor="text1"/>
          <w:sz w:val="22"/>
          <w:szCs w:val="22"/>
        </w:rPr>
        <w:t>zvýšenie komfortu pre koncových užívateľov a tým atraktivity železničnej dopravy v regiónoch,</w:t>
      </w:r>
    </w:p>
    <w:p w:rsidR="00382524" w:rsidRPr="00DF263C" w:rsidRDefault="00382524" w:rsidP="00FE6025">
      <w:pPr>
        <w:pStyle w:val="Odsekzoznamu"/>
        <w:numPr>
          <w:ilvl w:val="0"/>
          <w:numId w:val="74"/>
        </w:numPr>
        <w:autoSpaceDE w:val="0"/>
        <w:autoSpaceDN w:val="0"/>
        <w:adjustRightInd w:val="0"/>
        <w:jc w:val="both"/>
        <w:rPr>
          <w:color w:val="000000" w:themeColor="text1"/>
          <w:sz w:val="22"/>
          <w:szCs w:val="22"/>
        </w:rPr>
      </w:pPr>
      <w:r w:rsidRPr="00DF263C">
        <w:rPr>
          <w:color w:val="000000" w:themeColor="text1"/>
          <w:sz w:val="22"/>
          <w:szCs w:val="22"/>
        </w:rPr>
        <w:t>vytváranie predpokladov pre zvýšenie konkurencieschopnosti regiónov, zlepšenia mobility obyvateľov a potenciálu rastu zamestnanosti.</w:t>
      </w:r>
    </w:p>
    <w:p w:rsidR="003D6170" w:rsidRDefault="00017B79" w:rsidP="003D6170">
      <w:pPr>
        <w:pStyle w:val="Tab"/>
      </w:pPr>
      <w:r w:rsidRPr="004F0234">
        <w:t>Výsledkové ukazovatele zodpovedajúce špecifickému cieľu</w:t>
      </w:r>
      <w:r w:rsidR="003D6170">
        <w:t xml:space="preserve"> 5.1</w:t>
      </w:r>
    </w:p>
    <w:tbl>
      <w:tblPr>
        <w:tblStyle w:val="Mriekatabuky"/>
        <w:tblW w:w="928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56"/>
        <w:gridCol w:w="1304"/>
        <w:gridCol w:w="898"/>
        <w:gridCol w:w="1025"/>
        <w:gridCol w:w="1297"/>
        <w:gridCol w:w="1297"/>
        <w:gridCol w:w="911"/>
        <w:gridCol w:w="789"/>
        <w:gridCol w:w="1210"/>
      </w:tblGrid>
      <w:tr w:rsidR="00A837FB" w:rsidRPr="008C1732" w:rsidTr="002E1021">
        <w:trPr>
          <w:trHeight w:val="487"/>
          <w:jc w:val="center"/>
        </w:trPr>
        <w:tc>
          <w:tcPr>
            <w:tcW w:w="556" w:type="dxa"/>
            <w:shd w:val="clear" w:color="auto" w:fill="C6D9F1" w:themeFill="text2" w:themeFillTint="33"/>
            <w:vAlign w:val="center"/>
          </w:tcPr>
          <w:p w:rsidR="00A837FB" w:rsidRPr="008C1732" w:rsidRDefault="00A837FB" w:rsidP="00816B1A">
            <w:pPr>
              <w:ind w:left="0"/>
              <w:jc w:val="center"/>
              <w:rPr>
                <w:b/>
                <w:sz w:val="18"/>
                <w:szCs w:val="18"/>
              </w:rPr>
            </w:pPr>
            <w:r>
              <w:rPr>
                <w:b/>
                <w:sz w:val="18"/>
                <w:szCs w:val="18"/>
              </w:rPr>
              <w:t>P. č.</w:t>
            </w:r>
          </w:p>
        </w:tc>
        <w:tc>
          <w:tcPr>
            <w:tcW w:w="1304"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Ukazovateľ</w:t>
            </w:r>
          </w:p>
        </w:tc>
        <w:tc>
          <w:tcPr>
            <w:tcW w:w="898"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Merná jednotka</w:t>
            </w:r>
          </w:p>
        </w:tc>
        <w:tc>
          <w:tcPr>
            <w:tcW w:w="1025"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Kategória regiónu</w:t>
            </w:r>
          </w:p>
        </w:tc>
        <w:tc>
          <w:tcPr>
            <w:tcW w:w="1297" w:type="dxa"/>
            <w:shd w:val="clear" w:color="auto" w:fill="C6D9F1" w:themeFill="text2" w:themeFillTint="33"/>
            <w:vAlign w:val="center"/>
          </w:tcPr>
          <w:p w:rsidR="00A837FB" w:rsidRPr="008C1732" w:rsidRDefault="00A837FB" w:rsidP="00816B1A">
            <w:pPr>
              <w:ind w:left="0"/>
              <w:jc w:val="center"/>
              <w:rPr>
                <w:b/>
                <w:sz w:val="18"/>
                <w:szCs w:val="18"/>
              </w:rPr>
            </w:pPr>
            <w:r>
              <w:rPr>
                <w:b/>
                <w:sz w:val="18"/>
                <w:szCs w:val="18"/>
              </w:rPr>
              <w:t>Východisková hodnota</w:t>
            </w:r>
          </w:p>
        </w:tc>
        <w:tc>
          <w:tcPr>
            <w:tcW w:w="1297" w:type="dxa"/>
            <w:shd w:val="clear" w:color="auto" w:fill="C6D9F1" w:themeFill="text2" w:themeFillTint="33"/>
            <w:vAlign w:val="center"/>
          </w:tcPr>
          <w:p w:rsidR="00A837FB" w:rsidRPr="008C1732" w:rsidRDefault="00A837FB" w:rsidP="00816B1A">
            <w:pPr>
              <w:ind w:left="0"/>
              <w:jc w:val="center"/>
              <w:rPr>
                <w:b/>
                <w:sz w:val="18"/>
                <w:szCs w:val="18"/>
              </w:rPr>
            </w:pPr>
            <w:r>
              <w:rPr>
                <w:b/>
                <w:sz w:val="18"/>
                <w:szCs w:val="18"/>
              </w:rPr>
              <w:t>Východiskový rok</w:t>
            </w:r>
          </w:p>
        </w:tc>
        <w:tc>
          <w:tcPr>
            <w:tcW w:w="911"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Cieľová hodnota (2023)</w:t>
            </w:r>
          </w:p>
        </w:tc>
        <w:tc>
          <w:tcPr>
            <w:tcW w:w="789"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Zdroj údajov</w:t>
            </w:r>
          </w:p>
        </w:tc>
        <w:tc>
          <w:tcPr>
            <w:tcW w:w="1210"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Frekvencia vykazovania</w:t>
            </w:r>
          </w:p>
        </w:tc>
      </w:tr>
      <w:tr w:rsidR="00A837FB" w:rsidRPr="00AB18C1" w:rsidTr="002E1021">
        <w:trPr>
          <w:trHeight w:val="680"/>
          <w:jc w:val="center"/>
        </w:trPr>
        <w:tc>
          <w:tcPr>
            <w:tcW w:w="556" w:type="dxa"/>
            <w:shd w:val="clear" w:color="auto" w:fill="auto"/>
            <w:vAlign w:val="center"/>
          </w:tcPr>
          <w:p w:rsidR="00A837FB" w:rsidRPr="00336C1F" w:rsidRDefault="00A837FB" w:rsidP="00816B1A">
            <w:pPr>
              <w:ind w:left="0"/>
              <w:jc w:val="center"/>
              <w:rPr>
                <w:sz w:val="20"/>
                <w:szCs w:val="20"/>
              </w:rPr>
            </w:pPr>
            <w:r>
              <w:rPr>
                <w:sz w:val="20"/>
                <w:szCs w:val="20"/>
              </w:rPr>
              <w:t>1.</w:t>
            </w:r>
          </w:p>
        </w:tc>
        <w:tc>
          <w:tcPr>
            <w:tcW w:w="1304" w:type="dxa"/>
            <w:shd w:val="clear" w:color="auto" w:fill="auto"/>
            <w:vAlign w:val="center"/>
          </w:tcPr>
          <w:p w:rsidR="00A837FB" w:rsidRPr="00AB18C1" w:rsidRDefault="00A837FB" w:rsidP="00816B1A">
            <w:pPr>
              <w:ind w:left="0"/>
              <w:rPr>
                <w:sz w:val="20"/>
                <w:szCs w:val="20"/>
              </w:rPr>
            </w:pPr>
            <w:r>
              <w:rPr>
                <w:sz w:val="20"/>
                <w:szCs w:val="20"/>
              </w:rPr>
              <w:t>Úspora času v železničnej doprave</w:t>
            </w:r>
          </w:p>
        </w:tc>
        <w:tc>
          <w:tcPr>
            <w:tcW w:w="898" w:type="dxa"/>
            <w:shd w:val="clear" w:color="auto" w:fill="auto"/>
            <w:vAlign w:val="center"/>
          </w:tcPr>
          <w:p w:rsidR="00A837FB" w:rsidRPr="00AB18C1" w:rsidRDefault="00A837FB" w:rsidP="00816B1A">
            <w:pPr>
              <w:ind w:left="0"/>
              <w:jc w:val="center"/>
              <w:rPr>
                <w:sz w:val="20"/>
                <w:szCs w:val="20"/>
              </w:rPr>
            </w:pPr>
            <w:r w:rsidRPr="00AB18C1">
              <w:rPr>
                <w:sz w:val="20"/>
                <w:szCs w:val="20"/>
              </w:rPr>
              <w:t>EUR</w:t>
            </w:r>
          </w:p>
        </w:tc>
        <w:tc>
          <w:tcPr>
            <w:tcW w:w="1025" w:type="dxa"/>
            <w:shd w:val="clear" w:color="auto" w:fill="auto"/>
            <w:vAlign w:val="center"/>
          </w:tcPr>
          <w:p w:rsidR="00A837FB" w:rsidRPr="00AB18C1" w:rsidRDefault="00A837FB" w:rsidP="00816B1A">
            <w:pPr>
              <w:ind w:left="0"/>
              <w:jc w:val="center"/>
              <w:rPr>
                <w:sz w:val="20"/>
                <w:szCs w:val="20"/>
              </w:rPr>
            </w:pPr>
            <w:r w:rsidRPr="00AB18C1">
              <w:rPr>
                <w:sz w:val="20"/>
                <w:szCs w:val="20"/>
              </w:rPr>
              <w:t>N/A</w:t>
            </w:r>
          </w:p>
        </w:tc>
        <w:tc>
          <w:tcPr>
            <w:tcW w:w="1297" w:type="dxa"/>
            <w:vAlign w:val="center"/>
          </w:tcPr>
          <w:p w:rsidR="00A837FB" w:rsidRPr="00AB18C1" w:rsidRDefault="00A837FB" w:rsidP="00816B1A">
            <w:pPr>
              <w:jc w:val="center"/>
              <w:rPr>
                <w:sz w:val="20"/>
                <w:szCs w:val="20"/>
              </w:rPr>
            </w:pPr>
          </w:p>
        </w:tc>
        <w:tc>
          <w:tcPr>
            <w:tcW w:w="1297" w:type="dxa"/>
            <w:vAlign w:val="center"/>
          </w:tcPr>
          <w:p w:rsidR="00A837FB" w:rsidRPr="00AB18C1" w:rsidRDefault="00A837FB" w:rsidP="00816B1A">
            <w:pPr>
              <w:ind w:left="0"/>
              <w:jc w:val="center"/>
              <w:rPr>
                <w:sz w:val="20"/>
                <w:szCs w:val="20"/>
              </w:rPr>
            </w:pPr>
            <w:r w:rsidRPr="00AB18C1">
              <w:rPr>
                <w:sz w:val="20"/>
                <w:szCs w:val="20"/>
              </w:rPr>
              <w:t>2013</w:t>
            </w:r>
          </w:p>
        </w:tc>
        <w:tc>
          <w:tcPr>
            <w:tcW w:w="911" w:type="dxa"/>
            <w:shd w:val="clear" w:color="auto" w:fill="auto"/>
            <w:vAlign w:val="center"/>
          </w:tcPr>
          <w:p w:rsidR="00A837FB" w:rsidRPr="00AB18C1" w:rsidRDefault="00A837FB" w:rsidP="00816B1A">
            <w:pPr>
              <w:ind w:left="0"/>
              <w:jc w:val="center"/>
              <w:rPr>
                <w:sz w:val="20"/>
                <w:szCs w:val="20"/>
              </w:rPr>
            </w:pPr>
          </w:p>
        </w:tc>
        <w:tc>
          <w:tcPr>
            <w:tcW w:w="789" w:type="dxa"/>
            <w:vAlign w:val="center"/>
          </w:tcPr>
          <w:p w:rsidR="00A837FB" w:rsidRPr="00AB18C1" w:rsidRDefault="00A837FB" w:rsidP="00816B1A">
            <w:pPr>
              <w:ind w:left="0"/>
              <w:jc w:val="center"/>
              <w:rPr>
                <w:sz w:val="20"/>
                <w:szCs w:val="20"/>
              </w:rPr>
            </w:pPr>
            <w:r w:rsidRPr="00AB18C1">
              <w:rPr>
                <w:sz w:val="20"/>
                <w:szCs w:val="20"/>
              </w:rPr>
              <w:t>RO OPII</w:t>
            </w:r>
          </w:p>
        </w:tc>
        <w:tc>
          <w:tcPr>
            <w:tcW w:w="1210" w:type="dxa"/>
            <w:vAlign w:val="center"/>
          </w:tcPr>
          <w:p w:rsidR="00A837FB" w:rsidRPr="00AB18C1" w:rsidRDefault="00A837FB" w:rsidP="00816B1A">
            <w:pPr>
              <w:ind w:left="0"/>
              <w:jc w:val="center"/>
              <w:rPr>
                <w:sz w:val="20"/>
                <w:szCs w:val="20"/>
              </w:rPr>
            </w:pPr>
            <w:r w:rsidRPr="00AB18C1">
              <w:rPr>
                <w:sz w:val="20"/>
                <w:szCs w:val="20"/>
              </w:rPr>
              <w:t>Ročne</w:t>
            </w:r>
          </w:p>
        </w:tc>
      </w:tr>
      <w:tr w:rsidR="00D65B44" w:rsidRPr="00AB18C1" w:rsidTr="002E1021">
        <w:trPr>
          <w:trHeight w:val="680"/>
          <w:jc w:val="center"/>
        </w:trPr>
        <w:tc>
          <w:tcPr>
            <w:tcW w:w="556" w:type="dxa"/>
            <w:shd w:val="clear" w:color="auto" w:fill="auto"/>
            <w:vAlign w:val="center"/>
          </w:tcPr>
          <w:p w:rsidR="00D65B44" w:rsidRPr="00336C1F" w:rsidRDefault="00D65B44" w:rsidP="00C3107B">
            <w:pPr>
              <w:ind w:left="0"/>
              <w:jc w:val="center"/>
              <w:rPr>
                <w:sz w:val="20"/>
                <w:szCs w:val="20"/>
              </w:rPr>
            </w:pPr>
            <w:r>
              <w:rPr>
                <w:sz w:val="20"/>
                <w:szCs w:val="20"/>
              </w:rPr>
              <w:t>2.</w:t>
            </w:r>
          </w:p>
        </w:tc>
        <w:tc>
          <w:tcPr>
            <w:tcW w:w="1304" w:type="dxa"/>
            <w:shd w:val="clear" w:color="auto" w:fill="auto"/>
            <w:vAlign w:val="center"/>
          </w:tcPr>
          <w:p w:rsidR="00D65B44" w:rsidRPr="00AB18C1" w:rsidRDefault="00D65B44" w:rsidP="00C3107B">
            <w:pPr>
              <w:ind w:left="0"/>
              <w:rPr>
                <w:sz w:val="20"/>
                <w:szCs w:val="20"/>
              </w:rPr>
            </w:pPr>
            <w:r>
              <w:rPr>
                <w:sz w:val="20"/>
                <w:szCs w:val="20"/>
              </w:rPr>
              <w:t>Miera elektrifikácie železničných tratí</w:t>
            </w:r>
          </w:p>
        </w:tc>
        <w:tc>
          <w:tcPr>
            <w:tcW w:w="898" w:type="dxa"/>
            <w:shd w:val="clear" w:color="auto" w:fill="auto"/>
            <w:vAlign w:val="center"/>
          </w:tcPr>
          <w:p w:rsidR="00D65B44" w:rsidRPr="00AB18C1" w:rsidRDefault="00D65B44" w:rsidP="00C3107B">
            <w:pPr>
              <w:ind w:left="0"/>
              <w:jc w:val="center"/>
              <w:rPr>
                <w:sz w:val="20"/>
                <w:szCs w:val="20"/>
              </w:rPr>
            </w:pPr>
            <w:r>
              <w:rPr>
                <w:sz w:val="20"/>
                <w:szCs w:val="20"/>
              </w:rPr>
              <w:t>%</w:t>
            </w:r>
          </w:p>
        </w:tc>
        <w:tc>
          <w:tcPr>
            <w:tcW w:w="1025" w:type="dxa"/>
            <w:shd w:val="clear" w:color="auto" w:fill="auto"/>
            <w:vAlign w:val="center"/>
          </w:tcPr>
          <w:p w:rsidR="00D65B44" w:rsidRPr="00AB18C1" w:rsidRDefault="00D65B44" w:rsidP="00C3107B">
            <w:pPr>
              <w:ind w:left="0"/>
              <w:jc w:val="center"/>
              <w:rPr>
                <w:sz w:val="20"/>
                <w:szCs w:val="20"/>
              </w:rPr>
            </w:pPr>
            <w:r w:rsidRPr="00AB18C1">
              <w:rPr>
                <w:sz w:val="20"/>
                <w:szCs w:val="20"/>
              </w:rPr>
              <w:t>N/A</w:t>
            </w:r>
          </w:p>
        </w:tc>
        <w:tc>
          <w:tcPr>
            <w:tcW w:w="1297" w:type="dxa"/>
            <w:vAlign w:val="center"/>
          </w:tcPr>
          <w:p w:rsidR="00D65B44" w:rsidRPr="00AB18C1" w:rsidRDefault="00D65B44" w:rsidP="00C3107B">
            <w:pPr>
              <w:jc w:val="center"/>
              <w:rPr>
                <w:sz w:val="20"/>
                <w:szCs w:val="20"/>
              </w:rPr>
            </w:pPr>
          </w:p>
        </w:tc>
        <w:tc>
          <w:tcPr>
            <w:tcW w:w="1297" w:type="dxa"/>
            <w:vAlign w:val="center"/>
          </w:tcPr>
          <w:p w:rsidR="00D65B44" w:rsidRPr="00AB18C1" w:rsidRDefault="00D65B44" w:rsidP="00C3107B">
            <w:pPr>
              <w:ind w:left="0"/>
              <w:jc w:val="center"/>
              <w:rPr>
                <w:sz w:val="20"/>
                <w:szCs w:val="20"/>
              </w:rPr>
            </w:pPr>
            <w:r w:rsidRPr="00AB18C1">
              <w:rPr>
                <w:sz w:val="20"/>
                <w:szCs w:val="20"/>
              </w:rPr>
              <w:t>2013</w:t>
            </w:r>
          </w:p>
        </w:tc>
        <w:tc>
          <w:tcPr>
            <w:tcW w:w="911" w:type="dxa"/>
            <w:shd w:val="clear" w:color="auto" w:fill="auto"/>
            <w:vAlign w:val="center"/>
          </w:tcPr>
          <w:p w:rsidR="00D65B44" w:rsidRPr="00AB18C1" w:rsidRDefault="00D65B44" w:rsidP="00C3107B">
            <w:pPr>
              <w:ind w:left="0"/>
              <w:jc w:val="center"/>
              <w:rPr>
                <w:sz w:val="20"/>
                <w:szCs w:val="20"/>
              </w:rPr>
            </w:pPr>
          </w:p>
        </w:tc>
        <w:tc>
          <w:tcPr>
            <w:tcW w:w="789" w:type="dxa"/>
            <w:vAlign w:val="center"/>
          </w:tcPr>
          <w:p w:rsidR="00D65B44" w:rsidRPr="00AB18C1" w:rsidRDefault="00D65B44" w:rsidP="00C3107B">
            <w:pPr>
              <w:ind w:left="0"/>
              <w:jc w:val="center"/>
              <w:rPr>
                <w:sz w:val="20"/>
                <w:szCs w:val="20"/>
              </w:rPr>
            </w:pPr>
            <w:r w:rsidRPr="00AB18C1">
              <w:rPr>
                <w:sz w:val="20"/>
                <w:szCs w:val="20"/>
              </w:rPr>
              <w:t>RO OPII</w:t>
            </w:r>
          </w:p>
        </w:tc>
        <w:tc>
          <w:tcPr>
            <w:tcW w:w="1210" w:type="dxa"/>
            <w:vAlign w:val="center"/>
          </w:tcPr>
          <w:p w:rsidR="00D65B44" w:rsidRPr="00AB18C1" w:rsidRDefault="00D65B44" w:rsidP="00C3107B">
            <w:pPr>
              <w:ind w:left="0"/>
              <w:jc w:val="center"/>
              <w:rPr>
                <w:sz w:val="20"/>
                <w:szCs w:val="20"/>
              </w:rPr>
            </w:pPr>
            <w:r w:rsidRPr="00AB18C1">
              <w:rPr>
                <w:sz w:val="20"/>
                <w:szCs w:val="20"/>
              </w:rPr>
              <w:t>Ročne</w:t>
            </w:r>
          </w:p>
        </w:tc>
      </w:tr>
    </w:tbl>
    <w:p w:rsidR="00395D81" w:rsidRPr="00E3616E" w:rsidRDefault="00395D81" w:rsidP="00E3616E">
      <w:pPr>
        <w:rPr>
          <w:sz w:val="20"/>
          <w:szCs w:val="20"/>
        </w:rPr>
      </w:pPr>
      <w:bookmarkStart w:id="52" w:name="_Toc384029129"/>
      <w:r w:rsidRPr="008F243C">
        <w:rPr>
          <w:sz w:val="20"/>
          <w:szCs w:val="20"/>
          <w:u w:val="single"/>
        </w:rPr>
        <w:t>Pozn</w:t>
      </w:r>
      <w:r w:rsidRPr="00E3616E">
        <w:rPr>
          <w:sz w:val="20"/>
          <w:szCs w:val="20"/>
        </w:rPr>
        <w:t>.: Hodnoty ukazovateľov budú doplnené v ďalšom štádiu prípravy dokumentu.</w:t>
      </w:r>
      <w:bookmarkEnd w:id="52"/>
    </w:p>
    <w:p w:rsidR="003D6170" w:rsidRPr="006B762B" w:rsidRDefault="003D6170" w:rsidP="002E1021">
      <w:pPr>
        <w:shd w:val="clear" w:color="auto" w:fill="FFFFCC"/>
        <w:spacing w:before="240"/>
        <w:jc w:val="both"/>
        <w:rPr>
          <w:b/>
          <w:i/>
        </w:rPr>
      </w:pPr>
      <w:r w:rsidRPr="004F0234">
        <w:rPr>
          <w:i/>
        </w:rPr>
        <w:t xml:space="preserve">ŠPECIFICKÝ CIEĽ </w:t>
      </w:r>
      <w:r>
        <w:rPr>
          <w:i/>
        </w:rPr>
        <w:t>5.2</w:t>
      </w:r>
      <w:r w:rsidRPr="004F0234">
        <w:rPr>
          <w:i/>
        </w:rPr>
        <w:t>:</w:t>
      </w:r>
      <w:r>
        <w:rPr>
          <w:i/>
        </w:rPr>
        <w:t xml:space="preserve"> </w:t>
      </w:r>
      <w:r w:rsidR="00D65B44" w:rsidRPr="00D65B44">
        <w:rPr>
          <w:b/>
          <w:i/>
        </w:rPr>
        <w:t xml:space="preserve">Zlepšenie kvality železničnej infraštruktúry implementáciou vybraných prvkov TSI na najdôležitejších tratiach pre medzinárodnú dopravu (mimo TEN-T CORE) </w:t>
      </w:r>
    </w:p>
    <w:p w:rsidR="000E41D5" w:rsidRDefault="000E41D5" w:rsidP="000E41D5">
      <w:pPr>
        <w:spacing w:before="180"/>
        <w:jc w:val="both"/>
        <w:rPr>
          <w:sz w:val="22"/>
          <w:szCs w:val="22"/>
        </w:rPr>
      </w:pPr>
      <w:r w:rsidRPr="00AF71BD">
        <w:rPr>
          <w:sz w:val="22"/>
          <w:szCs w:val="22"/>
        </w:rPr>
        <w:t>Existencia vzájomne nekompatibilných železničných systémov využívaných v krajinách EÚ obmedzuje výkonnosť, plynulosť</w:t>
      </w:r>
      <w:r>
        <w:rPr>
          <w:sz w:val="22"/>
          <w:szCs w:val="22"/>
        </w:rPr>
        <w:t xml:space="preserve"> a kvalitu železničnej dopravy (predovšetkým pri cezhraničných prepravách)</w:t>
      </w:r>
      <w:r w:rsidRPr="00AF71BD">
        <w:rPr>
          <w:sz w:val="22"/>
          <w:szCs w:val="22"/>
        </w:rPr>
        <w:t xml:space="preserve">, znižuje konkurenčnú pozíciu </w:t>
      </w:r>
      <w:r>
        <w:rPr>
          <w:sz w:val="22"/>
          <w:szCs w:val="22"/>
        </w:rPr>
        <w:t>železníc na dopravnom trhu a je jednou z hlavných prekážok pri budovaní jednotného trhu EÚ.</w:t>
      </w:r>
    </w:p>
    <w:p w:rsidR="000E41D5" w:rsidRPr="00C3408A" w:rsidRDefault="000E41D5" w:rsidP="000E41D5">
      <w:pPr>
        <w:spacing w:before="180"/>
        <w:jc w:val="both"/>
        <w:rPr>
          <w:sz w:val="22"/>
          <w:szCs w:val="22"/>
        </w:rPr>
      </w:pPr>
      <w:r w:rsidRPr="00C3408A">
        <w:rPr>
          <w:sz w:val="22"/>
          <w:szCs w:val="22"/>
        </w:rPr>
        <w:t>Súčasná železničn</w:t>
      </w:r>
      <w:r>
        <w:rPr>
          <w:sz w:val="22"/>
          <w:szCs w:val="22"/>
        </w:rPr>
        <w:t>á infraštruktúra je technicky a </w:t>
      </w:r>
      <w:r w:rsidRPr="00C3408A">
        <w:rPr>
          <w:sz w:val="22"/>
          <w:szCs w:val="22"/>
        </w:rPr>
        <w:t xml:space="preserve">technologicky značne </w:t>
      </w:r>
      <w:r>
        <w:rPr>
          <w:sz w:val="22"/>
          <w:szCs w:val="22"/>
        </w:rPr>
        <w:t>zastaraná</w:t>
      </w:r>
      <w:r w:rsidRPr="00C3408A">
        <w:rPr>
          <w:sz w:val="22"/>
          <w:szCs w:val="22"/>
        </w:rPr>
        <w:t>, nespĺňa ra</w:t>
      </w:r>
      <w:r>
        <w:rPr>
          <w:sz w:val="22"/>
          <w:szCs w:val="22"/>
        </w:rPr>
        <w:t>stúce kvalitatívne požiadavky kladené na železničnú dopravu</w:t>
      </w:r>
      <w:r w:rsidRPr="00C3408A">
        <w:rPr>
          <w:sz w:val="22"/>
          <w:szCs w:val="22"/>
        </w:rPr>
        <w:t xml:space="preserve">, technické </w:t>
      </w:r>
      <w:r>
        <w:rPr>
          <w:sz w:val="22"/>
          <w:szCs w:val="22"/>
        </w:rPr>
        <w:t>špecifikácie interoperability a </w:t>
      </w:r>
      <w:r w:rsidRPr="00C3408A">
        <w:rPr>
          <w:sz w:val="22"/>
          <w:szCs w:val="22"/>
        </w:rPr>
        <w:t>príslušné vyhlášky UIC, čo obmedzuje začlenenie do európskeho železničného systému a pr</w:t>
      </w:r>
      <w:r>
        <w:rPr>
          <w:sz w:val="22"/>
          <w:szCs w:val="22"/>
        </w:rPr>
        <w:t>ispieva k </w:t>
      </w:r>
      <w:r w:rsidRPr="00C3408A">
        <w:rPr>
          <w:sz w:val="22"/>
          <w:szCs w:val="22"/>
        </w:rPr>
        <w:t xml:space="preserve">pokračujúcemu poklesu podielu </w:t>
      </w:r>
      <w:r>
        <w:rPr>
          <w:sz w:val="22"/>
          <w:szCs w:val="22"/>
        </w:rPr>
        <w:t>železníc</w:t>
      </w:r>
      <w:r w:rsidRPr="00C3408A">
        <w:rPr>
          <w:sz w:val="22"/>
          <w:szCs w:val="22"/>
        </w:rPr>
        <w:t xml:space="preserve"> na dopravnom trhu v prospech rastu cestnej dopravy.</w:t>
      </w:r>
    </w:p>
    <w:p w:rsidR="000E41D5" w:rsidRDefault="000E41D5" w:rsidP="000E41D5">
      <w:pPr>
        <w:spacing w:before="180"/>
        <w:jc w:val="both"/>
        <w:rPr>
          <w:sz w:val="22"/>
          <w:szCs w:val="22"/>
        </w:rPr>
      </w:pPr>
      <w:r>
        <w:rPr>
          <w:sz w:val="22"/>
          <w:szCs w:val="22"/>
        </w:rPr>
        <w:t xml:space="preserve">Jednou z priorít Strategického plánu je v rámci propagácie modernej a bezpečnej železničnej infraštruktúry zaistenie prevádzkyschopnosti a zvýšenie bezpečnosti a spoľahlivosti železničnej dopravy. Pri rozvoji a modernizácii komplexnej, interoperabilnej železničnej siete je limitujúcim faktorom, predovšetkým v súčasnosti nízka úroveň zabezpečovacieho zariadenia a nevyhovujúce </w:t>
      </w:r>
      <w:r>
        <w:rPr>
          <w:sz w:val="22"/>
          <w:szCs w:val="22"/>
        </w:rPr>
        <w:lastRenderedPageBreak/>
        <w:t xml:space="preserve">koľajové obvody. </w:t>
      </w:r>
      <w:r w:rsidRPr="00935D56">
        <w:rPr>
          <w:sz w:val="22"/>
          <w:szCs w:val="22"/>
        </w:rPr>
        <w:t xml:space="preserve">Pri </w:t>
      </w:r>
      <w:r>
        <w:rPr>
          <w:sz w:val="22"/>
          <w:szCs w:val="22"/>
        </w:rPr>
        <w:t xml:space="preserve">hlavných železničných koridoroch, resp. </w:t>
      </w:r>
      <w:r w:rsidR="00D57810">
        <w:rPr>
          <w:sz w:val="22"/>
          <w:szCs w:val="22"/>
        </w:rPr>
        <w:t>ucelených traťových úsekoch, na </w:t>
      </w:r>
      <w:r>
        <w:rPr>
          <w:sz w:val="22"/>
          <w:szCs w:val="22"/>
        </w:rPr>
        <w:t xml:space="preserve">ktorých už prebehla modernizácia alebo sa súvislá modernizácia zo strednodobého hľadiska nepredpokladá, je vhodné, aby okrem odstraňovania úzkych a obmedzujúcich miest došlo k zabezpečeniu prvkov interoperability </w:t>
      </w:r>
      <w:r w:rsidR="00DB53FE">
        <w:rPr>
          <w:sz w:val="22"/>
          <w:szCs w:val="22"/>
        </w:rPr>
        <w:t>a telematických aplikácií</w:t>
      </w:r>
      <w:r w:rsidR="006A7D9F">
        <w:rPr>
          <w:sz w:val="22"/>
          <w:szCs w:val="22"/>
        </w:rPr>
        <w:t xml:space="preserve"> </w:t>
      </w:r>
      <w:r>
        <w:rPr>
          <w:sz w:val="22"/>
          <w:szCs w:val="22"/>
        </w:rPr>
        <w:t>z hľadiska možnosti prevádzky medzinárodných osobných a nákladných vlakov. Ide o podporu zavádzania dopravných riadiacich systémov v súlade s príslušnými rozhodnutiami EÚ a národnými plánmi s cieľom zlepšiť interop</w:t>
      </w:r>
      <w:r w:rsidR="00CB4C15">
        <w:rPr>
          <w:sz w:val="22"/>
          <w:szCs w:val="22"/>
        </w:rPr>
        <w:t>erabilitu železničných systémov.</w:t>
      </w:r>
    </w:p>
    <w:p w:rsidR="002D122E" w:rsidRPr="00C20BC1" w:rsidRDefault="000E41D5" w:rsidP="00C20BC1">
      <w:pPr>
        <w:spacing w:before="180"/>
        <w:jc w:val="both"/>
        <w:rPr>
          <w:sz w:val="22"/>
          <w:szCs w:val="22"/>
        </w:rPr>
      </w:pPr>
      <w:r w:rsidRPr="00DA54A1">
        <w:rPr>
          <w:sz w:val="22"/>
          <w:szCs w:val="22"/>
        </w:rPr>
        <w:t>K 31.12.2013 bolo na železničnej sieti SR systémom ERTMS vybavených cca 92 km</w:t>
      </w:r>
      <w:r w:rsidR="00D57810">
        <w:rPr>
          <w:sz w:val="22"/>
          <w:szCs w:val="22"/>
        </w:rPr>
        <w:t xml:space="preserve"> tratí</w:t>
      </w:r>
      <w:r w:rsidR="00D57810">
        <w:rPr>
          <w:rStyle w:val="Odkaznapoznmkupodiarou"/>
          <w:sz w:val="22"/>
          <w:szCs w:val="22"/>
        </w:rPr>
        <w:footnoteReference w:id="19"/>
      </w:r>
      <w:r w:rsidR="00D57810">
        <w:rPr>
          <w:sz w:val="22"/>
          <w:szCs w:val="22"/>
        </w:rPr>
        <w:t xml:space="preserve">. </w:t>
      </w:r>
      <w:r w:rsidRPr="00DA54A1">
        <w:rPr>
          <w:sz w:val="22"/>
          <w:szCs w:val="22"/>
        </w:rPr>
        <w:t xml:space="preserve">To predstavuje 13,1 % celkovej dĺžky </w:t>
      </w:r>
      <w:r>
        <w:rPr>
          <w:sz w:val="22"/>
          <w:szCs w:val="22"/>
        </w:rPr>
        <w:t xml:space="preserve">tratí zaradených do </w:t>
      </w:r>
      <w:r w:rsidRPr="00DA54A1">
        <w:rPr>
          <w:sz w:val="22"/>
          <w:szCs w:val="22"/>
        </w:rPr>
        <w:t xml:space="preserve">základnej siete TEN-T, resp. 6,5 % </w:t>
      </w:r>
      <w:r>
        <w:rPr>
          <w:sz w:val="22"/>
          <w:szCs w:val="22"/>
        </w:rPr>
        <w:t xml:space="preserve">z celkovej </w:t>
      </w:r>
      <w:r w:rsidRPr="00DA54A1">
        <w:rPr>
          <w:sz w:val="22"/>
          <w:szCs w:val="22"/>
        </w:rPr>
        <w:t>dĺžky súhrnnej siete TEN-T.</w:t>
      </w:r>
      <w:r w:rsidRPr="00DA54A1">
        <w:rPr>
          <w:b/>
          <w:sz w:val="22"/>
          <w:szCs w:val="22"/>
        </w:rPr>
        <w:t xml:space="preserve"> </w:t>
      </w:r>
      <w:r>
        <w:rPr>
          <w:b/>
          <w:sz w:val="22"/>
          <w:szCs w:val="22"/>
        </w:rPr>
        <w:t>Z </w:t>
      </w:r>
      <w:r w:rsidRPr="00ED6F6E">
        <w:rPr>
          <w:b/>
          <w:sz w:val="22"/>
          <w:szCs w:val="22"/>
        </w:rPr>
        <w:t>dôvodu</w:t>
      </w:r>
      <w:r>
        <w:rPr>
          <w:b/>
          <w:sz w:val="22"/>
          <w:szCs w:val="22"/>
        </w:rPr>
        <w:t xml:space="preserve"> potreby zvýšenia interoperability tratí významných pre medzinárodnú dopravu</w:t>
      </w:r>
      <w:r w:rsidRPr="00ED6F6E">
        <w:rPr>
          <w:b/>
          <w:sz w:val="22"/>
          <w:szCs w:val="22"/>
        </w:rPr>
        <w:t xml:space="preserve"> budú aktivity špecifické</w:t>
      </w:r>
      <w:r>
        <w:rPr>
          <w:b/>
          <w:sz w:val="22"/>
          <w:szCs w:val="22"/>
        </w:rPr>
        <w:t>ho</w:t>
      </w:r>
      <w:r w:rsidRPr="00ED6F6E">
        <w:rPr>
          <w:b/>
          <w:sz w:val="22"/>
          <w:szCs w:val="22"/>
        </w:rPr>
        <w:t xml:space="preserve"> cieľa </w:t>
      </w:r>
      <w:r>
        <w:rPr>
          <w:b/>
          <w:sz w:val="22"/>
          <w:szCs w:val="22"/>
        </w:rPr>
        <w:t>zamerané na </w:t>
      </w:r>
      <w:r w:rsidRPr="00ED6F6E">
        <w:rPr>
          <w:b/>
          <w:sz w:val="22"/>
          <w:szCs w:val="22"/>
        </w:rPr>
        <w:t>zavedenie systému ERTMS, tzn. predovšetkým inštaláciu traťového zabezpečovacieho systému ETCS a oznamovacieho zariadenia GSM-R</w:t>
      </w:r>
      <w:r>
        <w:rPr>
          <w:sz w:val="22"/>
          <w:szCs w:val="22"/>
        </w:rPr>
        <w:t>.</w:t>
      </w:r>
    </w:p>
    <w:p w:rsidR="002D122E" w:rsidRPr="001B2070" w:rsidRDefault="002D122E" w:rsidP="002D122E">
      <w:pPr>
        <w:spacing w:before="180" w:after="120"/>
        <w:rPr>
          <w:rFonts w:ascii="Arial Narrow" w:hAnsi="Arial Narrow"/>
          <w:b/>
          <w:i/>
          <w:color w:val="548DD4" w:themeColor="text2" w:themeTint="99"/>
          <w:sz w:val="22"/>
          <w:szCs w:val="22"/>
        </w:rPr>
      </w:pPr>
      <w:r w:rsidRPr="001B2070">
        <w:rPr>
          <w:rFonts w:ascii="Arial Narrow" w:hAnsi="Arial Narrow"/>
          <w:b/>
          <w:i/>
          <w:color w:val="548DD4" w:themeColor="text2" w:themeTint="99"/>
          <w:sz w:val="22"/>
          <w:szCs w:val="22"/>
        </w:rPr>
        <w:t>VÝSLEDKY</w:t>
      </w:r>
    </w:p>
    <w:p w:rsidR="002D122E" w:rsidRDefault="002D122E" w:rsidP="002D122E">
      <w:pPr>
        <w:pStyle w:val="Odsekzoznamu"/>
        <w:numPr>
          <w:ilvl w:val="0"/>
          <w:numId w:val="81"/>
        </w:numPr>
        <w:autoSpaceDE w:val="0"/>
        <w:autoSpaceDN w:val="0"/>
        <w:adjustRightInd w:val="0"/>
        <w:jc w:val="both"/>
        <w:rPr>
          <w:sz w:val="22"/>
          <w:szCs w:val="22"/>
        </w:rPr>
      </w:pPr>
      <w:r>
        <w:rPr>
          <w:sz w:val="22"/>
          <w:szCs w:val="22"/>
        </w:rPr>
        <w:t>splnenie záväzkov vyplývajúcich z </w:t>
      </w:r>
      <w:r w:rsidRPr="005F1EB5">
        <w:rPr>
          <w:sz w:val="22"/>
          <w:szCs w:val="22"/>
        </w:rPr>
        <w:t xml:space="preserve">Rozhodnutia Komisie č. </w:t>
      </w:r>
      <w:r>
        <w:rPr>
          <w:sz w:val="22"/>
          <w:szCs w:val="22"/>
        </w:rPr>
        <w:t>2012/88/EÚ z 25. januára 2012 o </w:t>
      </w:r>
      <w:r w:rsidRPr="005F1EB5">
        <w:rPr>
          <w:sz w:val="22"/>
          <w:szCs w:val="22"/>
        </w:rPr>
        <w:t>technickej špecifikácii interoperability týkajúcej sa subsys</w:t>
      </w:r>
      <w:r>
        <w:rPr>
          <w:sz w:val="22"/>
          <w:szCs w:val="22"/>
        </w:rPr>
        <w:t>témov riadenia - zabezpečenia a </w:t>
      </w:r>
      <w:r w:rsidRPr="005F1EB5">
        <w:rPr>
          <w:sz w:val="22"/>
          <w:szCs w:val="22"/>
        </w:rPr>
        <w:t>návestenia transeurópskeho železničného systému</w:t>
      </w:r>
      <w:r w:rsidR="00CB4C15" w:rsidRPr="00CB4C15">
        <w:t xml:space="preserve"> </w:t>
      </w:r>
      <w:r w:rsidR="00CB4C15" w:rsidRPr="00CB4C15">
        <w:rPr>
          <w:sz w:val="22"/>
          <w:szCs w:val="22"/>
        </w:rPr>
        <w:t>a Na</w:t>
      </w:r>
      <w:r w:rsidR="00CB4C15">
        <w:rPr>
          <w:sz w:val="22"/>
          <w:szCs w:val="22"/>
        </w:rPr>
        <w:t>riadení Komisie č.</w:t>
      </w:r>
      <w:r w:rsidR="005822BC">
        <w:rPr>
          <w:sz w:val="22"/>
          <w:szCs w:val="22"/>
        </w:rPr>
        <w:t xml:space="preserve"> </w:t>
      </w:r>
      <w:r w:rsidR="00CB4C15">
        <w:rPr>
          <w:sz w:val="22"/>
          <w:szCs w:val="22"/>
        </w:rPr>
        <w:t>454/2011/EÚ z </w:t>
      </w:r>
      <w:r w:rsidR="00CB4C15" w:rsidRPr="00CB4C15">
        <w:rPr>
          <w:sz w:val="22"/>
          <w:szCs w:val="22"/>
        </w:rPr>
        <w:t>5.</w:t>
      </w:r>
      <w:r w:rsidR="006A391B">
        <w:rPr>
          <w:sz w:val="22"/>
          <w:szCs w:val="22"/>
        </w:rPr>
        <w:t xml:space="preserve"> mája </w:t>
      </w:r>
      <w:r w:rsidR="00CB4C15" w:rsidRPr="00CB4C15">
        <w:rPr>
          <w:sz w:val="22"/>
          <w:szCs w:val="22"/>
        </w:rPr>
        <w:t>2011 a č. 62/2006/ES z 23.</w:t>
      </w:r>
      <w:r w:rsidR="006A391B">
        <w:rPr>
          <w:sz w:val="22"/>
          <w:szCs w:val="22"/>
        </w:rPr>
        <w:t xml:space="preserve"> decembra </w:t>
      </w:r>
      <w:r w:rsidR="00CB4C15" w:rsidRPr="00CB4C15">
        <w:rPr>
          <w:sz w:val="22"/>
          <w:szCs w:val="22"/>
        </w:rPr>
        <w:t>2005 o technickej špecifikáci</w:t>
      </w:r>
      <w:r w:rsidR="00CB4C15">
        <w:rPr>
          <w:sz w:val="22"/>
          <w:szCs w:val="22"/>
        </w:rPr>
        <w:t>i interoperability týkajúcej sa </w:t>
      </w:r>
      <w:r w:rsidR="00CB4C15" w:rsidRPr="00CB4C15">
        <w:rPr>
          <w:sz w:val="22"/>
          <w:szCs w:val="22"/>
        </w:rPr>
        <w:t>telematických aplikácií,</w:t>
      </w:r>
    </w:p>
    <w:p w:rsidR="000E41D5" w:rsidRPr="002D122E" w:rsidRDefault="002D122E" w:rsidP="002D122E">
      <w:pPr>
        <w:pStyle w:val="Odsekzoznamu"/>
        <w:numPr>
          <w:ilvl w:val="0"/>
          <w:numId w:val="81"/>
        </w:numPr>
        <w:autoSpaceDE w:val="0"/>
        <w:autoSpaceDN w:val="0"/>
        <w:adjustRightInd w:val="0"/>
        <w:jc w:val="both"/>
        <w:rPr>
          <w:sz w:val="22"/>
          <w:szCs w:val="22"/>
        </w:rPr>
      </w:pPr>
      <w:r w:rsidRPr="002D122E">
        <w:rPr>
          <w:sz w:val="22"/>
          <w:szCs w:val="22"/>
        </w:rPr>
        <w:t>zvýšenie bezpečnosti železničnej dopravy.</w:t>
      </w:r>
    </w:p>
    <w:p w:rsidR="000E41D5" w:rsidRDefault="008D24AC" w:rsidP="008D24AC">
      <w:pPr>
        <w:pStyle w:val="Tab"/>
      </w:pPr>
      <w:r w:rsidRPr="004F0234">
        <w:t>Výsledkové ukazovatele zodpovedajúce špecifickému cieľu</w:t>
      </w:r>
      <w:r>
        <w:t xml:space="preserve"> 5.2</w:t>
      </w:r>
    </w:p>
    <w:tbl>
      <w:tblPr>
        <w:tblStyle w:val="Mriekatabuky"/>
        <w:tblW w:w="9669" w:type="dxa"/>
        <w:jc w:val="center"/>
        <w:tblLayout w:type="fixed"/>
        <w:tblLook w:val="04A0"/>
      </w:tblPr>
      <w:tblGrid>
        <w:gridCol w:w="598"/>
        <w:gridCol w:w="1574"/>
        <w:gridCol w:w="904"/>
        <w:gridCol w:w="1008"/>
        <w:gridCol w:w="1316"/>
        <w:gridCol w:w="1329"/>
        <w:gridCol w:w="896"/>
        <w:gridCol w:w="798"/>
        <w:gridCol w:w="1246"/>
      </w:tblGrid>
      <w:tr w:rsidR="00A837FB" w:rsidRPr="008C1732" w:rsidTr="002E1021">
        <w:trPr>
          <w:trHeight w:val="487"/>
          <w:jc w:val="center"/>
        </w:trPr>
        <w:tc>
          <w:tcPr>
            <w:tcW w:w="598" w:type="dxa"/>
            <w:tcBorders>
              <w:bottom w:val="single" w:sz="4" w:space="0" w:color="auto"/>
            </w:tcBorders>
            <w:shd w:val="clear" w:color="auto" w:fill="C6D9F1" w:themeFill="text2" w:themeFillTint="33"/>
            <w:vAlign w:val="center"/>
          </w:tcPr>
          <w:p w:rsidR="00A837FB" w:rsidRPr="008C1732" w:rsidRDefault="00A837FB" w:rsidP="00816B1A">
            <w:pPr>
              <w:ind w:left="0"/>
              <w:jc w:val="center"/>
              <w:rPr>
                <w:b/>
                <w:sz w:val="18"/>
                <w:szCs w:val="18"/>
              </w:rPr>
            </w:pPr>
            <w:r>
              <w:rPr>
                <w:b/>
                <w:sz w:val="18"/>
                <w:szCs w:val="18"/>
              </w:rPr>
              <w:t>P. č.</w:t>
            </w:r>
          </w:p>
        </w:tc>
        <w:tc>
          <w:tcPr>
            <w:tcW w:w="1574" w:type="dxa"/>
            <w:tcBorders>
              <w:bottom w:val="single" w:sz="4" w:space="0" w:color="auto"/>
            </w:tcBorders>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Ukazovateľ</w:t>
            </w:r>
          </w:p>
        </w:tc>
        <w:tc>
          <w:tcPr>
            <w:tcW w:w="904" w:type="dxa"/>
            <w:tcBorders>
              <w:bottom w:val="single" w:sz="4" w:space="0" w:color="auto"/>
            </w:tcBorders>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Merná jednotka</w:t>
            </w:r>
          </w:p>
        </w:tc>
        <w:tc>
          <w:tcPr>
            <w:tcW w:w="1008" w:type="dxa"/>
            <w:tcBorders>
              <w:bottom w:val="single" w:sz="4" w:space="0" w:color="auto"/>
            </w:tcBorders>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Kategória regiónu</w:t>
            </w:r>
          </w:p>
        </w:tc>
        <w:tc>
          <w:tcPr>
            <w:tcW w:w="1316" w:type="dxa"/>
            <w:tcBorders>
              <w:bottom w:val="single" w:sz="4" w:space="0" w:color="auto"/>
            </w:tcBorders>
            <w:shd w:val="clear" w:color="auto" w:fill="C6D9F1" w:themeFill="text2" w:themeFillTint="33"/>
            <w:vAlign w:val="center"/>
          </w:tcPr>
          <w:p w:rsidR="00A837FB" w:rsidRPr="008C1732" w:rsidRDefault="00A837FB" w:rsidP="00816B1A">
            <w:pPr>
              <w:ind w:left="0"/>
              <w:jc w:val="center"/>
              <w:rPr>
                <w:b/>
                <w:sz w:val="18"/>
                <w:szCs w:val="18"/>
              </w:rPr>
            </w:pPr>
            <w:r>
              <w:rPr>
                <w:b/>
                <w:sz w:val="18"/>
                <w:szCs w:val="18"/>
              </w:rPr>
              <w:t>Východisková hodnota</w:t>
            </w:r>
          </w:p>
        </w:tc>
        <w:tc>
          <w:tcPr>
            <w:tcW w:w="1329" w:type="dxa"/>
            <w:tcBorders>
              <w:bottom w:val="single" w:sz="4" w:space="0" w:color="auto"/>
            </w:tcBorders>
            <w:shd w:val="clear" w:color="auto" w:fill="C6D9F1" w:themeFill="text2" w:themeFillTint="33"/>
            <w:vAlign w:val="center"/>
          </w:tcPr>
          <w:p w:rsidR="00A837FB" w:rsidRPr="008C1732" w:rsidRDefault="00A837FB" w:rsidP="00816B1A">
            <w:pPr>
              <w:ind w:left="0"/>
              <w:jc w:val="center"/>
              <w:rPr>
                <w:b/>
                <w:sz w:val="18"/>
                <w:szCs w:val="18"/>
              </w:rPr>
            </w:pPr>
            <w:r>
              <w:rPr>
                <w:b/>
                <w:sz w:val="18"/>
                <w:szCs w:val="18"/>
              </w:rPr>
              <w:t>Východiskový rok</w:t>
            </w:r>
          </w:p>
        </w:tc>
        <w:tc>
          <w:tcPr>
            <w:tcW w:w="896" w:type="dxa"/>
            <w:tcBorders>
              <w:bottom w:val="single" w:sz="4" w:space="0" w:color="auto"/>
            </w:tcBorders>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Cieľová hodnota (2023)</w:t>
            </w:r>
          </w:p>
        </w:tc>
        <w:tc>
          <w:tcPr>
            <w:tcW w:w="798" w:type="dxa"/>
            <w:tcBorders>
              <w:bottom w:val="single" w:sz="4" w:space="0" w:color="auto"/>
            </w:tcBorders>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Zdroj údajov</w:t>
            </w:r>
          </w:p>
        </w:tc>
        <w:tc>
          <w:tcPr>
            <w:tcW w:w="1246" w:type="dxa"/>
            <w:tcBorders>
              <w:bottom w:val="single" w:sz="4" w:space="0" w:color="auto"/>
            </w:tcBorders>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Frekvencia vykazovania</w:t>
            </w:r>
          </w:p>
        </w:tc>
      </w:tr>
      <w:tr w:rsidR="00A837FB" w:rsidRPr="00AB18C1" w:rsidTr="002E1021">
        <w:trPr>
          <w:trHeight w:val="680"/>
          <w:jc w:val="center"/>
        </w:trPr>
        <w:tc>
          <w:tcPr>
            <w:tcW w:w="598" w:type="dxa"/>
            <w:shd w:val="clear" w:color="auto" w:fill="auto"/>
            <w:vAlign w:val="center"/>
          </w:tcPr>
          <w:p w:rsidR="00A837FB" w:rsidRPr="00336C1F" w:rsidRDefault="00A837FB" w:rsidP="00816B1A">
            <w:pPr>
              <w:ind w:left="0"/>
              <w:jc w:val="center"/>
              <w:rPr>
                <w:sz w:val="20"/>
                <w:szCs w:val="20"/>
              </w:rPr>
            </w:pPr>
            <w:r>
              <w:rPr>
                <w:sz w:val="20"/>
                <w:szCs w:val="20"/>
              </w:rPr>
              <w:t>1.</w:t>
            </w:r>
          </w:p>
        </w:tc>
        <w:tc>
          <w:tcPr>
            <w:tcW w:w="1574" w:type="dxa"/>
            <w:shd w:val="clear" w:color="auto" w:fill="auto"/>
            <w:vAlign w:val="center"/>
          </w:tcPr>
          <w:p w:rsidR="00A837FB" w:rsidRPr="00AB18C1" w:rsidRDefault="002F2B02" w:rsidP="002F2B02">
            <w:pPr>
              <w:ind w:left="0"/>
              <w:rPr>
                <w:sz w:val="20"/>
                <w:szCs w:val="20"/>
              </w:rPr>
            </w:pPr>
            <w:r w:rsidRPr="00467062">
              <w:rPr>
                <w:sz w:val="20"/>
                <w:szCs w:val="20"/>
              </w:rPr>
              <w:t>Úroveň interoperability žele</w:t>
            </w:r>
            <w:r>
              <w:rPr>
                <w:sz w:val="20"/>
                <w:szCs w:val="20"/>
              </w:rPr>
              <w:t>z</w:t>
            </w:r>
            <w:r w:rsidRPr="00467062">
              <w:rPr>
                <w:sz w:val="20"/>
                <w:szCs w:val="20"/>
              </w:rPr>
              <w:t>ničnej infraštruktúry vyjadrená podielom siete (mimo TEN-T CORE) s implementovaným systémom ERTMS</w:t>
            </w:r>
          </w:p>
        </w:tc>
        <w:tc>
          <w:tcPr>
            <w:tcW w:w="904" w:type="dxa"/>
            <w:shd w:val="clear" w:color="auto" w:fill="auto"/>
            <w:vAlign w:val="center"/>
          </w:tcPr>
          <w:p w:rsidR="00A837FB" w:rsidRPr="00AB18C1" w:rsidRDefault="00D65B44" w:rsidP="00816B1A">
            <w:pPr>
              <w:ind w:left="0"/>
              <w:jc w:val="center"/>
              <w:rPr>
                <w:sz w:val="20"/>
                <w:szCs w:val="20"/>
              </w:rPr>
            </w:pPr>
            <w:r>
              <w:rPr>
                <w:sz w:val="20"/>
                <w:szCs w:val="20"/>
              </w:rPr>
              <w:t>%</w:t>
            </w:r>
          </w:p>
        </w:tc>
        <w:tc>
          <w:tcPr>
            <w:tcW w:w="1008" w:type="dxa"/>
            <w:shd w:val="clear" w:color="auto" w:fill="auto"/>
            <w:vAlign w:val="center"/>
          </w:tcPr>
          <w:p w:rsidR="00A837FB" w:rsidRPr="00AB18C1" w:rsidRDefault="00A837FB" w:rsidP="00816B1A">
            <w:pPr>
              <w:ind w:left="0"/>
              <w:jc w:val="center"/>
              <w:rPr>
                <w:sz w:val="20"/>
                <w:szCs w:val="20"/>
              </w:rPr>
            </w:pPr>
            <w:r w:rsidRPr="00AB18C1">
              <w:rPr>
                <w:sz w:val="20"/>
                <w:szCs w:val="20"/>
              </w:rPr>
              <w:t>N/A</w:t>
            </w:r>
          </w:p>
        </w:tc>
        <w:tc>
          <w:tcPr>
            <w:tcW w:w="1316" w:type="dxa"/>
            <w:vAlign w:val="center"/>
          </w:tcPr>
          <w:p w:rsidR="00A837FB" w:rsidRPr="00AB18C1" w:rsidRDefault="00A837FB" w:rsidP="00816B1A">
            <w:pPr>
              <w:jc w:val="center"/>
              <w:rPr>
                <w:sz w:val="20"/>
                <w:szCs w:val="20"/>
              </w:rPr>
            </w:pPr>
          </w:p>
        </w:tc>
        <w:tc>
          <w:tcPr>
            <w:tcW w:w="1329" w:type="dxa"/>
            <w:vAlign w:val="center"/>
          </w:tcPr>
          <w:p w:rsidR="00A837FB" w:rsidRPr="00AB18C1" w:rsidRDefault="00A837FB" w:rsidP="00816B1A">
            <w:pPr>
              <w:ind w:left="0"/>
              <w:jc w:val="center"/>
              <w:rPr>
                <w:sz w:val="20"/>
                <w:szCs w:val="20"/>
              </w:rPr>
            </w:pPr>
            <w:r w:rsidRPr="00AB18C1">
              <w:rPr>
                <w:sz w:val="20"/>
                <w:szCs w:val="20"/>
              </w:rPr>
              <w:t>2013</w:t>
            </w:r>
          </w:p>
        </w:tc>
        <w:tc>
          <w:tcPr>
            <w:tcW w:w="896" w:type="dxa"/>
            <w:shd w:val="clear" w:color="auto" w:fill="auto"/>
            <w:vAlign w:val="center"/>
          </w:tcPr>
          <w:p w:rsidR="00A837FB" w:rsidRPr="00AB18C1" w:rsidRDefault="00A837FB" w:rsidP="00816B1A">
            <w:pPr>
              <w:ind w:left="0"/>
              <w:jc w:val="center"/>
              <w:rPr>
                <w:sz w:val="20"/>
                <w:szCs w:val="20"/>
              </w:rPr>
            </w:pPr>
          </w:p>
        </w:tc>
        <w:tc>
          <w:tcPr>
            <w:tcW w:w="798" w:type="dxa"/>
            <w:vAlign w:val="center"/>
          </w:tcPr>
          <w:p w:rsidR="00A837FB" w:rsidRPr="00AB18C1" w:rsidRDefault="00A837FB" w:rsidP="00816B1A">
            <w:pPr>
              <w:ind w:left="0"/>
              <w:jc w:val="center"/>
              <w:rPr>
                <w:sz w:val="20"/>
                <w:szCs w:val="20"/>
              </w:rPr>
            </w:pPr>
            <w:r w:rsidRPr="00AB18C1">
              <w:rPr>
                <w:sz w:val="20"/>
                <w:szCs w:val="20"/>
              </w:rPr>
              <w:t>RO OPII</w:t>
            </w:r>
          </w:p>
        </w:tc>
        <w:tc>
          <w:tcPr>
            <w:tcW w:w="1246" w:type="dxa"/>
            <w:vAlign w:val="center"/>
          </w:tcPr>
          <w:p w:rsidR="00A837FB" w:rsidRPr="00AB18C1" w:rsidRDefault="00A837FB" w:rsidP="00816B1A">
            <w:pPr>
              <w:ind w:left="0"/>
              <w:jc w:val="center"/>
              <w:rPr>
                <w:sz w:val="20"/>
                <w:szCs w:val="20"/>
              </w:rPr>
            </w:pPr>
            <w:r w:rsidRPr="00AB18C1">
              <w:rPr>
                <w:sz w:val="20"/>
                <w:szCs w:val="20"/>
              </w:rPr>
              <w:t>Ročne</w:t>
            </w:r>
          </w:p>
        </w:tc>
      </w:tr>
    </w:tbl>
    <w:p w:rsidR="00A837FB" w:rsidRPr="00E3616E" w:rsidRDefault="00395D81" w:rsidP="00E3616E">
      <w:pPr>
        <w:rPr>
          <w:sz w:val="20"/>
          <w:szCs w:val="20"/>
        </w:rPr>
      </w:pPr>
      <w:bookmarkStart w:id="53" w:name="_Toc384029130"/>
      <w:r w:rsidRPr="008F243C">
        <w:rPr>
          <w:sz w:val="20"/>
          <w:szCs w:val="20"/>
          <w:u w:val="single"/>
        </w:rPr>
        <w:t>Pozn.</w:t>
      </w:r>
      <w:r w:rsidRPr="00E3616E">
        <w:rPr>
          <w:sz w:val="20"/>
          <w:szCs w:val="20"/>
        </w:rPr>
        <w:t>: Hodnoty ukazovateľov budú doplnené v ďalšom štádiu prípravy dokumentu.</w:t>
      </w:r>
      <w:bookmarkEnd w:id="53"/>
    </w:p>
    <w:p w:rsidR="00017B79" w:rsidRDefault="004A5562" w:rsidP="00D83282">
      <w:pPr>
        <w:pStyle w:val="Nadpis3"/>
      </w:pPr>
      <w:bookmarkStart w:id="54" w:name="_Toc385310710"/>
      <w:r>
        <w:t>A</w:t>
      </w:r>
      <w:r w:rsidR="00017B79">
        <w:t>ktivity</w:t>
      </w:r>
      <w:r>
        <w:t>, ktoré budú podporené v rámci investičnej priority</w:t>
      </w:r>
      <w:bookmarkEnd w:id="54"/>
    </w:p>
    <w:p w:rsidR="00D83282" w:rsidRPr="00D83282" w:rsidRDefault="00D83282" w:rsidP="00D83282">
      <w:pPr>
        <w:pStyle w:val="Nadpis4"/>
      </w:pPr>
      <w:r>
        <w:t>Opis typu a príklady aktivít</w:t>
      </w:r>
    </w:p>
    <w:p w:rsidR="00017B79" w:rsidRPr="00336C1F" w:rsidRDefault="00D83282" w:rsidP="00017B79">
      <w:pPr>
        <w:spacing w:before="180" w:after="120"/>
        <w:rPr>
          <w:sz w:val="22"/>
          <w:szCs w:val="22"/>
        </w:rPr>
      </w:pPr>
      <w:r>
        <w:rPr>
          <w:sz w:val="22"/>
          <w:szCs w:val="22"/>
          <w:u w:val="single"/>
        </w:rPr>
        <w:t>Investičná priorita 7d)</w:t>
      </w:r>
      <w:r w:rsidR="00017B79" w:rsidRPr="00D1658B">
        <w:rPr>
          <w:sz w:val="22"/>
          <w:szCs w:val="22"/>
          <w:u w:val="single"/>
        </w:rPr>
        <w:t xml:space="preserve"> bude napĺňan</w:t>
      </w:r>
      <w:r>
        <w:rPr>
          <w:sz w:val="22"/>
          <w:szCs w:val="22"/>
          <w:u w:val="single"/>
        </w:rPr>
        <w:t>á</w:t>
      </w:r>
      <w:r w:rsidR="00017B79" w:rsidRPr="00D1658B">
        <w:rPr>
          <w:sz w:val="22"/>
          <w:szCs w:val="22"/>
          <w:u w:val="single"/>
        </w:rPr>
        <w:t xml:space="preserve"> prostredníctvom nasledujúcich aktivít</w:t>
      </w:r>
      <w:r w:rsidR="00017B79" w:rsidRPr="00336C1F">
        <w:rPr>
          <w:sz w:val="22"/>
          <w:szCs w:val="22"/>
        </w:rPr>
        <w:t>:</w:t>
      </w:r>
    </w:p>
    <w:p w:rsidR="001D3D78" w:rsidRDefault="001D3D78" w:rsidP="00FE6025">
      <w:pPr>
        <w:numPr>
          <w:ilvl w:val="2"/>
          <w:numId w:val="32"/>
        </w:numPr>
        <w:tabs>
          <w:tab w:val="clear" w:pos="360"/>
        </w:tabs>
        <w:ind w:left="426" w:hanging="426"/>
        <w:jc w:val="both"/>
        <w:rPr>
          <w:sz w:val="22"/>
          <w:szCs w:val="22"/>
        </w:rPr>
      </w:pPr>
      <w:r>
        <w:rPr>
          <w:sz w:val="22"/>
          <w:szCs w:val="22"/>
        </w:rPr>
        <w:t>El</w:t>
      </w:r>
      <w:r w:rsidR="00C20BC1">
        <w:rPr>
          <w:sz w:val="22"/>
          <w:szCs w:val="22"/>
        </w:rPr>
        <w:t>ektrifikácia železničných tratí. Rozvoj systémov šetrných k životnému prostrediu, vrátane systémov s nízkou hlučnosťou a nízko uhlíkových dopravných systémov,</w:t>
      </w:r>
    </w:p>
    <w:p w:rsidR="001D3D78" w:rsidRDefault="001D3D78" w:rsidP="00FE6025">
      <w:pPr>
        <w:numPr>
          <w:ilvl w:val="2"/>
          <w:numId w:val="32"/>
        </w:numPr>
        <w:tabs>
          <w:tab w:val="clear" w:pos="360"/>
        </w:tabs>
        <w:ind w:left="426" w:hanging="426"/>
        <w:jc w:val="both"/>
        <w:rPr>
          <w:sz w:val="22"/>
          <w:szCs w:val="22"/>
        </w:rPr>
      </w:pPr>
      <w:r>
        <w:rPr>
          <w:sz w:val="22"/>
          <w:szCs w:val="22"/>
        </w:rPr>
        <w:t>Z</w:t>
      </w:r>
      <w:r w:rsidRPr="001D3D78">
        <w:rPr>
          <w:sz w:val="22"/>
          <w:szCs w:val="22"/>
        </w:rPr>
        <w:t>nižovanie bezpečnostných rizík v železničnej doprave (napr. odstraňovanie úrovňových križovaní s cestnou infraštruktúrou, modernizácia železničných priecestí),</w:t>
      </w:r>
    </w:p>
    <w:p w:rsidR="001D3D78" w:rsidRDefault="001D3D78" w:rsidP="00FE6025">
      <w:pPr>
        <w:numPr>
          <w:ilvl w:val="2"/>
          <w:numId w:val="32"/>
        </w:numPr>
        <w:tabs>
          <w:tab w:val="clear" w:pos="360"/>
        </w:tabs>
        <w:ind w:left="426" w:hanging="426"/>
        <w:jc w:val="both"/>
        <w:rPr>
          <w:sz w:val="22"/>
          <w:szCs w:val="22"/>
        </w:rPr>
      </w:pPr>
      <w:r>
        <w:rPr>
          <w:sz w:val="22"/>
          <w:szCs w:val="22"/>
        </w:rPr>
        <w:t>V</w:t>
      </w:r>
      <w:r w:rsidRPr="001D3D78">
        <w:rPr>
          <w:sz w:val="22"/>
          <w:szCs w:val="22"/>
        </w:rPr>
        <w:t>ýstavba a modernizácia prestupných terminálov železničnej osobnej dopravy a ich napojení na cestnú sieť,</w:t>
      </w:r>
    </w:p>
    <w:p w:rsidR="001D3D78" w:rsidRPr="001D3D78" w:rsidRDefault="001D3D78" w:rsidP="00FE6025">
      <w:pPr>
        <w:numPr>
          <w:ilvl w:val="2"/>
          <w:numId w:val="32"/>
        </w:numPr>
        <w:tabs>
          <w:tab w:val="clear" w:pos="360"/>
        </w:tabs>
        <w:ind w:left="426" w:hanging="426"/>
        <w:jc w:val="both"/>
        <w:rPr>
          <w:sz w:val="22"/>
          <w:szCs w:val="22"/>
        </w:rPr>
      </w:pPr>
      <w:r>
        <w:rPr>
          <w:sz w:val="22"/>
          <w:szCs w:val="22"/>
        </w:rPr>
        <w:t>V</w:t>
      </w:r>
      <w:r w:rsidRPr="001D3D78">
        <w:rPr>
          <w:sz w:val="22"/>
          <w:szCs w:val="22"/>
        </w:rPr>
        <w:t>ýstavba nových železničných zastávok,</w:t>
      </w:r>
      <w:r>
        <w:rPr>
          <w:sz w:val="22"/>
          <w:szCs w:val="22"/>
        </w:rPr>
        <w:t xml:space="preserve"> </w:t>
      </w:r>
      <w:r w:rsidRPr="001D3D78">
        <w:rPr>
          <w:sz w:val="22"/>
          <w:szCs w:val="22"/>
        </w:rPr>
        <w:t>zavádzanie štandardov tratí a staníc,</w:t>
      </w:r>
      <w:r>
        <w:rPr>
          <w:sz w:val="22"/>
          <w:szCs w:val="22"/>
        </w:rPr>
        <w:t xml:space="preserve"> optimalizácia grafikonu vlakovej dopravy,</w:t>
      </w:r>
    </w:p>
    <w:p w:rsidR="001D3D78" w:rsidRPr="00B42F79" w:rsidRDefault="003D4780" w:rsidP="00FE6025">
      <w:pPr>
        <w:numPr>
          <w:ilvl w:val="2"/>
          <w:numId w:val="32"/>
        </w:numPr>
        <w:tabs>
          <w:tab w:val="clear" w:pos="360"/>
        </w:tabs>
        <w:ind w:left="426" w:hanging="426"/>
        <w:jc w:val="both"/>
        <w:rPr>
          <w:sz w:val="22"/>
          <w:szCs w:val="22"/>
        </w:rPr>
      </w:pPr>
      <w:r w:rsidRPr="00B42F79">
        <w:rPr>
          <w:sz w:val="22"/>
          <w:szCs w:val="22"/>
        </w:rPr>
        <w:t>Vybudovanie a modernizácia technickej základne na opravu a údržbu vozového parku železničnej osobnej dopravy,</w:t>
      </w:r>
    </w:p>
    <w:p w:rsidR="001D3D78" w:rsidRDefault="001D3D78" w:rsidP="00FE6025">
      <w:pPr>
        <w:numPr>
          <w:ilvl w:val="2"/>
          <w:numId w:val="32"/>
        </w:numPr>
        <w:tabs>
          <w:tab w:val="clear" w:pos="360"/>
        </w:tabs>
        <w:ind w:left="426" w:hanging="426"/>
        <w:jc w:val="both"/>
        <w:rPr>
          <w:sz w:val="22"/>
          <w:szCs w:val="22"/>
        </w:rPr>
      </w:pPr>
      <w:r>
        <w:rPr>
          <w:sz w:val="22"/>
          <w:szCs w:val="22"/>
        </w:rPr>
        <w:lastRenderedPageBreak/>
        <w:t>M</w:t>
      </w:r>
      <w:r w:rsidRPr="001D3D78">
        <w:rPr>
          <w:sz w:val="22"/>
          <w:szCs w:val="22"/>
        </w:rPr>
        <w:t>odernizácia železničnej infraštruktúry v súvislosti so zabezpečením efektívneho colného konania,</w:t>
      </w:r>
    </w:p>
    <w:p w:rsidR="002D122E" w:rsidRPr="001D3D78" w:rsidRDefault="002D122E" w:rsidP="00FE6025">
      <w:pPr>
        <w:numPr>
          <w:ilvl w:val="2"/>
          <w:numId w:val="32"/>
        </w:numPr>
        <w:tabs>
          <w:tab w:val="clear" w:pos="360"/>
        </w:tabs>
        <w:ind w:left="426" w:hanging="426"/>
        <w:jc w:val="both"/>
        <w:rPr>
          <w:sz w:val="22"/>
          <w:szCs w:val="22"/>
        </w:rPr>
      </w:pPr>
      <w:r>
        <w:rPr>
          <w:sz w:val="22"/>
          <w:szCs w:val="22"/>
        </w:rPr>
        <w:t>Implementácia systémov ETCS a GSM-R,</w:t>
      </w:r>
      <w:r w:rsidR="00CB4C15">
        <w:rPr>
          <w:sz w:val="22"/>
          <w:szCs w:val="22"/>
        </w:rPr>
        <w:t xml:space="preserve"> TSI TAF/TAP,</w:t>
      </w:r>
    </w:p>
    <w:p w:rsidR="00DF74BE" w:rsidRPr="002E1021" w:rsidRDefault="001D3D78" w:rsidP="00D65B44">
      <w:pPr>
        <w:numPr>
          <w:ilvl w:val="2"/>
          <w:numId w:val="32"/>
        </w:numPr>
        <w:tabs>
          <w:tab w:val="clear" w:pos="360"/>
        </w:tabs>
        <w:ind w:left="426" w:hanging="426"/>
        <w:jc w:val="both"/>
        <w:rPr>
          <w:sz w:val="22"/>
          <w:szCs w:val="22"/>
        </w:rPr>
      </w:pPr>
      <w:r>
        <w:rPr>
          <w:sz w:val="22"/>
          <w:szCs w:val="22"/>
        </w:rPr>
        <w:t>P</w:t>
      </w:r>
      <w:r w:rsidR="00017B79">
        <w:rPr>
          <w:sz w:val="22"/>
          <w:szCs w:val="22"/>
        </w:rPr>
        <w:t>rojektová príprava.</w:t>
      </w:r>
    </w:p>
    <w:p w:rsidR="00017B79" w:rsidRPr="005139F6" w:rsidRDefault="00F71223" w:rsidP="00FE6025">
      <w:pPr>
        <w:numPr>
          <w:ilvl w:val="2"/>
          <w:numId w:val="33"/>
        </w:numPr>
        <w:tabs>
          <w:tab w:val="clear" w:pos="360"/>
        </w:tabs>
        <w:autoSpaceDE w:val="0"/>
        <w:autoSpaceDN w:val="0"/>
        <w:adjustRightInd w:val="0"/>
        <w:spacing w:before="180" w:after="120"/>
        <w:ind w:left="851" w:hanging="426"/>
        <w:jc w:val="both"/>
        <w:rPr>
          <w:i/>
          <w:color w:val="4F81BD" w:themeColor="accent1"/>
          <w:sz w:val="22"/>
          <w:szCs w:val="22"/>
        </w:rPr>
      </w:pPr>
      <w:r w:rsidRPr="005139F6">
        <w:rPr>
          <w:b/>
          <w:i/>
          <w:color w:val="4F81BD" w:themeColor="accent1"/>
          <w:sz w:val="22"/>
          <w:szCs w:val="22"/>
        </w:rPr>
        <w:t>Elektrifikácia železničných tratí</w:t>
      </w:r>
      <w:r w:rsidR="00C20BC1">
        <w:rPr>
          <w:b/>
          <w:i/>
          <w:color w:val="4F81BD" w:themeColor="accent1"/>
          <w:sz w:val="22"/>
          <w:szCs w:val="22"/>
        </w:rPr>
        <w:t xml:space="preserve">. Rozvoj systémov šetrných k životnému prostrediu, vrátane systémov s nízkou hlučnosťou a nízko uhlíkových dopravných systémov </w:t>
      </w:r>
    </w:p>
    <w:p w:rsidR="00F72A8E" w:rsidRDefault="00F72A8E" w:rsidP="00F72A8E">
      <w:pPr>
        <w:pStyle w:val="Odsekzoznamu"/>
        <w:autoSpaceDE w:val="0"/>
        <w:autoSpaceDN w:val="0"/>
        <w:adjustRightInd w:val="0"/>
        <w:spacing w:after="120"/>
        <w:ind w:left="0"/>
        <w:contextualSpacing w:val="0"/>
        <w:jc w:val="both"/>
        <w:rPr>
          <w:sz w:val="22"/>
          <w:szCs w:val="22"/>
        </w:rPr>
      </w:pPr>
      <w:r>
        <w:rPr>
          <w:sz w:val="22"/>
          <w:szCs w:val="22"/>
        </w:rPr>
        <w:t>Aktivity</w:t>
      </w:r>
      <w:r w:rsidR="000A19CB">
        <w:rPr>
          <w:sz w:val="22"/>
          <w:szCs w:val="22"/>
        </w:rPr>
        <w:t>, ktoré navrhuje MDVRR SR realizovať v rámci tejto časti</w:t>
      </w:r>
      <w:r>
        <w:rPr>
          <w:sz w:val="22"/>
          <w:szCs w:val="22"/>
        </w:rPr>
        <w:t xml:space="preserve"> </w:t>
      </w:r>
      <w:r w:rsidR="000A19CB">
        <w:rPr>
          <w:sz w:val="22"/>
          <w:szCs w:val="22"/>
        </w:rPr>
        <w:t xml:space="preserve">OP </w:t>
      </w:r>
      <w:r>
        <w:rPr>
          <w:sz w:val="22"/>
          <w:szCs w:val="22"/>
        </w:rPr>
        <w:t xml:space="preserve">priamo prispievajú k naplneniu vízie a cieľov dopravného sektora </w:t>
      </w:r>
      <w:r w:rsidR="000A19CB">
        <w:rPr>
          <w:sz w:val="22"/>
          <w:szCs w:val="22"/>
        </w:rPr>
        <w:t>identifikovaných v </w:t>
      </w:r>
      <w:r w:rsidR="00CB4C15">
        <w:rPr>
          <w:sz w:val="22"/>
          <w:szCs w:val="22"/>
        </w:rPr>
        <w:t>S</w:t>
      </w:r>
      <w:r w:rsidR="000A19CB">
        <w:rPr>
          <w:sz w:val="22"/>
          <w:szCs w:val="22"/>
        </w:rPr>
        <w:t>trategickom pláne (kap. 4.6). Ide o opatrenia súvisiace so znižovaním vplyvov na životné prostredie.</w:t>
      </w:r>
    </w:p>
    <w:p w:rsidR="005664A2" w:rsidRDefault="005664A2" w:rsidP="005664A2">
      <w:pPr>
        <w:pStyle w:val="Odsekzoznamu"/>
        <w:autoSpaceDE w:val="0"/>
        <w:autoSpaceDN w:val="0"/>
        <w:adjustRightInd w:val="0"/>
        <w:spacing w:before="180" w:after="120"/>
        <w:ind w:left="0"/>
        <w:contextualSpacing w:val="0"/>
        <w:jc w:val="both"/>
        <w:rPr>
          <w:sz w:val="22"/>
          <w:szCs w:val="22"/>
        </w:rPr>
      </w:pPr>
      <w:r>
        <w:rPr>
          <w:sz w:val="22"/>
          <w:szCs w:val="22"/>
        </w:rPr>
        <w:t xml:space="preserve">Aj napriek skutočnosti, že z hľadiska vplyvov na životné prostredie patrí železničná </w:t>
      </w:r>
      <w:r w:rsidRPr="005139F6">
        <w:rPr>
          <w:sz w:val="22"/>
          <w:szCs w:val="22"/>
        </w:rPr>
        <w:t xml:space="preserve">doprava k environmentálne </w:t>
      </w:r>
      <w:r>
        <w:rPr>
          <w:sz w:val="22"/>
          <w:szCs w:val="22"/>
        </w:rPr>
        <w:t xml:space="preserve">prijateľným módom, ďalšie opatrenia na </w:t>
      </w:r>
      <w:r w:rsidRPr="00F72A8E">
        <w:rPr>
          <w:sz w:val="22"/>
          <w:szCs w:val="22"/>
        </w:rPr>
        <w:t>znižovani</w:t>
      </w:r>
      <w:r>
        <w:rPr>
          <w:sz w:val="22"/>
          <w:szCs w:val="22"/>
        </w:rPr>
        <w:t>e</w:t>
      </w:r>
      <w:r w:rsidRPr="00F72A8E">
        <w:rPr>
          <w:sz w:val="22"/>
          <w:szCs w:val="22"/>
        </w:rPr>
        <w:t xml:space="preserve"> záťaže</w:t>
      </w:r>
      <w:r>
        <w:rPr>
          <w:sz w:val="22"/>
          <w:szCs w:val="22"/>
        </w:rPr>
        <w:t xml:space="preserve"> na </w:t>
      </w:r>
      <w:r w:rsidRPr="00F72A8E">
        <w:rPr>
          <w:sz w:val="22"/>
          <w:szCs w:val="22"/>
        </w:rPr>
        <w:t>životné prostredi</w:t>
      </w:r>
      <w:r>
        <w:rPr>
          <w:sz w:val="22"/>
          <w:szCs w:val="22"/>
        </w:rPr>
        <w:t>e</w:t>
      </w:r>
      <w:r w:rsidRPr="00F72A8E">
        <w:rPr>
          <w:sz w:val="22"/>
          <w:szCs w:val="22"/>
        </w:rPr>
        <w:t xml:space="preserve"> </w:t>
      </w:r>
      <w:r>
        <w:rPr>
          <w:sz w:val="22"/>
          <w:szCs w:val="22"/>
        </w:rPr>
        <w:t xml:space="preserve">a obyvateľstva </w:t>
      </w:r>
      <w:r w:rsidRPr="00F72A8E">
        <w:rPr>
          <w:sz w:val="22"/>
          <w:szCs w:val="22"/>
        </w:rPr>
        <w:t>je mo</w:t>
      </w:r>
      <w:r>
        <w:rPr>
          <w:sz w:val="22"/>
          <w:szCs w:val="22"/>
        </w:rPr>
        <w:t xml:space="preserve">žné rozvíjať najmä </w:t>
      </w:r>
      <w:r w:rsidRPr="00F72A8E">
        <w:rPr>
          <w:sz w:val="22"/>
          <w:szCs w:val="22"/>
        </w:rPr>
        <w:t>prostredníctvom</w:t>
      </w:r>
      <w:r>
        <w:rPr>
          <w:sz w:val="22"/>
          <w:szCs w:val="22"/>
        </w:rPr>
        <w:t xml:space="preserve"> elektrifikácie vyťažených železničných tratí. </w:t>
      </w:r>
      <w:r w:rsidRPr="00DA54CE">
        <w:rPr>
          <w:sz w:val="22"/>
          <w:szCs w:val="22"/>
        </w:rPr>
        <w:t>Elektrifikáciou tratí dochádza k znižovaniu závislosti dopravného sektora na ropných produktoch, respektíve zvyšovaní energetickej nezávislosti využitím viacerých zdrojov energie. V priebehu roku 2012 došlo na základe intenzívnej komunikácie MDVRR SR a jednotlivých železničných dopravcov operujúcich na sieti ŽSR k súhrnu potrieb a požiadaviek v nákladnej a osobnej doprave. Zo strany dopravcov bola chýbajúca elektrifikácia niektorých tratí označená ako jeden z najzávažnejších problémov.</w:t>
      </w:r>
      <w:r w:rsidRPr="00B82142">
        <w:rPr>
          <w:sz w:val="22"/>
          <w:szCs w:val="22"/>
        </w:rPr>
        <w:t xml:space="preserve"> </w:t>
      </w:r>
      <w:r w:rsidRPr="00DA54CE">
        <w:rPr>
          <w:sz w:val="22"/>
          <w:szCs w:val="22"/>
        </w:rPr>
        <w:t>Ku koncu roka 201</w:t>
      </w:r>
      <w:r>
        <w:rPr>
          <w:sz w:val="22"/>
          <w:szCs w:val="22"/>
        </w:rPr>
        <w:t>3</w:t>
      </w:r>
      <w:r w:rsidRPr="00DA54CE">
        <w:rPr>
          <w:sz w:val="22"/>
          <w:szCs w:val="22"/>
        </w:rPr>
        <w:t xml:space="preserve"> predstavovala dĺžka prevádzkova</w:t>
      </w:r>
      <w:r>
        <w:rPr>
          <w:sz w:val="22"/>
          <w:szCs w:val="22"/>
        </w:rPr>
        <w:t>ných železničných tratí SR 3 600</w:t>
      </w:r>
      <w:r w:rsidRPr="00DA54CE">
        <w:rPr>
          <w:sz w:val="22"/>
          <w:szCs w:val="22"/>
        </w:rPr>
        <w:t xml:space="preserve"> km, z toho elektrifikovaných bolo 1 5</w:t>
      </w:r>
      <w:r>
        <w:rPr>
          <w:sz w:val="22"/>
          <w:szCs w:val="22"/>
        </w:rPr>
        <w:t>86</w:t>
      </w:r>
      <w:r w:rsidRPr="00DA54CE">
        <w:rPr>
          <w:sz w:val="22"/>
          <w:szCs w:val="22"/>
        </w:rPr>
        <w:t xml:space="preserve"> km tratí, čo tvorí cca 44</w:t>
      </w:r>
      <w:r>
        <w:rPr>
          <w:sz w:val="22"/>
          <w:szCs w:val="22"/>
        </w:rPr>
        <w:t>,06</w:t>
      </w:r>
      <w:r w:rsidRPr="00DA54CE">
        <w:rPr>
          <w:sz w:val="22"/>
          <w:szCs w:val="22"/>
        </w:rPr>
        <w:t xml:space="preserve"> %.</w:t>
      </w:r>
    </w:p>
    <w:p w:rsidR="00765170" w:rsidRPr="005D04A1" w:rsidRDefault="000A19CB" w:rsidP="005F09BE">
      <w:pPr>
        <w:spacing w:before="180"/>
        <w:jc w:val="both"/>
        <w:rPr>
          <w:sz w:val="22"/>
          <w:szCs w:val="22"/>
        </w:rPr>
      </w:pPr>
      <w:r>
        <w:rPr>
          <w:sz w:val="22"/>
          <w:szCs w:val="22"/>
        </w:rPr>
        <w:t>Prvým z navrhovaných projektov</w:t>
      </w:r>
      <w:r w:rsidR="005664A2">
        <w:rPr>
          <w:sz w:val="22"/>
          <w:szCs w:val="22"/>
        </w:rPr>
        <w:t xml:space="preserve"> v rámci PO 5</w:t>
      </w:r>
      <w:r w:rsidR="00FE4640">
        <w:rPr>
          <w:sz w:val="22"/>
          <w:szCs w:val="22"/>
        </w:rPr>
        <w:t xml:space="preserve">, elektrifikácia železničnej trate v úseku </w:t>
      </w:r>
      <w:r w:rsidR="00FE4640" w:rsidRPr="00FE4640">
        <w:rPr>
          <w:b/>
          <w:sz w:val="22"/>
          <w:szCs w:val="22"/>
        </w:rPr>
        <w:t>Bánovce nad Ondavou – Humenné</w:t>
      </w:r>
      <w:r w:rsidR="00FE4640">
        <w:rPr>
          <w:sz w:val="22"/>
          <w:szCs w:val="22"/>
        </w:rPr>
        <w:t xml:space="preserve">, </w:t>
      </w:r>
      <w:r>
        <w:rPr>
          <w:sz w:val="22"/>
          <w:szCs w:val="22"/>
        </w:rPr>
        <w:t>je umiestený na Východnom Slovensku v</w:t>
      </w:r>
      <w:r w:rsidR="00FE4640">
        <w:rPr>
          <w:sz w:val="22"/>
          <w:szCs w:val="22"/>
        </w:rPr>
        <w:t> </w:t>
      </w:r>
      <w:r>
        <w:rPr>
          <w:sz w:val="22"/>
          <w:szCs w:val="22"/>
        </w:rPr>
        <w:t>K</w:t>
      </w:r>
      <w:r w:rsidR="00FE4640">
        <w:rPr>
          <w:sz w:val="22"/>
          <w:szCs w:val="22"/>
        </w:rPr>
        <w:t>ošickom kraji</w:t>
      </w:r>
      <w:r>
        <w:rPr>
          <w:sz w:val="22"/>
          <w:szCs w:val="22"/>
        </w:rPr>
        <w:t xml:space="preserve">. </w:t>
      </w:r>
      <w:r w:rsidRPr="000A19CB">
        <w:rPr>
          <w:sz w:val="22"/>
          <w:szCs w:val="22"/>
        </w:rPr>
        <w:t xml:space="preserve">Košický región má veľký potenciál </w:t>
      </w:r>
      <w:r w:rsidR="00D87443">
        <w:rPr>
          <w:sz w:val="22"/>
          <w:szCs w:val="22"/>
        </w:rPr>
        <w:t>na</w:t>
      </w:r>
      <w:r w:rsidR="00FE4640">
        <w:rPr>
          <w:sz w:val="22"/>
          <w:szCs w:val="22"/>
        </w:rPr>
        <w:t> </w:t>
      </w:r>
      <w:r w:rsidRPr="000A19CB">
        <w:rPr>
          <w:sz w:val="22"/>
          <w:szCs w:val="22"/>
        </w:rPr>
        <w:t>zlepšenie železničného spojenia</w:t>
      </w:r>
      <w:r w:rsidR="00D87443">
        <w:rPr>
          <w:sz w:val="22"/>
          <w:szCs w:val="22"/>
        </w:rPr>
        <w:t>, avšak</w:t>
      </w:r>
      <w:r w:rsidRPr="000A19CB">
        <w:rPr>
          <w:sz w:val="22"/>
          <w:szCs w:val="22"/>
        </w:rPr>
        <w:t xml:space="preserve"> potrebuje </w:t>
      </w:r>
      <w:r w:rsidR="00D87443">
        <w:rPr>
          <w:sz w:val="22"/>
          <w:szCs w:val="22"/>
        </w:rPr>
        <w:t>investičné</w:t>
      </w:r>
      <w:r w:rsidRPr="000A19CB">
        <w:rPr>
          <w:sz w:val="22"/>
          <w:szCs w:val="22"/>
        </w:rPr>
        <w:t xml:space="preserve"> stimuly </w:t>
      </w:r>
      <w:r w:rsidR="005F09BE">
        <w:rPr>
          <w:sz w:val="22"/>
          <w:szCs w:val="22"/>
        </w:rPr>
        <w:t>na</w:t>
      </w:r>
      <w:r w:rsidRPr="000A19CB">
        <w:rPr>
          <w:sz w:val="22"/>
          <w:szCs w:val="22"/>
        </w:rPr>
        <w:t xml:space="preserve"> zlepšenie</w:t>
      </w:r>
      <w:r>
        <w:rPr>
          <w:sz w:val="22"/>
          <w:szCs w:val="22"/>
        </w:rPr>
        <w:t xml:space="preserve"> </w:t>
      </w:r>
      <w:r w:rsidRPr="000A19CB">
        <w:rPr>
          <w:sz w:val="22"/>
          <w:szCs w:val="22"/>
        </w:rPr>
        <w:t>dopravnej infraštruk</w:t>
      </w:r>
      <w:r w:rsidR="00D87443">
        <w:rPr>
          <w:sz w:val="22"/>
          <w:szCs w:val="22"/>
        </w:rPr>
        <w:t>túry. Nosnou železničnou líniou na východ od Košíc, ktorá je súčasťou základnej siete TEN-T</w:t>
      </w:r>
      <w:r w:rsidR="00FE4640">
        <w:rPr>
          <w:sz w:val="22"/>
          <w:szCs w:val="22"/>
        </w:rPr>
        <w:t>,</w:t>
      </w:r>
      <w:r w:rsidR="00D87443">
        <w:rPr>
          <w:sz w:val="22"/>
          <w:szCs w:val="22"/>
        </w:rPr>
        <w:t xml:space="preserve"> je dvojkoľajná elektrifikovaná trať Košice – Čierna nad Tisou – št. hr. SR/Ukrajina. </w:t>
      </w:r>
      <w:r w:rsidR="00FE4640">
        <w:rPr>
          <w:sz w:val="22"/>
          <w:szCs w:val="22"/>
        </w:rPr>
        <w:t>Na </w:t>
      </w:r>
      <w:r w:rsidR="00D87443">
        <w:rPr>
          <w:sz w:val="22"/>
          <w:szCs w:val="22"/>
        </w:rPr>
        <w:t xml:space="preserve">túto trať nadväzuje jednokoľajná trať do Humenného a následne Medzilaboriec, avšak </w:t>
      </w:r>
      <w:r w:rsidR="005F09BE">
        <w:rPr>
          <w:sz w:val="22"/>
          <w:szCs w:val="22"/>
        </w:rPr>
        <w:t>trať je e</w:t>
      </w:r>
      <w:r w:rsidR="00D87443">
        <w:rPr>
          <w:sz w:val="22"/>
          <w:szCs w:val="22"/>
        </w:rPr>
        <w:t xml:space="preserve">lektrifikovaná len v úseku Michaľany – Bánovce nad Ondavou. </w:t>
      </w:r>
      <w:r w:rsidR="00FE4640">
        <w:rPr>
          <w:sz w:val="22"/>
          <w:szCs w:val="22"/>
        </w:rPr>
        <w:t xml:space="preserve">Z tohto dôvodu je cieľom </w:t>
      </w:r>
      <w:r w:rsidR="005F09BE">
        <w:rPr>
          <w:sz w:val="22"/>
          <w:szCs w:val="22"/>
        </w:rPr>
        <w:t xml:space="preserve">RO OPII </w:t>
      </w:r>
      <w:r w:rsidR="00FE4640">
        <w:rPr>
          <w:sz w:val="22"/>
          <w:szCs w:val="22"/>
        </w:rPr>
        <w:t xml:space="preserve">zabezpečiť elektrifikáciu nadväzujúceho úseku v smere na </w:t>
      </w:r>
      <w:r w:rsidR="00FE4640" w:rsidRPr="00D2182F">
        <w:rPr>
          <w:b/>
          <w:sz w:val="22"/>
          <w:szCs w:val="22"/>
        </w:rPr>
        <w:t>Humenné</w:t>
      </w:r>
      <w:r w:rsidR="005F09BE">
        <w:rPr>
          <w:sz w:val="22"/>
          <w:szCs w:val="22"/>
        </w:rPr>
        <w:t xml:space="preserve">, ktoré </w:t>
      </w:r>
      <w:r w:rsidR="00FE4640">
        <w:rPr>
          <w:sz w:val="22"/>
          <w:szCs w:val="22"/>
        </w:rPr>
        <w:t>je</w:t>
      </w:r>
      <w:r w:rsidR="005F09BE">
        <w:rPr>
          <w:sz w:val="22"/>
          <w:szCs w:val="22"/>
        </w:rPr>
        <w:t xml:space="preserve"> na tejto línii </w:t>
      </w:r>
      <w:r w:rsidR="00FE4640">
        <w:rPr>
          <w:sz w:val="22"/>
          <w:szCs w:val="22"/>
        </w:rPr>
        <w:t>v</w:t>
      </w:r>
      <w:r w:rsidR="00D87443">
        <w:rPr>
          <w:sz w:val="22"/>
          <w:szCs w:val="22"/>
        </w:rPr>
        <w:t xml:space="preserve">ýznamným železničným uzlom </w:t>
      </w:r>
      <w:r w:rsidR="00FE4640">
        <w:rPr>
          <w:sz w:val="22"/>
          <w:szCs w:val="22"/>
        </w:rPr>
        <w:t>s významnými prepravnými prúdmi.</w:t>
      </w:r>
      <w:r w:rsidR="00F42982">
        <w:rPr>
          <w:sz w:val="22"/>
          <w:szCs w:val="22"/>
        </w:rPr>
        <w:t xml:space="preserve"> Dĺžka úseku</w:t>
      </w:r>
      <w:r w:rsidR="005F09BE">
        <w:rPr>
          <w:sz w:val="22"/>
          <w:szCs w:val="22"/>
        </w:rPr>
        <w:t xml:space="preserve"> plánovaného na </w:t>
      </w:r>
      <w:r w:rsidR="00F42982">
        <w:rPr>
          <w:sz w:val="22"/>
          <w:szCs w:val="22"/>
        </w:rPr>
        <w:t>elektrifikáciu je 33 km.</w:t>
      </w:r>
    </w:p>
    <w:p w:rsidR="00F72A8E" w:rsidRDefault="000A19CB" w:rsidP="000A19CB">
      <w:pPr>
        <w:spacing w:before="180"/>
        <w:jc w:val="both"/>
        <w:rPr>
          <w:sz w:val="22"/>
          <w:szCs w:val="22"/>
        </w:rPr>
      </w:pPr>
      <w:r w:rsidRPr="000A19CB">
        <w:rPr>
          <w:sz w:val="22"/>
          <w:szCs w:val="22"/>
        </w:rPr>
        <w:t xml:space="preserve">Cieľom </w:t>
      </w:r>
      <w:r w:rsidR="00FE4640">
        <w:rPr>
          <w:sz w:val="22"/>
          <w:szCs w:val="22"/>
        </w:rPr>
        <w:t xml:space="preserve">projektu </w:t>
      </w:r>
      <w:r w:rsidRPr="000A19CB">
        <w:rPr>
          <w:sz w:val="22"/>
          <w:szCs w:val="22"/>
        </w:rPr>
        <w:t>je dosiahnuť lepší dopravný komfort cestujúcich zlepšením dynamiky jazdy a lepšou vybavenosťou trate. Zlepší</w:t>
      </w:r>
      <w:r>
        <w:rPr>
          <w:sz w:val="22"/>
          <w:szCs w:val="22"/>
        </w:rPr>
        <w:t xml:space="preserve"> </w:t>
      </w:r>
      <w:r w:rsidRPr="000A19CB">
        <w:rPr>
          <w:sz w:val="22"/>
          <w:szCs w:val="22"/>
        </w:rPr>
        <w:t>sa aj súbeh osobných a nákladných vlakov na elektrifikovanom úseku. Ďalším cieľom je zvýšenie parametrov trate a</w:t>
      </w:r>
      <w:r>
        <w:rPr>
          <w:sz w:val="22"/>
          <w:szCs w:val="22"/>
        </w:rPr>
        <w:t xml:space="preserve"> </w:t>
      </w:r>
      <w:r w:rsidRPr="000A19CB">
        <w:rPr>
          <w:sz w:val="22"/>
          <w:szCs w:val="22"/>
        </w:rPr>
        <w:t>zlepšenie využitia pracovnej sily.</w:t>
      </w:r>
      <w:r>
        <w:rPr>
          <w:sz w:val="22"/>
          <w:szCs w:val="22"/>
        </w:rPr>
        <w:t xml:space="preserve"> </w:t>
      </w:r>
      <w:r w:rsidR="00FE4640">
        <w:rPr>
          <w:sz w:val="22"/>
          <w:szCs w:val="22"/>
        </w:rPr>
        <w:t>Elektrifikáciou trate sa </w:t>
      </w:r>
      <w:r w:rsidRPr="000A19CB">
        <w:rPr>
          <w:sz w:val="22"/>
          <w:szCs w:val="22"/>
        </w:rPr>
        <w:t>umožní pripojenie vlakovej dopravy uvedeného úseku do integrovaného</w:t>
      </w:r>
      <w:r>
        <w:rPr>
          <w:sz w:val="22"/>
          <w:szCs w:val="22"/>
        </w:rPr>
        <w:t xml:space="preserve"> </w:t>
      </w:r>
      <w:r w:rsidRPr="000A19CB">
        <w:rPr>
          <w:sz w:val="22"/>
          <w:szCs w:val="22"/>
        </w:rPr>
        <w:t>dopravného systému</w:t>
      </w:r>
      <w:r>
        <w:rPr>
          <w:sz w:val="22"/>
          <w:szCs w:val="22"/>
        </w:rPr>
        <w:t xml:space="preserve"> </w:t>
      </w:r>
      <w:r w:rsidRPr="000A19CB">
        <w:rPr>
          <w:sz w:val="22"/>
          <w:szCs w:val="22"/>
        </w:rPr>
        <w:t>Košíc.</w:t>
      </w:r>
      <w:r w:rsidR="00FE4640">
        <w:rPr>
          <w:sz w:val="22"/>
          <w:szCs w:val="22"/>
        </w:rPr>
        <w:t xml:space="preserve"> Projekt bude nadväzovať na </w:t>
      </w:r>
      <w:r w:rsidR="00F42982">
        <w:rPr>
          <w:sz w:val="22"/>
          <w:szCs w:val="22"/>
        </w:rPr>
        <w:t>aktivity programo</w:t>
      </w:r>
      <w:r w:rsidR="005D5247">
        <w:rPr>
          <w:sz w:val="22"/>
          <w:szCs w:val="22"/>
        </w:rPr>
        <w:t>vého obdobia 2007 – 2013, kedy začala projektová príprava projektu</w:t>
      </w:r>
      <w:r w:rsidR="00F42982">
        <w:rPr>
          <w:sz w:val="22"/>
          <w:szCs w:val="22"/>
        </w:rPr>
        <w:t xml:space="preserve">. </w:t>
      </w:r>
      <w:r w:rsidR="005D5247">
        <w:rPr>
          <w:sz w:val="22"/>
          <w:szCs w:val="22"/>
        </w:rPr>
        <w:t xml:space="preserve">V rámci realizácie tohto projektu sa počíta aj s realizáciou terminálu integrovanej osobnej prepravy v Trebišove. </w:t>
      </w:r>
      <w:r w:rsidR="00F42982">
        <w:rPr>
          <w:sz w:val="22"/>
          <w:szCs w:val="22"/>
        </w:rPr>
        <w:t xml:space="preserve">Zároveň bude projekt </w:t>
      </w:r>
      <w:r w:rsidR="00FE4640">
        <w:rPr>
          <w:sz w:val="22"/>
          <w:szCs w:val="22"/>
        </w:rPr>
        <w:t>komplementár</w:t>
      </w:r>
      <w:r w:rsidR="002E1021">
        <w:rPr>
          <w:sz w:val="22"/>
          <w:szCs w:val="22"/>
        </w:rPr>
        <w:t>ne doplnený zo </w:t>
      </w:r>
      <w:r w:rsidR="00F42982">
        <w:rPr>
          <w:sz w:val="22"/>
          <w:szCs w:val="22"/>
        </w:rPr>
        <w:t>zdrojov PO 3, v rámci ktorej sa predpokladá v</w:t>
      </w:r>
      <w:r w:rsidR="005D5247">
        <w:rPr>
          <w:sz w:val="22"/>
          <w:szCs w:val="22"/>
        </w:rPr>
        <w:t>ýstavba terminálu</w:t>
      </w:r>
      <w:r w:rsidR="00F42982">
        <w:rPr>
          <w:sz w:val="22"/>
          <w:szCs w:val="22"/>
        </w:rPr>
        <w:t xml:space="preserve"> osobnej prepravy</w:t>
      </w:r>
      <w:r w:rsidR="005D5247">
        <w:rPr>
          <w:sz w:val="22"/>
          <w:szCs w:val="22"/>
        </w:rPr>
        <w:t xml:space="preserve"> v Michalovciach.</w:t>
      </w:r>
    </w:p>
    <w:p w:rsidR="00660DE4" w:rsidRDefault="00FE4640" w:rsidP="004C6D40">
      <w:pPr>
        <w:spacing w:before="180"/>
        <w:jc w:val="both"/>
        <w:rPr>
          <w:sz w:val="22"/>
          <w:szCs w:val="22"/>
        </w:rPr>
      </w:pPr>
      <w:r>
        <w:rPr>
          <w:sz w:val="22"/>
          <w:szCs w:val="22"/>
        </w:rPr>
        <w:t xml:space="preserve">Ako už bolo uvedené, </w:t>
      </w:r>
      <w:r w:rsidR="00F42982">
        <w:rPr>
          <w:sz w:val="22"/>
          <w:szCs w:val="22"/>
        </w:rPr>
        <w:t xml:space="preserve">Košice sú </w:t>
      </w:r>
      <w:r>
        <w:rPr>
          <w:sz w:val="22"/>
          <w:szCs w:val="22"/>
        </w:rPr>
        <w:t>dô</w:t>
      </w:r>
      <w:r w:rsidR="004C6D40">
        <w:rPr>
          <w:sz w:val="22"/>
          <w:szCs w:val="22"/>
        </w:rPr>
        <w:t>ležitým železničným uzlom Východného Slovenska</w:t>
      </w:r>
      <w:r w:rsidR="00F42982">
        <w:rPr>
          <w:sz w:val="22"/>
          <w:szCs w:val="22"/>
        </w:rPr>
        <w:t xml:space="preserve">. </w:t>
      </w:r>
      <w:r w:rsidR="00B476FF">
        <w:rPr>
          <w:sz w:val="22"/>
          <w:szCs w:val="22"/>
        </w:rPr>
        <w:t>Na juhozápad od</w:t>
      </w:r>
      <w:r w:rsidR="004C6D40">
        <w:rPr>
          <w:sz w:val="22"/>
          <w:szCs w:val="22"/>
        </w:rPr>
        <w:t xml:space="preserve"> Košíc </w:t>
      </w:r>
      <w:r w:rsidR="00B476FF">
        <w:rPr>
          <w:sz w:val="22"/>
          <w:szCs w:val="22"/>
        </w:rPr>
        <w:t>smeruje</w:t>
      </w:r>
      <w:r w:rsidR="00F42982">
        <w:rPr>
          <w:sz w:val="22"/>
          <w:szCs w:val="22"/>
        </w:rPr>
        <w:t xml:space="preserve"> čiastočne dvojkoľajná trať do </w:t>
      </w:r>
      <w:r w:rsidR="004C6D40">
        <w:rPr>
          <w:sz w:val="22"/>
          <w:szCs w:val="22"/>
        </w:rPr>
        <w:t>Plešivca a Zvolena, ktor</w:t>
      </w:r>
      <w:r w:rsidR="002E1021">
        <w:rPr>
          <w:sz w:val="22"/>
          <w:szCs w:val="22"/>
        </w:rPr>
        <w:t>á je však elektrifikovaná len v </w:t>
      </w:r>
      <w:r w:rsidR="004C6D40">
        <w:rPr>
          <w:sz w:val="22"/>
          <w:szCs w:val="22"/>
        </w:rPr>
        <w:t>úseku Košice – Ha</w:t>
      </w:r>
      <w:r w:rsidR="000767A2">
        <w:rPr>
          <w:sz w:val="22"/>
          <w:szCs w:val="22"/>
        </w:rPr>
        <w:t>niska pri Košiciach.</w:t>
      </w:r>
      <w:r w:rsidR="0016202B">
        <w:rPr>
          <w:sz w:val="22"/>
          <w:szCs w:val="22"/>
        </w:rPr>
        <w:t xml:space="preserve"> Trať je súčasťou hlavného južného železničného koridoru Košice – Zvolen – Bratislava, ktorý je zaradený do súhrnnej siete TEN-T.</w:t>
      </w:r>
      <w:r w:rsidR="000767A2">
        <w:rPr>
          <w:sz w:val="22"/>
          <w:szCs w:val="22"/>
        </w:rPr>
        <w:t xml:space="preserve"> Zámerom je </w:t>
      </w:r>
      <w:r w:rsidR="004C6D40">
        <w:rPr>
          <w:sz w:val="22"/>
          <w:szCs w:val="22"/>
        </w:rPr>
        <w:t xml:space="preserve">kontinuálne pokračovať v elektrifikačných prácach v smere na Banskobystrický kraj (prioritne v úseku </w:t>
      </w:r>
      <w:r w:rsidR="004C6D40" w:rsidRPr="00D65742">
        <w:rPr>
          <w:b/>
          <w:sz w:val="22"/>
          <w:szCs w:val="22"/>
        </w:rPr>
        <w:t>Haniska pri Košiciach – Moldava nad Bodvou</w:t>
      </w:r>
      <w:r w:rsidR="0016202B">
        <w:rPr>
          <w:b/>
          <w:sz w:val="22"/>
          <w:szCs w:val="22"/>
        </w:rPr>
        <w:t xml:space="preserve"> </w:t>
      </w:r>
      <w:r w:rsidR="0016202B">
        <w:rPr>
          <w:sz w:val="22"/>
          <w:szCs w:val="22"/>
        </w:rPr>
        <w:t>a výhľadovo v úsekoch Moldava nad Bodvou – Fiľakovo a Fiľakovo - Zvolen</w:t>
      </w:r>
      <w:r w:rsidR="004C6D40">
        <w:rPr>
          <w:sz w:val="22"/>
          <w:szCs w:val="22"/>
        </w:rPr>
        <w:t>).</w:t>
      </w:r>
      <w:r w:rsidR="00F42982">
        <w:rPr>
          <w:sz w:val="22"/>
          <w:szCs w:val="22"/>
        </w:rPr>
        <w:t xml:space="preserve"> Dĺžka úseku plánovaného na elektrifikáciu je cca 20 km.</w:t>
      </w:r>
    </w:p>
    <w:p w:rsidR="00017B79" w:rsidRPr="005139F6" w:rsidRDefault="00CD58C4" w:rsidP="00FE6025">
      <w:pPr>
        <w:numPr>
          <w:ilvl w:val="2"/>
          <w:numId w:val="33"/>
        </w:numPr>
        <w:tabs>
          <w:tab w:val="clear" w:pos="360"/>
        </w:tabs>
        <w:spacing w:before="180" w:after="120"/>
        <w:ind w:left="851" w:hanging="425"/>
        <w:jc w:val="both"/>
        <w:rPr>
          <w:b/>
          <w:i/>
          <w:color w:val="4F81BD" w:themeColor="accent1"/>
          <w:sz w:val="22"/>
          <w:szCs w:val="22"/>
        </w:rPr>
      </w:pPr>
      <w:r w:rsidRPr="005139F6">
        <w:rPr>
          <w:b/>
          <w:i/>
          <w:color w:val="4F81BD" w:themeColor="accent1"/>
          <w:sz w:val="22"/>
          <w:szCs w:val="22"/>
        </w:rPr>
        <w:t>Znižovanie bezpečnostných rizík v železničnej doprave (napr. odstraňovanie úrovňových križovaní s cestnou infraštruktúrou, modernizácia železničných priecestí)</w:t>
      </w:r>
    </w:p>
    <w:p w:rsidR="001A3F93" w:rsidRDefault="006A14F4" w:rsidP="001A3F93">
      <w:pPr>
        <w:spacing w:before="180"/>
        <w:jc w:val="both"/>
        <w:rPr>
          <w:sz w:val="22"/>
          <w:szCs w:val="22"/>
        </w:rPr>
      </w:pPr>
      <w:r w:rsidRPr="005426DB">
        <w:rPr>
          <w:sz w:val="22"/>
          <w:szCs w:val="22"/>
        </w:rPr>
        <w:t xml:space="preserve">Aj napriek pomerne nízkej nehodovosti na železnici </w:t>
      </w:r>
      <w:r>
        <w:rPr>
          <w:sz w:val="22"/>
          <w:szCs w:val="22"/>
        </w:rPr>
        <w:t xml:space="preserve">v ostatných rokoch </w:t>
      </w:r>
      <w:r w:rsidRPr="005426DB">
        <w:rPr>
          <w:sz w:val="22"/>
          <w:szCs w:val="22"/>
        </w:rPr>
        <w:t xml:space="preserve">je </w:t>
      </w:r>
      <w:r>
        <w:rPr>
          <w:sz w:val="22"/>
          <w:szCs w:val="22"/>
        </w:rPr>
        <w:t>potrebné</w:t>
      </w:r>
      <w:r w:rsidRPr="005426DB">
        <w:rPr>
          <w:sz w:val="22"/>
          <w:szCs w:val="22"/>
        </w:rPr>
        <w:t xml:space="preserve"> pokračovať v</w:t>
      </w:r>
      <w:r>
        <w:rPr>
          <w:sz w:val="22"/>
          <w:szCs w:val="22"/>
        </w:rPr>
        <w:t> </w:t>
      </w:r>
      <w:r w:rsidRPr="005426DB">
        <w:rPr>
          <w:sz w:val="22"/>
          <w:szCs w:val="22"/>
        </w:rPr>
        <w:t>trende znižovania bezpečnostných rizík, a</w:t>
      </w:r>
      <w:r>
        <w:rPr>
          <w:sz w:val="22"/>
          <w:szCs w:val="22"/>
        </w:rPr>
        <w:t> </w:t>
      </w:r>
      <w:r w:rsidRPr="005426DB">
        <w:rPr>
          <w:sz w:val="22"/>
          <w:szCs w:val="22"/>
        </w:rPr>
        <w:t>to pri vnútorných</w:t>
      </w:r>
      <w:r>
        <w:rPr>
          <w:sz w:val="22"/>
          <w:szCs w:val="22"/>
        </w:rPr>
        <w:t xml:space="preserve">, tak aj vonkajších rizikách. Medzi najdôležitejšie </w:t>
      </w:r>
      <w:r w:rsidR="001A3F93">
        <w:rPr>
          <w:sz w:val="22"/>
          <w:szCs w:val="22"/>
        </w:rPr>
        <w:t xml:space="preserve">infraštruktúrne </w:t>
      </w:r>
      <w:r>
        <w:rPr>
          <w:sz w:val="22"/>
          <w:szCs w:val="22"/>
        </w:rPr>
        <w:t xml:space="preserve">opatrenia, na ktoré je potrebné sústrediť pozornosť </w:t>
      </w:r>
      <w:r w:rsidR="001A3F93">
        <w:rPr>
          <w:sz w:val="22"/>
          <w:szCs w:val="22"/>
        </w:rPr>
        <w:t>je možné</w:t>
      </w:r>
      <w:r>
        <w:rPr>
          <w:sz w:val="22"/>
          <w:szCs w:val="22"/>
        </w:rPr>
        <w:t xml:space="preserve"> </w:t>
      </w:r>
      <w:r w:rsidR="001A3F93">
        <w:rPr>
          <w:sz w:val="22"/>
          <w:szCs w:val="22"/>
        </w:rPr>
        <w:t>zaradiť agendy zvyšovania bezpečnosti</w:t>
      </w:r>
      <w:r w:rsidR="00AF71BD">
        <w:rPr>
          <w:sz w:val="22"/>
          <w:szCs w:val="22"/>
        </w:rPr>
        <w:t xml:space="preserve"> na železničných priecestiach.</w:t>
      </w:r>
    </w:p>
    <w:p w:rsidR="006A14F4" w:rsidRDefault="001A3F93" w:rsidP="001A3F93">
      <w:pPr>
        <w:spacing w:before="180"/>
        <w:jc w:val="both"/>
        <w:rPr>
          <w:sz w:val="22"/>
          <w:szCs w:val="22"/>
        </w:rPr>
      </w:pPr>
      <w:r>
        <w:rPr>
          <w:sz w:val="22"/>
          <w:szCs w:val="22"/>
        </w:rPr>
        <w:lastRenderedPageBreak/>
        <w:t>Železničné priecestie vo forme úrovňového križovania</w:t>
      </w:r>
      <w:r w:rsidRPr="005426DB">
        <w:rPr>
          <w:sz w:val="22"/>
          <w:szCs w:val="22"/>
        </w:rPr>
        <w:t xml:space="preserve"> železničnej trate a</w:t>
      </w:r>
      <w:r>
        <w:rPr>
          <w:sz w:val="22"/>
          <w:szCs w:val="22"/>
        </w:rPr>
        <w:t> </w:t>
      </w:r>
      <w:r w:rsidRPr="005426DB">
        <w:rPr>
          <w:sz w:val="22"/>
          <w:szCs w:val="22"/>
        </w:rPr>
        <w:t>cestnej komun</w:t>
      </w:r>
      <w:r>
        <w:rPr>
          <w:sz w:val="22"/>
          <w:szCs w:val="22"/>
        </w:rPr>
        <w:t>ikácie je z pohľadu b</w:t>
      </w:r>
      <w:r w:rsidRPr="005426DB">
        <w:rPr>
          <w:sz w:val="22"/>
          <w:szCs w:val="22"/>
        </w:rPr>
        <w:t xml:space="preserve">ezpečnosti na železničnej trati najnebezpečnejším </w:t>
      </w:r>
      <w:r>
        <w:rPr>
          <w:sz w:val="22"/>
          <w:szCs w:val="22"/>
        </w:rPr>
        <w:t>bodom.</w:t>
      </w:r>
      <w:r w:rsidRPr="005426DB">
        <w:rPr>
          <w:sz w:val="22"/>
          <w:szCs w:val="22"/>
        </w:rPr>
        <w:t xml:space="preserve"> </w:t>
      </w:r>
      <w:r>
        <w:rPr>
          <w:sz w:val="22"/>
          <w:szCs w:val="22"/>
        </w:rPr>
        <w:t xml:space="preserve">Ide </w:t>
      </w:r>
      <w:r w:rsidRPr="005426DB">
        <w:rPr>
          <w:sz w:val="22"/>
          <w:szCs w:val="22"/>
        </w:rPr>
        <w:t xml:space="preserve">prakticky </w:t>
      </w:r>
      <w:r>
        <w:rPr>
          <w:sz w:val="22"/>
          <w:szCs w:val="22"/>
        </w:rPr>
        <w:t>o </w:t>
      </w:r>
      <w:r w:rsidRPr="005426DB">
        <w:rPr>
          <w:sz w:val="22"/>
          <w:szCs w:val="22"/>
        </w:rPr>
        <w:t xml:space="preserve">jediné miesto priameho fyzického kontaktu medzi inak pomerne izolovanými dopravnými módmi. </w:t>
      </w:r>
      <w:r w:rsidR="006A14F4">
        <w:rPr>
          <w:sz w:val="22"/>
          <w:szCs w:val="22"/>
        </w:rPr>
        <w:t>Z </w:t>
      </w:r>
      <w:r w:rsidR="006A14F4" w:rsidRPr="005426DB">
        <w:rPr>
          <w:sz w:val="22"/>
          <w:szCs w:val="22"/>
        </w:rPr>
        <w:t>hľadiska neustále stúpajúceho počtu cestných motorových vozidiel</w:t>
      </w:r>
      <w:r>
        <w:rPr>
          <w:sz w:val="22"/>
          <w:szCs w:val="22"/>
        </w:rPr>
        <w:t>,</w:t>
      </w:r>
      <w:r w:rsidR="006A14F4" w:rsidRPr="005426DB">
        <w:rPr>
          <w:sz w:val="22"/>
          <w:szCs w:val="22"/>
        </w:rPr>
        <w:t xml:space="preserve"> a</w:t>
      </w:r>
      <w:r w:rsidR="006A14F4">
        <w:rPr>
          <w:sz w:val="22"/>
          <w:szCs w:val="22"/>
        </w:rPr>
        <w:t> </w:t>
      </w:r>
      <w:r w:rsidR="006A14F4" w:rsidRPr="005426DB">
        <w:rPr>
          <w:sz w:val="22"/>
          <w:szCs w:val="22"/>
        </w:rPr>
        <w:t xml:space="preserve">tým </w:t>
      </w:r>
      <w:r>
        <w:rPr>
          <w:sz w:val="22"/>
          <w:szCs w:val="22"/>
        </w:rPr>
        <w:t>súvisiacej</w:t>
      </w:r>
      <w:r w:rsidR="006A14F4" w:rsidRPr="005426DB">
        <w:rPr>
          <w:sz w:val="22"/>
          <w:szCs w:val="22"/>
        </w:rPr>
        <w:t xml:space="preserve"> možnosti väčšieho počtu kolíz</w:t>
      </w:r>
      <w:r w:rsidR="006A14F4">
        <w:rPr>
          <w:sz w:val="22"/>
          <w:szCs w:val="22"/>
        </w:rPr>
        <w:t>ií so železničnými vozidlami je b</w:t>
      </w:r>
      <w:r w:rsidR="006A14F4" w:rsidRPr="005426DB">
        <w:rPr>
          <w:sz w:val="22"/>
          <w:szCs w:val="22"/>
        </w:rPr>
        <w:t>ezpečnosť na železničných priecestiach vážny celospoločensk</w:t>
      </w:r>
      <w:r w:rsidR="006A14F4">
        <w:rPr>
          <w:sz w:val="22"/>
          <w:szCs w:val="22"/>
        </w:rPr>
        <w:t>ý problém.</w:t>
      </w:r>
    </w:p>
    <w:p w:rsidR="00CD58C4" w:rsidRPr="006A14F4" w:rsidRDefault="006A14F4" w:rsidP="006A14F4">
      <w:pPr>
        <w:spacing w:before="180" w:after="120"/>
        <w:jc w:val="both"/>
        <w:rPr>
          <w:sz w:val="22"/>
          <w:szCs w:val="22"/>
        </w:rPr>
      </w:pPr>
      <w:r>
        <w:rPr>
          <w:sz w:val="22"/>
          <w:szCs w:val="22"/>
        </w:rPr>
        <w:t xml:space="preserve">K 31.12.2012 bolo na území SR evidovaných spolu </w:t>
      </w:r>
      <w:r w:rsidRPr="005426DB">
        <w:rPr>
          <w:sz w:val="22"/>
          <w:szCs w:val="22"/>
        </w:rPr>
        <w:t>2</w:t>
      </w:r>
      <w:r>
        <w:rPr>
          <w:sz w:val="22"/>
          <w:szCs w:val="22"/>
        </w:rPr>
        <w:t xml:space="preserve"> </w:t>
      </w:r>
      <w:r w:rsidRPr="005426DB">
        <w:rPr>
          <w:sz w:val="22"/>
          <w:szCs w:val="22"/>
        </w:rPr>
        <w:t xml:space="preserve">160 </w:t>
      </w:r>
      <w:r>
        <w:rPr>
          <w:sz w:val="22"/>
          <w:szCs w:val="22"/>
        </w:rPr>
        <w:t>priecestí</w:t>
      </w:r>
      <w:r w:rsidRPr="005426DB">
        <w:rPr>
          <w:sz w:val="22"/>
          <w:szCs w:val="22"/>
        </w:rPr>
        <w:t>, z</w:t>
      </w:r>
      <w:r>
        <w:rPr>
          <w:sz w:val="22"/>
          <w:szCs w:val="22"/>
        </w:rPr>
        <w:t> </w:t>
      </w:r>
      <w:r w:rsidRPr="005426DB">
        <w:rPr>
          <w:sz w:val="22"/>
          <w:szCs w:val="22"/>
        </w:rPr>
        <w:t>toho 1</w:t>
      </w:r>
      <w:r>
        <w:rPr>
          <w:sz w:val="22"/>
          <w:szCs w:val="22"/>
        </w:rPr>
        <w:t xml:space="preserve"> </w:t>
      </w:r>
      <w:r w:rsidRPr="005426DB">
        <w:rPr>
          <w:sz w:val="22"/>
          <w:szCs w:val="22"/>
        </w:rPr>
        <w:t>088 zabezpečených a</w:t>
      </w:r>
      <w:r>
        <w:rPr>
          <w:sz w:val="22"/>
          <w:szCs w:val="22"/>
        </w:rPr>
        <w:t> </w:t>
      </w:r>
      <w:r w:rsidRPr="005426DB">
        <w:rPr>
          <w:sz w:val="22"/>
          <w:szCs w:val="22"/>
        </w:rPr>
        <w:t>1</w:t>
      </w:r>
      <w:r>
        <w:rPr>
          <w:sz w:val="22"/>
          <w:szCs w:val="22"/>
        </w:rPr>
        <w:t> </w:t>
      </w:r>
      <w:r w:rsidRPr="005426DB">
        <w:rPr>
          <w:sz w:val="22"/>
          <w:szCs w:val="22"/>
        </w:rPr>
        <w:t xml:space="preserve">072 nezabezpečených. </w:t>
      </w:r>
      <w:r>
        <w:rPr>
          <w:sz w:val="22"/>
          <w:szCs w:val="22"/>
        </w:rPr>
        <w:t xml:space="preserve">Negatívny stav z pohľadu bezpečnosti na priecestiach </w:t>
      </w:r>
      <w:r w:rsidRPr="005426DB">
        <w:rPr>
          <w:sz w:val="22"/>
          <w:szCs w:val="22"/>
        </w:rPr>
        <w:t xml:space="preserve">dokumentuje aj štatistika nehodovosti. </w:t>
      </w:r>
      <w:r w:rsidRPr="00996AA1">
        <w:rPr>
          <w:sz w:val="22"/>
          <w:szCs w:val="22"/>
        </w:rPr>
        <w:t>V</w:t>
      </w:r>
      <w:r>
        <w:rPr>
          <w:sz w:val="22"/>
          <w:szCs w:val="22"/>
        </w:rPr>
        <w:t> </w:t>
      </w:r>
      <w:r w:rsidRPr="00996AA1">
        <w:rPr>
          <w:sz w:val="22"/>
          <w:szCs w:val="22"/>
        </w:rPr>
        <w:t xml:space="preserve">roku 2012 došlo </w:t>
      </w:r>
      <w:r>
        <w:rPr>
          <w:sz w:val="22"/>
          <w:szCs w:val="22"/>
        </w:rPr>
        <w:t xml:space="preserve">na železničných priecestiach k 50 nehodám, pri ktorých </w:t>
      </w:r>
      <w:r w:rsidRPr="00996AA1">
        <w:rPr>
          <w:sz w:val="22"/>
          <w:szCs w:val="22"/>
        </w:rPr>
        <w:t xml:space="preserve">bolo usmrtených </w:t>
      </w:r>
      <w:r w:rsidR="007550F8" w:rsidRPr="00996AA1">
        <w:rPr>
          <w:sz w:val="22"/>
          <w:szCs w:val="22"/>
        </w:rPr>
        <w:t>21 osôb</w:t>
      </w:r>
      <w:r w:rsidRPr="00996AA1">
        <w:rPr>
          <w:sz w:val="22"/>
          <w:szCs w:val="22"/>
        </w:rPr>
        <w:t xml:space="preserve">. </w:t>
      </w:r>
      <w:r>
        <w:rPr>
          <w:sz w:val="22"/>
          <w:szCs w:val="22"/>
        </w:rPr>
        <w:t>P</w:t>
      </w:r>
      <w:r w:rsidRPr="005426DB">
        <w:rPr>
          <w:sz w:val="22"/>
          <w:szCs w:val="22"/>
        </w:rPr>
        <w:t xml:space="preserve">resadzovanie znižovania počtu nezabezpečených železničných priecestí </w:t>
      </w:r>
      <w:r>
        <w:rPr>
          <w:sz w:val="22"/>
          <w:szCs w:val="22"/>
        </w:rPr>
        <w:t xml:space="preserve">preto patrí </w:t>
      </w:r>
      <w:r w:rsidRPr="005426DB">
        <w:rPr>
          <w:sz w:val="22"/>
          <w:szCs w:val="22"/>
        </w:rPr>
        <w:t xml:space="preserve">medzi priority </w:t>
      </w:r>
      <w:r>
        <w:rPr>
          <w:sz w:val="22"/>
          <w:szCs w:val="22"/>
        </w:rPr>
        <w:t>MDVRR</w:t>
      </w:r>
      <w:r w:rsidRPr="005426DB">
        <w:rPr>
          <w:sz w:val="22"/>
          <w:szCs w:val="22"/>
        </w:rPr>
        <w:t xml:space="preserve"> SR.</w:t>
      </w:r>
      <w:r>
        <w:rPr>
          <w:sz w:val="22"/>
          <w:szCs w:val="22"/>
        </w:rPr>
        <w:t xml:space="preserve"> </w:t>
      </w:r>
      <w:r w:rsidRPr="005426DB">
        <w:rPr>
          <w:b/>
          <w:sz w:val="22"/>
          <w:szCs w:val="22"/>
        </w:rPr>
        <w:t>Riešením tohto stavu je realizácia mimoúrovňových križovaní železnice s</w:t>
      </w:r>
      <w:r>
        <w:rPr>
          <w:b/>
          <w:sz w:val="22"/>
          <w:szCs w:val="22"/>
        </w:rPr>
        <w:t> </w:t>
      </w:r>
      <w:r w:rsidRPr="005426DB">
        <w:rPr>
          <w:b/>
          <w:sz w:val="22"/>
          <w:szCs w:val="22"/>
        </w:rPr>
        <w:t>cestnou infraštruktúrou, príp. inštalácia priecestných zabezpečovacích zariadení prioritne v</w:t>
      </w:r>
      <w:r>
        <w:rPr>
          <w:b/>
          <w:sz w:val="22"/>
          <w:szCs w:val="22"/>
        </w:rPr>
        <w:t> </w:t>
      </w:r>
      <w:r w:rsidRPr="005426DB">
        <w:rPr>
          <w:b/>
          <w:sz w:val="22"/>
          <w:szCs w:val="22"/>
        </w:rPr>
        <w:t>úsekoch s</w:t>
      </w:r>
      <w:r>
        <w:rPr>
          <w:b/>
          <w:sz w:val="22"/>
          <w:szCs w:val="22"/>
        </w:rPr>
        <w:t> </w:t>
      </w:r>
      <w:r w:rsidRPr="005426DB">
        <w:rPr>
          <w:b/>
          <w:sz w:val="22"/>
          <w:szCs w:val="22"/>
        </w:rPr>
        <w:t xml:space="preserve">nepriaznivými </w:t>
      </w:r>
      <w:r>
        <w:rPr>
          <w:b/>
          <w:sz w:val="22"/>
          <w:szCs w:val="22"/>
        </w:rPr>
        <w:t>rozhľadovými</w:t>
      </w:r>
      <w:r w:rsidRPr="005426DB">
        <w:rPr>
          <w:b/>
          <w:sz w:val="22"/>
          <w:szCs w:val="22"/>
        </w:rPr>
        <w:t xml:space="preserve"> pomermi.</w:t>
      </w:r>
      <w:r>
        <w:rPr>
          <w:b/>
          <w:sz w:val="22"/>
          <w:szCs w:val="22"/>
        </w:rPr>
        <w:t xml:space="preserve"> </w:t>
      </w:r>
      <w:r w:rsidRPr="00D02C1A">
        <w:rPr>
          <w:b/>
          <w:sz w:val="22"/>
          <w:szCs w:val="22"/>
        </w:rPr>
        <w:t>Komplexn</w:t>
      </w:r>
      <w:r>
        <w:rPr>
          <w:b/>
          <w:sz w:val="22"/>
          <w:szCs w:val="22"/>
        </w:rPr>
        <w:t>ý</w:t>
      </w:r>
      <w:r w:rsidRPr="00D02C1A">
        <w:rPr>
          <w:b/>
          <w:sz w:val="22"/>
          <w:szCs w:val="22"/>
        </w:rPr>
        <w:t xml:space="preserve"> program riešenia problematiky železničných priecestí</w:t>
      </w:r>
      <w:r>
        <w:rPr>
          <w:b/>
          <w:sz w:val="22"/>
          <w:szCs w:val="22"/>
        </w:rPr>
        <w:t xml:space="preserve"> bol schválený vládou SR uznesením č. 448 z 21. augusta 2013. </w:t>
      </w:r>
      <w:r>
        <w:rPr>
          <w:sz w:val="22"/>
          <w:szCs w:val="22"/>
        </w:rPr>
        <w:t xml:space="preserve">Cieľom programu je znížiť počet nehôd na železničných priecestiach na minimálnu úroveň prostredníctvom inštalácie </w:t>
      </w:r>
      <w:r w:rsidRPr="0099699D">
        <w:rPr>
          <w:sz w:val="22"/>
          <w:szCs w:val="22"/>
        </w:rPr>
        <w:t>nových priecestných zabezpečovacích zariadení na</w:t>
      </w:r>
      <w:r>
        <w:rPr>
          <w:sz w:val="22"/>
          <w:szCs w:val="22"/>
        </w:rPr>
        <w:t xml:space="preserve"> najrizikovejších priecestiach doposiaľ </w:t>
      </w:r>
      <w:r w:rsidRPr="0099699D">
        <w:rPr>
          <w:sz w:val="22"/>
          <w:szCs w:val="22"/>
        </w:rPr>
        <w:t>nevy</w:t>
      </w:r>
      <w:r>
        <w:rPr>
          <w:sz w:val="22"/>
          <w:szCs w:val="22"/>
        </w:rPr>
        <w:t>bavených priecestným zabezpečovaním zariadením, ako aj prostredníctvom modernizácie</w:t>
      </w:r>
      <w:r w:rsidRPr="0099699D">
        <w:rPr>
          <w:sz w:val="22"/>
          <w:szCs w:val="22"/>
        </w:rPr>
        <w:t xml:space="preserve"> tých priecestí, kde je to účelné z</w:t>
      </w:r>
      <w:r>
        <w:rPr>
          <w:sz w:val="22"/>
          <w:szCs w:val="22"/>
        </w:rPr>
        <w:t> </w:t>
      </w:r>
      <w:r w:rsidRPr="0099699D">
        <w:rPr>
          <w:sz w:val="22"/>
          <w:szCs w:val="22"/>
        </w:rPr>
        <w:t xml:space="preserve">dôvodu zvýšenia spoľahlivosti starších zariadení. </w:t>
      </w:r>
      <w:r w:rsidRPr="00C91357">
        <w:rPr>
          <w:sz w:val="22"/>
          <w:szCs w:val="22"/>
        </w:rPr>
        <w:t>Dôležitým účinkom týchto opatrení je aj pozitívny vplyv na plynulosť železničnej dopravy (najmä eliminácia rýchlostných obmedzení v</w:t>
      </w:r>
      <w:r>
        <w:rPr>
          <w:sz w:val="22"/>
          <w:szCs w:val="22"/>
        </w:rPr>
        <w:t> </w:t>
      </w:r>
      <w:r w:rsidRPr="00C91357">
        <w:rPr>
          <w:sz w:val="22"/>
          <w:szCs w:val="22"/>
        </w:rPr>
        <w:t>dôsledku zhoršený</w:t>
      </w:r>
      <w:r>
        <w:rPr>
          <w:sz w:val="22"/>
          <w:szCs w:val="22"/>
        </w:rPr>
        <w:t>ch rozhľadových pomerov).</w:t>
      </w:r>
    </w:p>
    <w:p w:rsidR="00017B79" w:rsidRDefault="00CD58C4" w:rsidP="00FE6025">
      <w:pPr>
        <w:numPr>
          <w:ilvl w:val="2"/>
          <w:numId w:val="33"/>
        </w:numPr>
        <w:tabs>
          <w:tab w:val="clear" w:pos="360"/>
        </w:tabs>
        <w:spacing w:before="180" w:after="120"/>
        <w:ind w:left="851" w:hanging="425"/>
        <w:jc w:val="both"/>
        <w:rPr>
          <w:b/>
          <w:i/>
          <w:color w:val="4F81BD" w:themeColor="accent1"/>
          <w:sz w:val="22"/>
          <w:szCs w:val="22"/>
        </w:rPr>
      </w:pPr>
      <w:r w:rsidRPr="005139F6">
        <w:rPr>
          <w:b/>
          <w:i/>
          <w:color w:val="4F81BD" w:themeColor="accent1"/>
          <w:sz w:val="22"/>
          <w:szCs w:val="22"/>
        </w:rPr>
        <w:t>Výstavba a modernizácia prestupných terminálov železničnej osobnej doprav</w:t>
      </w:r>
      <w:r w:rsidR="008C0344" w:rsidRPr="005139F6">
        <w:rPr>
          <w:b/>
          <w:i/>
          <w:color w:val="4F81BD" w:themeColor="accent1"/>
          <w:sz w:val="22"/>
          <w:szCs w:val="22"/>
        </w:rPr>
        <w:t>y a ich napojení na cestnú sieť</w:t>
      </w:r>
    </w:p>
    <w:p w:rsidR="003F370A" w:rsidRPr="003F370A" w:rsidRDefault="003F370A" w:rsidP="003F370A">
      <w:pPr>
        <w:spacing w:before="120"/>
        <w:jc w:val="both"/>
        <w:rPr>
          <w:sz w:val="22"/>
          <w:szCs w:val="22"/>
        </w:rPr>
      </w:pPr>
      <w:r w:rsidRPr="003F370A">
        <w:rPr>
          <w:sz w:val="22"/>
          <w:szCs w:val="22"/>
        </w:rPr>
        <w:t>Cieľom výstavby terminálov</w:t>
      </w:r>
      <w:r>
        <w:rPr>
          <w:sz w:val="22"/>
          <w:szCs w:val="22"/>
        </w:rPr>
        <w:t xml:space="preserve"> železničnej osobnej do</w:t>
      </w:r>
      <w:r w:rsidRPr="003F370A">
        <w:rPr>
          <w:sz w:val="22"/>
          <w:szCs w:val="22"/>
        </w:rPr>
        <w:t xml:space="preserve">pravy je optimalizovať počet a umiestnenie prestupných bodov na sieti verejnej hromadnej osobnej dopravy a tým vytvárať podmienky pre efektívne zabezpečenie prepravných potrieb obyvateľstva. Motivačné prvky pre budúcich používateľov by mali predstavovať časovú a ekonomickú úsporu. Výstavba prestupných bodov bude realizovaná v úzkej spolupráci s modernizáciou dopravnej infraštruktúry a obnovou mobilných prostriedkov. </w:t>
      </w:r>
    </w:p>
    <w:p w:rsidR="003F370A" w:rsidRPr="003F370A" w:rsidRDefault="003F370A" w:rsidP="003F370A">
      <w:pPr>
        <w:spacing w:before="120"/>
        <w:jc w:val="both"/>
        <w:rPr>
          <w:sz w:val="22"/>
          <w:szCs w:val="22"/>
        </w:rPr>
      </w:pPr>
      <w:r w:rsidRPr="003F370A">
        <w:rPr>
          <w:sz w:val="22"/>
          <w:szCs w:val="22"/>
        </w:rPr>
        <w:t>Počet, rozmiestnenie a technické riešenie terminálov budú stanovené na základe výsledkov plánov dopravnej obslužnosti. Cieľom stavieb bude</w:t>
      </w:r>
      <w:r>
        <w:rPr>
          <w:sz w:val="22"/>
          <w:szCs w:val="22"/>
        </w:rPr>
        <w:t xml:space="preserve"> presmerovanie</w:t>
      </w:r>
      <w:r w:rsidRPr="003F370A">
        <w:rPr>
          <w:sz w:val="22"/>
          <w:szCs w:val="22"/>
        </w:rPr>
        <w:t xml:space="preserve"> </w:t>
      </w:r>
      <w:r>
        <w:rPr>
          <w:sz w:val="22"/>
          <w:szCs w:val="22"/>
        </w:rPr>
        <w:t>cestnej verejnej dopravy a </w:t>
      </w:r>
      <w:r w:rsidRPr="003F370A">
        <w:rPr>
          <w:sz w:val="22"/>
          <w:szCs w:val="22"/>
        </w:rPr>
        <w:t>individuálnej</w:t>
      </w:r>
      <w:r>
        <w:rPr>
          <w:sz w:val="22"/>
          <w:szCs w:val="22"/>
        </w:rPr>
        <w:t xml:space="preserve"> automobilovej</w:t>
      </w:r>
      <w:r w:rsidRPr="003F370A">
        <w:rPr>
          <w:sz w:val="22"/>
          <w:szCs w:val="22"/>
        </w:rPr>
        <w:t xml:space="preserve"> dopravy na</w:t>
      </w:r>
      <w:r>
        <w:rPr>
          <w:sz w:val="22"/>
          <w:szCs w:val="22"/>
        </w:rPr>
        <w:t xml:space="preserve"> veľkokapacitnú</w:t>
      </w:r>
      <w:r w:rsidRPr="003F370A">
        <w:rPr>
          <w:sz w:val="22"/>
          <w:szCs w:val="22"/>
        </w:rPr>
        <w:t xml:space="preserve"> </w:t>
      </w:r>
      <w:r>
        <w:rPr>
          <w:sz w:val="22"/>
          <w:szCs w:val="22"/>
        </w:rPr>
        <w:t>železničnú dopravu</w:t>
      </w:r>
      <w:r w:rsidRPr="003F370A">
        <w:rPr>
          <w:sz w:val="22"/>
          <w:szCs w:val="22"/>
        </w:rPr>
        <w:t>. K bezproblémovému prestupu má slúžiť stavebné riešenie a</w:t>
      </w:r>
      <w:r>
        <w:rPr>
          <w:sz w:val="22"/>
          <w:szCs w:val="22"/>
        </w:rPr>
        <w:t xml:space="preserve"> technické vybavenie terminálov.</w:t>
      </w:r>
    </w:p>
    <w:p w:rsidR="008C0344" w:rsidRPr="005139F6" w:rsidRDefault="008C0344" w:rsidP="00FE6025">
      <w:pPr>
        <w:numPr>
          <w:ilvl w:val="2"/>
          <w:numId w:val="33"/>
        </w:numPr>
        <w:tabs>
          <w:tab w:val="clear" w:pos="360"/>
        </w:tabs>
        <w:spacing w:before="180" w:after="120"/>
        <w:ind w:left="851" w:hanging="425"/>
        <w:jc w:val="both"/>
        <w:rPr>
          <w:b/>
          <w:i/>
          <w:color w:val="4F81BD" w:themeColor="accent1"/>
          <w:sz w:val="22"/>
          <w:szCs w:val="22"/>
        </w:rPr>
      </w:pPr>
      <w:r w:rsidRPr="005139F6">
        <w:rPr>
          <w:b/>
          <w:i/>
          <w:color w:val="4F81BD" w:themeColor="accent1"/>
          <w:sz w:val="22"/>
          <w:szCs w:val="22"/>
        </w:rPr>
        <w:t>Výstavba nových železničných zastávok, zavádzanie štandardov tratí a staníc, optimalizácia grafikonu vlakovej dopravy</w:t>
      </w:r>
    </w:p>
    <w:p w:rsidR="003E0235" w:rsidRDefault="003E0235" w:rsidP="003E0235">
      <w:pPr>
        <w:spacing w:before="180"/>
        <w:jc w:val="both"/>
        <w:rPr>
          <w:b/>
          <w:snapToGrid w:val="0"/>
          <w:sz w:val="22"/>
          <w:szCs w:val="22"/>
          <w:lang w:eastAsia="cs-CZ"/>
        </w:rPr>
      </w:pPr>
      <w:r w:rsidRPr="00651BC9">
        <w:rPr>
          <w:snapToGrid w:val="0"/>
          <w:sz w:val="22"/>
          <w:szCs w:val="22"/>
          <w:lang w:eastAsia="cs-CZ"/>
        </w:rPr>
        <w:t>Vývoj železničnej siete SR najmä v</w:t>
      </w:r>
      <w:r>
        <w:rPr>
          <w:snapToGrid w:val="0"/>
          <w:sz w:val="22"/>
          <w:szCs w:val="22"/>
          <w:lang w:eastAsia="cs-CZ"/>
        </w:rPr>
        <w:t> </w:t>
      </w:r>
      <w:r w:rsidRPr="00651BC9">
        <w:rPr>
          <w:snapToGrid w:val="0"/>
          <w:sz w:val="22"/>
          <w:szCs w:val="22"/>
          <w:lang w:eastAsia="cs-CZ"/>
        </w:rPr>
        <w:t xml:space="preserve">ostatných desiatich rokoch bol charakteristický určitou asymetriou. Na jednej strane </w:t>
      </w:r>
      <w:r>
        <w:rPr>
          <w:snapToGrid w:val="0"/>
          <w:sz w:val="22"/>
          <w:szCs w:val="22"/>
          <w:lang w:eastAsia="cs-CZ"/>
        </w:rPr>
        <w:t>smerovali</w:t>
      </w:r>
      <w:r w:rsidRPr="00651BC9">
        <w:rPr>
          <w:snapToGrid w:val="0"/>
          <w:sz w:val="22"/>
          <w:szCs w:val="22"/>
          <w:lang w:eastAsia="cs-CZ"/>
        </w:rPr>
        <w:t xml:space="preserve"> pomerne masívne </w:t>
      </w:r>
      <w:r>
        <w:rPr>
          <w:snapToGrid w:val="0"/>
          <w:sz w:val="22"/>
          <w:szCs w:val="22"/>
          <w:lang w:eastAsia="cs-CZ"/>
        </w:rPr>
        <w:t>investície</w:t>
      </w:r>
      <w:r w:rsidRPr="00651BC9">
        <w:rPr>
          <w:snapToGrid w:val="0"/>
          <w:sz w:val="22"/>
          <w:szCs w:val="22"/>
          <w:lang w:eastAsia="cs-CZ"/>
        </w:rPr>
        <w:t xml:space="preserve"> do</w:t>
      </w:r>
      <w:r>
        <w:rPr>
          <w:snapToGrid w:val="0"/>
          <w:sz w:val="22"/>
          <w:szCs w:val="22"/>
          <w:lang w:eastAsia="cs-CZ"/>
        </w:rPr>
        <w:t xml:space="preserve"> rozvoja koridorových tratí, na </w:t>
      </w:r>
      <w:r w:rsidRPr="00651BC9">
        <w:rPr>
          <w:snapToGrid w:val="0"/>
          <w:sz w:val="22"/>
          <w:szCs w:val="22"/>
          <w:lang w:eastAsia="cs-CZ"/>
        </w:rPr>
        <w:t xml:space="preserve">druhej strane </w:t>
      </w:r>
      <w:r>
        <w:rPr>
          <w:snapToGrid w:val="0"/>
          <w:sz w:val="22"/>
          <w:szCs w:val="22"/>
          <w:lang w:eastAsia="cs-CZ"/>
        </w:rPr>
        <w:t>zdroje na rozvoj ostatných tratí</w:t>
      </w:r>
      <w:r w:rsidRPr="00651BC9">
        <w:rPr>
          <w:snapToGrid w:val="0"/>
          <w:sz w:val="22"/>
          <w:szCs w:val="22"/>
          <w:lang w:eastAsia="cs-CZ"/>
        </w:rPr>
        <w:t xml:space="preserve"> železničnej siete, </w:t>
      </w:r>
      <w:r>
        <w:rPr>
          <w:snapToGrid w:val="0"/>
          <w:sz w:val="22"/>
          <w:szCs w:val="22"/>
          <w:lang w:eastAsia="cs-CZ"/>
        </w:rPr>
        <w:t>akokoľvek konkurencieschopných a využiteľných</w:t>
      </w:r>
      <w:r w:rsidRPr="00651BC9">
        <w:rPr>
          <w:snapToGrid w:val="0"/>
          <w:sz w:val="22"/>
          <w:szCs w:val="22"/>
          <w:lang w:eastAsia="cs-CZ"/>
        </w:rPr>
        <w:t xml:space="preserve"> pre obsluhu </w:t>
      </w:r>
      <w:r>
        <w:rPr>
          <w:snapToGrid w:val="0"/>
          <w:sz w:val="22"/>
          <w:szCs w:val="22"/>
          <w:lang w:eastAsia="cs-CZ"/>
        </w:rPr>
        <w:t xml:space="preserve">relatívne </w:t>
      </w:r>
      <w:r w:rsidRPr="00651BC9">
        <w:rPr>
          <w:snapToGrid w:val="0"/>
          <w:sz w:val="22"/>
          <w:szCs w:val="22"/>
          <w:lang w:eastAsia="cs-CZ"/>
        </w:rPr>
        <w:t>významných prepravných prúdov v</w:t>
      </w:r>
      <w:r>
        <w:rPr>
          <w:snapToGrid w:val="0"/>
          <w:sz w:val="22"/>
          <w:szCs w:val="22"/>
          <w:lang w:eastAsia="cs-CZ"/>
        </w:rPr>
        <w:t> </w:t>
      </w:r>
      <w:r w:rsidRPr="00651BC9">
        <w:rPr>
          <w:snapToGrid w:val="0"/>
          <w:sz w:val="22"/>
          <w:szCs w:val="22"/>
          <w:lang w:eastAsia="cs-CZ"/>
        </w:rPr>
        <w:t>o</w:t>
      </w:r>
      <w:r>
        <w:rPr>
          <w:snapToGrid w:val="0"/>
          <w:sz w:val="22"/>
          <w:szCs w:val="22"/>
          <w:lang w:eastAsia="cs-CZ"/>
        </w:rPr>
        <w:t xml:space="preserve">sobnej alebo nákladnej doprave, </w:t>
      </w:r>
      <w:r w:rsidR="007E69E9">
        <w:rPr>
          <w:snapToGrid w:val="0"/>
          <w:sz w:val="22"/>
          <w:szCs w:val="22"/>
          <w:lang w:eastAsia="cs-CZ"/>
        </w:rPr>
        <w:t>nedosahovali potrebný</w:t>
      </w:r>
      <w:r w:rsidR="00FA419A">
        <w:rPr>
          <w:snapToGrid w:val="0"/>
          <w:sz w:val="22"/>
          <w:szCs w:val="22"/>
          <w:lang w:eastAsia="cs-CZ"/>
        </w:rPr>
        <w:t xml:space="preserve"> rozsah. </w:t>
      </w:r>
      <w:r w:rsidRPr="00651BC9">
        <w:rPr>
          <w:snapToGrid w:val="0"/>
          <w:sz w:val="22"/>
          <w:szCs w:val="22"/>
          <w:lang w:eastAsia="cs-CZ"/>
        </w:rPr>
        <w:t>Príčina tohto faktu spočívala predovšetkým v</w:t>
      </w:r>
      <w:r>
        <w:rPr>
          <w:snapToGrid w:val="0"/>
          <w:sz w:val="22"/>
          <w:szCs w:val="22"/>
          <w:lang w:eastAsia="cs-CZ"/>
        </w:rPr>
        <w:t> </w:t>
      </w:r>
      <w:r w:rsidRPr="00651BC9">
        <w:rPr>
          <w:snapToGrid w:val="0"/>
          <w:sz w:val="22"/>
          <w:szCs w:val="22"/>
          <w:lang w:eastAsia="cs-CZ"/>
        </w:rPr>
        <w:t xml:space="preserve">pomerne </w:t>
      </w:r>
      <w:r>
        <w:rPr>
          <w:snapToGrid w:val="0"/>
          <w:sz w:val="22"/>
          <w:szCs w:val="22"/>
          <w:lang w:eastAsia="cs-CZ"/>
        </w:rPr>
        <w:t>drahých</w:t>
      </w:r>
      <w:r w:rsidRPr="00651BC9">
        <w:rPr>
          <w:snapToGrid w:val="0"/>
          <w:sz w:val="22"/>
          <w:szCs w:val="22"/>
          <w:lang w:eastAsia="cs-CZ"/>
        </w:rPr>
        <w:t xml:space="preserve"> koridorových stavbách, vyžadujúcich významné spolufinancovanie zo štátneho rozpočtu SR. Dôsledkom je stagnácia, v</w:t>
      </w:r>
      <w:r>
        <w:rPr>
          <w:snapToGrid w:val="0"/>
          <w:sz w:val="22"/>
          <w:szCs w:val="22"/>
          <w:lang w:eastAsia="cs-CZ"/>
        </w:rPr>
        <w:t> </w:t>
      </w:r>
      <w:r w:rsidRPr="00651BC9">
        <w:rPr>
          <w:snapToGrid w:val="0"/>
          <w:sz w:val="22"/>
          <w:szCs w:val="22"/>
          <w:lang w:eastAsia="cs-CZ"/>
        </w:rPr>
        <w:t>horšom prípade postupný úpadok nekoridorových tratí. V</w:t>
      </w:r>
      <w:r>
        <w:rPr>
          <w:snapToGrid w:val="0"/>
          <w:sz w:val="22"/>
          <w:szCs w:val="22"/>
          <w:lang w:eastAsia="cs-CZ"/>
        </w:rPr>
        <w:t> </w:t>
      </w:r>
      <w:r w:rsidRPr="00651BC9">
        <w:rPr>
          <w:snapToGrid w:val="0"/>
          <w:sz w:val="22"/>
          <w:szCs w:val="22"/>
          <w:lang w:eastAsia="cs-CZ"/>
        </w:rPr>
        <w:t>snahe obnoviť konkurencieschopnosť železničného sektoru ako celku</w:t>
      </w:r>
      <w:r w:rsidR="00FA419A">
        <w:rPr>
          <w:snapToGrid w:val="0"/>
          <w:sz w:val="22"/>
          <w:szCs w:val="22"/>
          <w:lang w:eastAsia="cs-CZ"/>
        </w:rPr>
        <w:t xml:space="preserve"> (v perspektívnych oblastiach)</w:t>
      </w:r>
      <w:r w:rsidRPr="00651BC9">
        <w:rPr>
          <w:snapToGrid w:val="0"/>
          <w:sz w:val="22"/>
          <w:szCs w:val="22"/>
          <w:lang w:eastAsia="cs-CZ"/>
        </w:rPr>
        <w:t xml:space="preserve">, zvýšiť </w:t>
      </w:r>
      <w:r>
        <w:rPr>
          <w:snapToGrid w:val="0"/>
          <w:sz w:val="22"/>
          <w:szCs w:val="22"/>
          <w:lang w:eastAsia="cs-CZ"/>
        </w:rPr>
        <w:t xml:space="preserve">jeho </w:t>
      </w:r>
      <w:r w:rsidRPr="00651BC9">
        <w:rPr>
          <w:snapToGrid w:val="0"/>
          <w:sz w:val="22"/>
          <w:szCs w:val="22"/>
          <w:lang w:eastAsia="cs-CZ"/>
        </w:rPr>
        <w:t xml:space="preserve">bezpečnosť </w:t>
      </w:r>
      <w:r>
        <w:rPr>
          <w:snapToGrid w:val="0"/>
          <w:sz w:val="22"/>
          <w:szCs w:val="22"/>
          <w:lang w:eastAsia="cs-CZ"/>
        </w:rPr>
        <w:t xml:space="preserve">a </w:t>
      </w:r>
      <w:r w:rsidRPr="00651BC9">
        <w:rPr>
          <w:snapToGrid w:val="0"/>
          <w:sz w:val="22"/>
          <w:szCs w:val="22"/>
          <w:lang w:eastAsia="cs-CZ"/>
        </w:rPr>
        <w:t xml:space="preserve">čo najkomplexnejším spôsobom využiť parametre modernizovaných tratí </w:t>
      </w:r>
      <w:r>
        <w:rPr>
          <w:snapToGrid w:val="0"/>
          <w:sz w:val="22"/>
          <w:szCs w:val="22"/>
          <w:lang w:eastAsia="cs-CZ"/>
        </w:rPr>
        <w:t>boli zo strany MDVRR SR</w:t>
      </w:r>
      <w:r w:rsidRPr="00651BC9">
        <w:rPr>
          <w:snapToGrid w:val="0"/>
          <w:sz w:val="22"/>
          <w:szCs w:val="22"/>
          <w:lang w:eastAsia="cs-CZ"/>
        </w:rPr>
        <w:t xml:space="preserve"> i</w:t>
      </w:r>
      <w:r>
        <w:rPr>
          <w:snapToGrid w:val="0"/>
          <w:sz w:val="22"/>
          <w:szCs w:val="22"/>
          <w:lang w:eastAsia="cs-CZ"/>
        </w:rPr>
        <w:t>dentifikované</w:t>
      </w:r>
      <w:r w:rsidRPr="00651BC9">
        <w:rPr>
          <w:snapToGrid w:val="0"/>
          <w:sz w:val="22"/>
          <w:szCs w:val="22"/>
          <w:lang w:eastAsia="cs-CZ"/>
        </w:rPr>
        <w:t xml:space="preserve"> dôležité investičné témy v</w:t>
      </w:r>
      <w:r>
        <w:rPr>
          <w:snapToGrid w:val="0"/>
          <w:sz w:val="22"/>
          <w:szCs w:val="22"/>
          <w:lang w:eastAsia="cs-CZ"/>
        </w:rPr>
        <w:t> </w:t>
      </w:r>
      <w:r w:rsidRPr="00651BC9">
        <w:rPr>
          <w:snapToGrid w:val="0"/>
          <w:sz w:val="22"/>
          <w:szCs w:val="22"/>
          <w:lang w:eastAsia="cs-CZ"/>
        </w:rPr>
        <w:t>oblasti železničnej infraštruktúry</w:t>
      </w:r>
      <w:r w:rsidR="00FA419A">
        <w:rPr>
          <w:snapToGrid w:val="0"/>
          <w:sz w:val="22"/>
          <w:szCs w:val="22"/>
          <w:lang w:eastAsia="cs-CZ"/>
        </w:rPr>
        <w:t>, ktorým je </w:t>
      </w:r>
      <w:r>
        <w:rPr>
          <w:snapToGrid w:val="0"/>
          <w:sz w:val="22"/>
          <w:szCs w:val="22"/>
          <w:lang w:eastAsia="cs-CZ"/>
        </w:rPr>
        <w:t xml:space="preserve">potrebné venovať náležitú pozornosť. </w:t>
      </w:r>
      <w:r w:rsidRPr="00FA419A">
        <w:rPr>
          <w:b/>
          <w:snapToGrid w:val="0"/>
          <w:sz w:val="22"/>
          <w:szCs w:val="22"/>
          <w:lang w:eastAsia="cs-CZ"/>
        </w:rPr>
        <w:t>Ide najmä o projekty zamerané na optimalizáciu grafikonu vlakovej dopravy, výstavbu nových železničných zastávok, zavedenie štandardov tratí</w:t>
      </w:r>
      <w:r w:rsidR="005664A2">
        <w:rPr>
          <w:b/>
          <w:snapToGrid w:val="0"/>
          <w:sz w:val="22"/>
          <w:szCs w:val="22"/>
          <w:lang w:eastAsia="cs-CZ"/>
        </w:rPr>
        <w:t xml:space="preserve"> a</w:t>
      </w:r>
      <w:r w:rsidRPr="00FA419A">
        <w:rPr>
          <w:b/>
          <w:snapToGrid w:val="0"/>
          <w:sz w:val="22"/>
          <w:szCs w:val="22"/>
          <w:lang w:eastAsia="cs-CZ"/>
        </w:rPr>
        <w:t xml:space="preserve"> staníc.</w:t>
      </w:r>
    </w:p>
    <w:p w:rsidR="00DF263C" w:rsidRPr="00005DA9" w:rsidRDefault="00DF263C" w:rsidP="00DF263C">
      <w:pPr>
        <w:spacing w:before="180"/>
        <w:jc w:val="both"/>
        <w:rPr>
          <w:b/>
          <w:snapToGrid w:val="0"/>
          <w:sz w:val="22"/>
          <w:szCs w:val="22"/>
          <w:lang w:eastAsia="cs-CZ"/>
        </w:rPr>
      </w:pPr>
      <w:r w:rsidRPr="000C02ED">
        <w:rPr>
          <w:sz w:val="22"/>
          <w:szCs w:val="22"/>
        </w:rPr>
        <w:t xml:space="preserve">Tieto aktivity reflektujú prioritu v rámci cieľa Strategického plánu rozvoja dopravnej infraštruktúry SR do roku 2020 - kvalitná a konkurencieschopná osobná železničná doprava. </w:t>
      </w:r>
      <w:r>
        <w:rPr>
          <w:sz w:val="22"/>
          <w:szCs w:val="22"/>
        </w:rPr>
        <w:t xml:space="preserve">V rámci realizácie tejto priority (SZ1.1) - </w:t>
      </w:r>
      <w:r w:rsidRPr="00AF51A7">
        <w:rPr>
          <w:sz w:val="22"/>
          <w:szCs w:val="22"/>
        </w:rPr>
        <w:t>Komfortná osobná doprava</w:t>
      </w:r>
      <w:r>
        <w:rPr>
          <w:sz w:val="22"/>
          <w:szCs w:val="22"/>
        </w:rPr>
        <w:t xml:space="preserve"> sa bude klásť dôraz najmä na zásadné zlepšenie </w:t>
      </w:r>
      <w:r>
        <w:rPr>
          <w:sz w:val="22"/>
          <w:szCs w:val="22"/>
        </w:rPr>
        <w:lastRenderedPageBreak/>
        <w:t>parametrov. Ide o zvýšenie komfortu formou obnovy vybavenosti staníc a zastávok, informačných systémy a pod.</w:t>
      </w:r>
    </w:p>
    <w:p w:rsidR="00FA419A" w:rsidRDefault="003E0235" w:rsidP="003E0235">
      <w:pPr>
        <w:spacing w:before="180"/>
        <w:jc w:val="both"/>
        <w:rPr>
          <w:sz w:val="22"/>
          <w:szCs w:val="22"/>
        </w:rPr>
      </w:pPr>
      <w:r>
        <w:rPr>
          <w:sz w:val="22"/>
          <w:szCs w:val="22"/>
        </w:rPr>
        <w:t>Cieľom</w:t>
      </w:r>
      <w:r w:rsidRPr="00EE7925">
        <w:rPr>
          <w:sz w:val="22"/>
          <w:szCs w:val="22"/>
        </w:rPr>
        <w:t xml:space="preserve"> projektov</w:t>
      </w:r>
      <w:r>
        <w:rPr>
          <w:sz w:val="22"/>
          <w:szCs w:val="22"/>
        </w:rPr>
        <w:t xml:space="preserve"> zameraných na optimalizáciu grafikonu vlakovej dopravy</w:t>
      </w:r>
      <w:r w:rsidRPr="00EE7925">
        <w:rPr>
          <w:sz w:val="22"/>
          <w:szCs w:val="22"/>
        </w:rPr>
        <w:t xml:space="preserve"> je zabezpečiť optimalizovaný integrovaný cestovn</w:t>
      </w:r>
      <w:r>
        <w:rPr>
          <w:sz w:val="22"/>
          <w:szCs w:val="22"/>
        </w:rPr>
        <w:t>ý poriadok na celej sieti tratí</w:t>
      </w:r>
      <w:r w:rsidRPr="00EE7925">
        <w:rPr>
          <w:sz w:val="22"/>
          <w:szCs w:val="22"/>
        </w:rPr>
        <w:t xml:space="preserve"> perspektívnych pre zabezpečovanie regionálnej železničnej osobnej dopravy, ktorý by bol prispôsobený cestovnému poriadku diaľkových vlakov na koridorových tratiach, plne využívajúcich ich zlepšené </w:t>
      </w:r>
      <w:r>
        <w:rPr>
          <w:sz w:val="22"/>
          <w:szCs w:val="22"/>
        </w:rPr>
        <w:t>parametre. Cestovný poriadok na </w:t>
      </w:r>
      <w:r w:rsidRPr="00EE7925">
        <w:rPr>
          <w:sz w:val="22"/>
          <w:szCs w:val="22"/>
        </w:rPr>
        <w:t>týchto tratiach by mal byť zorganizovaný v</w:t>
      </w:r>
      <w:r>
        <w:rPr>
          <w:sz w:val="22"/>
          <w:szCs w:val="22"/>
        </w:rPr>
        <w:t> </w:t>
      </w:r>
      <w:r w:rsidRPr="00EE7925">
        <w:rPr>
          <w:sz w:val="22"/>
          <w:szCs w:val="22"/>
        </w:rPr>
        <w:t>pravidelnom taktovom režime, s</w:t>
      </w:r>
      <w:r>
        <w:rPr>
          <w:sz w:val="22"/>
          <w:szCs w:val="22"/>
        </w:rPr>
        <w:t> </w:t>
      </w:r>
      <w:r w:rsidRPr="00EE7925">
        <w:rPr>
          <w:sz w:val="22"/>
          <w:szCs w:val="22"/>
        </w:rPr>
        <w:t>optimálnou vzájomnou previazanosťou jednotlivých systémov spojov v</w:t>
      </w:r>
      <w:r>
        <w:rPr>
          <w:sz w:val="22"/>
          <w:szCs w:val="22"/>
        </w:rPr>
        <w:t> </w:t>
      </w:r>
      <w:r w:rsidRPr="00EE7925">
        <w:rPr>
          <w:sz w:val="22"/>
          <w:szCs w:val="22"/>
        </w:rPr>
        <w:t xml:space="preserve">uzlových staniciach. </w:t>
      </w:r>
      <w:r>
        <w:rPr>
          <w:b/>
          <w:sz w:val="22"/>
          <w:szCs w:val="22"/>
        </w:rPr>
        <w:t>Základným operátom pre </w:t>
      </w:r>
      <w:r w:rsidRPr="00FD1DB1">
        <w:rPr>
          <w:b/>
          <w:sz w:val="22"/>
          <w:szCs w:val="22"/>
        </w:rPr>
        <w:t>výber týchto projektov bude cieľový grafikon vlakovej dopravy pre obdobie po ukončení modernizácie koridoru v úseku Bratislava – Žilina.</w:t>
      </w:r>
      <w:r w:rsidRPr="00EE7925">
        <w:rPr>
          <w:sz w:val="22"/>
          <w:szCs w:val="22"/>
        </w:rPr>
        <w:t xml:space="preserve"> Z</w:t>
      </w:r>
      <w:r>
        <w:rPr>
          <w:sz w:val="22"/>
          <w:szCs w:val="22"/>
        </w:rPr>
        <w:t> </w:t>
      </w:r>
      <w:r w:rsidRPr="00EE7925">
        <w:rPr>
          <w:sz w:val="22"/>
          <w:szCs w:val="22"/>
        </w:rPr>
        <w:t>tohto cieľového grafiko</w:t>
      </w:r>
      <w:r>
        <w:rPr>
          <w:sz w:val="22"/>
          <w:szCs w:val="22"/>
        </w:rPr>
        <w:t xml:space="preserve">nu vyplynie </w:t>
      </w:r>
      <w:r w:rsidRPr="00EE7925">
        <w:rPr>
          <w:sz w:val="22"/>
          <w:szCs w:val="22"/>
        </w:rPr>
        <w:t>exaktne definovaný zoznam konkrétnych investičných projektov na strane ŽSR i</w:t>
      </w:r>
      <w:r>
        <w:rPr>
          <w:sz w:val="22"/>
          <w:szCs w:val="22"/>
        </w:rPr>
        <w:t> operátorov</w:t>
      </w:r>
      <w:r w:rsidRPr="00EE7925">
        <w:rPr>
          <w:sz w:val="22"/>
          <w:szCs w:val="22"/>
        </w:rPr>
        <w:t xml:space="preserve">, ktoré je </w:t>
      </w:r>
      <w:r>
        <w:rPr>
          <w:sz w:val="22"/>
          <w:szCs w:val="22"/>
        </w:rPr>
        <w:t>potrebné</w:t>
      </w:r>
      <w:r w:rsidRPr="00EE7925">
        <w:rPr>
          <w:sz w:val="22"/>
          <w:szCs w:val="22"/>
        </w:rPr>
        <w:t xml:space="preserve"> </w:t>
      </w:r>
      <w:r>
        <w:rPr>
          <w:sz w:val="22"/>
          <w:szCs w:val="22"/>
        </w:rPr>
        <w:t xml:space="preserve">vykonať, aby po ukončení modernizácie koridoru </w:t>
      </w:r>
      <w:r w:rsidR="00FA419A">
        <w:rPr>
          <w:sz w:val="22"/>
          <w:szCs w:val="22"/>
        </w:rPr>
        <w:t xml:space="preserve">v smere Bratislava – Žilina </w:t>
      </w:r>
      <w:r w:rsidRPr="00EE7925">
        <w:rPr>
          <w:sz w:val="22"/>
          <w:szCs w:val="22"/>
        </w:rPr>
        <w:t xml:space="preserve">mohol </w:t>
      </w:r>
      <w:r>
        <w:rPr>
          <w:sz w:val="22"/>
          <w:szCs w:val="22"/>
        </w:rPr>
        <w:t>byť ideálny grafikon uvedený do </w:t>
      </w:r>
      <w:r w:rsidR="00FF1175">
        <w:rPr>
          <w:sz w:val="22"/>
          <w:szCs w:val="22"/>
        </w:rPr>
        <w:t>praxe.</w:t>
      </w:r>
    </w:p>
    <w:p w:rsidR="003E0235" w:rsidRDefault="003E0235" w:rsidP="00FA419A">
      <w:pPr>
        <w:spacing w:before="180" w:after="120"/>
        <w:jc w:val="both"/>
        <w:rPr>
          <w:sz w:val="22"/>
          <w:szCs w:val="22"/>
        </w:rPr>
      </w:pPr>
      <w:r w:rsidRPr="00DA54CE">
        <w:rPr>
          <w:b/>
          <w:sz w:val="22"/>
          <w:szCs w:val="22"/>
        </w:rPr>
        <w:t>V ďalšom období je možné predpokladať najmä realizáciu projektov</w:t>
      </w:r>
      <w:r w:rsidRPr="004818C0">
        <w:rPr>
          <w:b/>
          <w:sz w:val="22"/>
          <w:szCs w:val="22"/>
        </w:rPr>
        <w:t xml:space="preserve"> komplexnej optimalizácie jazdných časov na vybraných tratiach (napr. zvýšením traťovej rýchlosti bez zmeny trasovania trate, skrátením križovacích intervalov v jestvujúcich dopravných bodoch), výstavbu výhybní, v ojedinelých prípadoch aj zdvojkoľajnenie krátkych úsekov.</w:t>
      </w:r>
      <w:r w:rsidR="00FA419A">
        <w:rPr>
          <w:b/>
          <w:sz w:val="22"/>
          <w:szCs w:val="22"/>
        </w:rPr>
        <w:t xml:space="preserve"> </w:t>
      </w:r>
      <w:r w:rsidR="00FA419A" w:rsidRPr="00FA419A">
        <w:rPr>
          <w:sz w:val="22"/>
          <w:szCs w:val="22"/>
        </w:rPr>
        <w:t xml:space="preserve">Investičný plán konkrétnych </w:t>
      </w:r>
      <w:r w:rsidR="00B01DF9">
        <w:rPr>
          <w:sz w:val="22"/>
          <w:szCs w:val="22"/>
        </w:rPr>
        <w:t>stavieb</w:t>
      </w:r>
      <w:r w:rsidR="00FA419A" w:rsidRPr="00FA419A">
        <w:rPr>
          <w:sz w:val="22"/>
          <w:szCs w:val="22"/>
        </w:rPr>
        <w:t xml:space="preserve"> bude pripravovaný priebežne</w:t>
      </w:r>
      <w:r w:rsidR="00FA419A">
        <w:rPr>
          <w:sz w:val="22"/>
          <w:szCs w:val="22"/>
        </w:rPr>
        <w:t xml:space="preserve"> pre jednotlivé </w:t>
      </w:r>
      <w:r w:rsidR="00B01DF9">
        <w:rPr>
          <w:sz w:val="22"/>
          <w:szCs w:val="22"/>
        </w:rPr>
        <w:t>koridory, resp. funkčné celky, s rešpektovaním výstupov relevantných štúdií realizovateľnosti a/alebo odborných štúdií.</w:t>
      </w:r>
    </w:p>
    <w:p w:rsidR="008C0344" w:rsidRPr="005139F6" w:rsidRDefault="008C0344" w:rsidP="00FE6025">
      <w:pPr>
        <w:numPr>
          <w:ilvl w:val="2"/>
          <w:numId w:val="33"/>
        </w:numPr>
        <w:tabs>
          <w:tab w:val="clear" w:pos="360"/>
        </w:tabs>
        <w:spacing w:before="180" w:after="120"/>
        <w:ind w:left="851" w:hanging="425"/>
        <w:jc w:val="both"/>
        <w:rPr>
          <w:b/>
          <w:i/>
          <w:color w:val="4F81BD" w:themeColor="accent1"/>
          <w:sz w:val="22"/>
          <w:szCs w:val="22"/>
        </w:rPr>
      </w:pPr>
      <w:r w:rsidRPr="005139F6">
        <w:rPr>
          <w:b/>
          <w:i/>
          <w:color w:val="4F81BD" w:themeColor="accent1"/>
          <w:sz w:val="22"/>
          <w:szCs w:val="22"/>
        </w:rPr>
        <w:t>Vybudovanie a modernizácia technickej základne na opravu a údržbu vozového parku železničnej osobnej dopravy</w:t>
      </w:r>
    </w:p>
    <w:p w:rsidR="007550F8" w:rsidRPr="00372D47" w:rsidRDefault="007550F8" w:rsidP="007550F8">
      <w:pPr>
        <w:spacing w:before="120"/>
        <w:jc w:val="both"/>
        <w:rPr>
          <w:sz w:val="22"/>
          <w:szCs w:val="22"/>
          <w:lang w:eastAsia="cs-CZ"/>
        </w:rPr>
      </w:pPr>
      <w:r w:rsidRPr="00372D47">
        <w:rPr>
          <w:sz w:val="22"/>
          <w:szCs w:val="22"/>
          <w:lang w:eastAsia="cs-CZ"/>
        </w:rPr>
        <w:t>Jedným zo základných predpokladov pre poskytovanie kvalitných</w:t>
      </w:r>
      <w:r w:rsidR="00662EB4">
        <w:rPr>
          <w:sz w:val="22"/>
          <w:szCs w:val="22"/>
          <w:lang w:eastAsia="cs-CZ"/>
        </w:rPr>
        <w:t xml:space="preserve"> a udržateľných</w:t>
      </w:r>
      <w:r w:rsidR="001858DB">
        <w:rPr>
          <w:sz w:val="22"/>
          <w:szCs w:val="22"/>
          <w:lang w:eastAsia="cs-CZ"/>
        </w:rPr>
        <w:t xml:space="preserve"> prepravných služieb je</w:t>
      </w:r>
      <w:r w:rsidRPr="00372D47">
        <w:rPr>
          <w:sz w:val="22"/>
          <w:szCs w:val="22"/>
          <w:lang w:eastAsia="cs-CZ"/>
        </w:rPr>
        <w:t xml:space="preserve"> technologicky a kvalitatívne vyhovujúca infraštruktúra</w:t>
      </w:r>
      <w:r w:rsidR="001858DB">
        <w:rPr>
          <w:sz w:val="22"/>
          <w:szCs w:val="22"/>
          <w:lang w:eastAsia="cs-CZ"/>
        </w:rPr>
        <w:t xml:space="preserve"> zabezpečujúca prevádzku,</w:t>
      </w:r>
      <w:r w:rsidRPr="00372D47">
        <w:rPr>
          <w:sz w:val="22"/>
          <w:szCs w:val="22"/>
          <w:lang w:eastAsia="cs-CZ"/>
        </w:rPr>
        <w:t xml:space="preserve"> údržbu a opravy koľajových vozidiel</w:t>
      </w:r>
      <w:r w:rsidR="001858DB">
        <w:rPr>
          <w:sz w:val="22"/>
          <w:szCs w:val="22"/>
          <w:lang w:eastAsia="cs-CZ"/>
        </w:rPr>
        <w:t xml:space="preserve"> s  minimálnymi dopadmi na ľudské zdravie a životné prostredie</w:t>
      </w:r>
      <w:r w:rsidRPr="00372D47">
        <w:rPr>
          <w:sz w:val="22"/>
          <w:szCs w:val="22"/>
          <w:lang w:eastAsia="cs-CZ"/>
        </w:rPr>
        <w:t>.</w:t>
      </w:r>
      <w:r w:rsidR="001858DB">
        <w:rPr>
          <w:sz w:val="22"/>
          <w:szCs w:val="22"/>
          <w:lang w:eastAsia="cs-CZ"/>
        </w:rPr>
        <w:t xml:space="preserve"> Uveden</w:t>
      </w:r>
      <w:r w:rsidR="005F76B2">
        <w:rPr>
          <w:sz w:val="22"/>
          <w:szCs w:val="22"/>
          <w:lang w:eastAsia="cs-CZ"/>
        </w:rPr>
        <w:t>á oblasť je</w:t>
      </w:r>
      <w:r w:rsidR="001858DB">
        <w:rPr>
          <w:sz w:val="22"/>
          <w:szCs w:val="22"/>
          <w:lang w:eastAsia="cs-CZ"/>
        </w:rPr>
        <w:t xml:space="preserve"> </w:t>
      </w:r>
      <w:r w:rsidR="005F76B2">
        <w:rPr>
          <w:sz w:val="22"/>
          <w:szCs w:val="22"/>
          <w:lang w:eastAsia="cs-CZ"/>
        </w:rPr>
        <w:t>jedným z úzkych miest rozvoja železnič</w:t>
      </w:r>
      <w:r w:rsidR="008C48B2">
        <w:rPr>
          <w:sz w:val="22"/>
          <w:szCs w:val="22"/>
          <w:lang w:eastAsia="cs-CZ"/>
        </w:rPr>
        <w:t xml:space="preserve">nej osobnej dopravy na Slovensku, a to tak z pohľadu kvality poskytovaných služieb, ako aj jej </w:t>
      </w:r>
      <w:r w:rsidR="001858DB">
        <w:rPr>
          <w:sz w:val="22"/>
          <w:szCs w:val="22"/>
          <w:lang w:eastAsia="cs-CZ"/>
        </w:rPr>
        <w:t>negatívny</w:t>
      </w:r>
      <w:r w:rsidR="008C48B2">
        <w:rPr>
          <w:sz w:val="22"/>
          <w:szCs w:val="22"/>
          <w:lang w:eastAsia="cs-CZ"/>
        </w:rPr>
        <w:t>ch dopadov na</w:t>
      </w:r>
      <w:r w:rsidR="001858DB">
        <w:rPr>
          <w:sz w:val="22"/>
          <w:szCs w:val="22"/>
          <w:lang w:eastAsia="cs-CZ"/>
        </w:rPr>
        <w:t xml:space="preserve"> </w:t>
      </w:r>
      <w:r w:rsidR="00C3107B">
        <w:rPr>
          <w:sz w:val="22"/>
          <w:szCs w:val="22"/>
          <w:lang w:eastAsia="cs-CZ"/>
        </w:rPr>
        <w:t>životné prostredi</w:t>
      </w:r>
      <w:r w:rsidR="008C48B2">
        <w:rPr>
          <w:sz w:val="22"/>
          <w:szCs w:val="22"/>
          <w:lang w:eastAsia="cs-CZ"/>
        </w:rPr>
        <w:t>e</w:t>
      </w:r>
      <w:r w:rsidR="00C3107B">
        <w:rPr>
          <w:sz w:val="22"/>
          <w:szCs w:val="22"/>
          <w:lang w:eastAsia="cs-CZ"/>
        </w:rPr>
        <w:t>.</w:t>
      </w:r>
    </w:p>
    <w:p w:rsidR="00662EB4" w:rsidRDefault="00662EB4" w:rsidP="007550F8">
      <w:pPr>
        <w:spacing w:before="180"/>
        <w:jc w:val="both"/>
        <w:rPr>
          <w:sz w:val="22"/>
          <w:szCs w:val="22"/>
        </w:rPr>
      </w:pPr>
      <w:r>
        <w:rPr>
          <w:sz w:val="22"/>
          <w:szCs w:val="22"/>
          <w:lang w:eastAsia="cs-CZ"/>
        </w:rPr>
        <w:t>Sieť pracovísk údržby a opráv koľajových vozidiel sa v prevažnej miere vyznačuje</w:t>
      </w:r>
      <w:r w:rsidR="007550F8" w:rsidRPr="00372D47">
        <w:rPr>
          <w:sz w:val="22"/>
          <w:szCs w:val="22"/>
          <w:lang w:eastAsia="cs-CZ"/>
        </w:rPr>
        <w:t xml:space="preserve"> zastaranou a technologicky nevhodnou infraštruktúrou pre vykonávanie technicko-hygienickej údržby moderných ucelených koľajových jednotiek</w:t>
      </w:r>
      <w:r w:rsidR="0093429F">
        <w:rPr>
          <w:sz w:val="22"/>
          <w:szCs w:val="22"/>
          <w:lang w:eastAsia="cs-CZ"/>
        </w:rPr>
        <w:t xml:space="preserve">, navyše s výrazne negatívnym dopadom na životné prostredie. </w:t>
      </w:r>
      <w:r w:rsidR="00D57810">
        <w:rPr>
          <w:sz w:val="22"/>
          <w:szCs w:val="22"/>
        </w:rPr>
        <w:t>Je </w:t>
      </w:r>
      <w:r w:rsidR="00386950">
        <w:rPr>
          <w:sz w:val="22"/>
          <w:szCs w:val="22"/>
        </w:rPr>
        <w:t>potrebná sanácia miest dlhodobo ekologicky zaťažených nevhodným výkonom údržby a </w:t>
      </w:r>
      <w:r w:rsidR="008C48B2">
        <w:rPr>
          <w:sz w:val="22"/>
          <w:szCs w:val="22"/>
        </w:rPr>
        <w:t>zároveň nastavenie</w:t>
      </w:r>
      <w:r>
        <w:rPr>
          <w:sz w:val="22"/>
          <w:szCs w:val="22"/>
        </w:rPr>
        <w:t xml:space="preserve"> </w:t>
      </w:r>
      <w:r w:rsidR="008C48B2">
        <w:rPr>
          <w:sz w:val="22"/>
          <w:szCs w:val="22"/>
        </w:rPr>
        <w:t>novej koncepcie</w:t>
      </w:r>
      <w:r>
        <w:rPr>
          <w:sz w:val="22"/>
          <w:szCs w:val="22"/>
        </w:rPr>
        <w:t xml:space="preserve"> udržateľn</w:t>
      </w:r>
      <w:r w:rsidR="008C48B2">
        <w:rPr>
          <w:sz w:val="22"/>
          <w:szCs w:val="22"/>
        </w:rPr>
        <w:t>ého</w:t>
      </w:r>
      <w:r>
        <w:rPr>
          <w:sz w:val="22"/>
          <w:szCs w:val="22"/>
        </w:rPr>
        <w:t>, efektívn</w:t>
      </w:r>
      <w:r w:rsidR="008C48B2">
        <w:rPr>
          <w:sz w:val="22"/>
          <w:szCs w:val="22"/>
        </w:rPr>
        <w:t>eho</w:t>
      </w:r>
      <w:r>
        <w:rPr>
          <w:sz w:val="22"/>
          <w:szCs w:val="22"/>
        </w:rPr>
        <w:t xml:space="preserve"> a environmentálne pr</w:t>
      </w:r>
      <w:r w:rsidRPr="0039428A">
        <w:rPr>
          <w:sz w:val="22"/>
          <w:szCs w:val="22"/>
        </w:rPr>
        <w:t>ípustn</w:t>
      </w:r>
      <w:r w:rsidR="008C48B2">
        <w:rPr>
          <w:sz w:val="22"/>
          <w:szCs w:val="22"/>
        </w:rPr>
        <w:t>ého</w:t>
      </w:r>
      <w:r w:rsidRPr="0039428A">
        <w:rPr>
          <w:sz w:val="22"/>
          <w:szCs w:val="22"/>
        </w:rPr>
        <w:t xml:space="preserve"> chod</w:t>
      </w:r>
      <w:r w:rsidR="008C48B2">
        <w:rPr>
          <w:sz w:val="22"/>
          <w:szCs w:val="22"/>
        </w:rPr>
        <w:t>u</w:t>
      </w:r>
      <w:r w:rsidR="00386950">
        <w:rPr>
          <w:sz w:val="22"/>
          <w:szCs w:val="22"/>
        </w:rPr>
        <w:t xml:space="preserve"> celého systému </w:t>
      </w:r>
      <w:r w:rsidR="008C48B2">
        <w:rPr>
          <w:sz w:val="22"/>
          <w:szCs w:val="22"/>
        </w:rPr>
        <w:t>údržby</w:t>
      </w:r>
      <w:r w:rsidR="00386950">
        <w:rPr>
          <w:sz w:val="22"/>
          <w:szCs w:val="22"/>
        </w:rPr>
        <w:t xml:space="preserve"> koľajových vozidiel </w:t>
      </w:r>
      <w:r w:rsidR="008C48B2">
        <w:rPr>
          <w:sz w:val="22"/>
          <w:szCs w:val="22"/>
        </w:rPr>
        <w:t xml:space="preserve">železničnej </w:t>
      </w:r>
      <w:r w:rsidR="00386950">
        <w:rPr>
          <w:sz w:val="22"/>
          <w:szCs w:val="22"/>
        </w:rPr>
        <w:t>osobnej dopravy.</w:t>
      </w:r>
      <w:r w:rsidR="00386950" w:rsidRPr="00386950">
        <w:rPr>
          <w:sz w:val="22"/>
          <w:szCs w:val="22"/>
          <w:lang w:eastAsia="cs-CZ"/>
        </w:rPr>
        <w:t xml:space="preserve"> </w:t>
      </w:r>
      <w:r w:rsidR="00386950" w:rsidRPr="00636BA4">
        <w:rPr>
          <w:sz w:val="22"/>
          <w:szCs w:val="22"/>
          <w:lang w:eastAsia="cs-CZ"/>
        </w:rPr>
        <w:t>Z environmentálneho hľadiska je zásadná ochrana povrchových a podzemných vôd</w:t>
      </w:r>
      <w:r w:rsidR="008C48B2">
        <w:rPr>
          <w:sz w:val="22"/>
          <w:szCs w:val="22"/>
          <w:lang w:eastAsia="cs-CZ"/>
        </w:rPr>
        <w:t xml:space="preserve"> prostredníctvom</w:t>
      </w:r>
      <w:r w:rsidR="00386950" w:rsidRPr="00636BA4">
        <w:rPr>
          <w:sz w:val="22"/>
          <w:szCs w:val="22"/>
          <w:lang w:eastAsia="cs-CZ"/>
        </w:rPr>
        <w:t xml:space="preserve"> výstavby kanalizačného systému, čistiarní odpadových vôd, využi</w:t>
      </w:r>
      <w:r w:rsidR="008C48B2">
        <w:rPr>
          <w:sz w:val="22"/>
          <w:szCs w:val="22"/>
          <w:lang w:eastAsia="cs-CZ"/>
        </w:rPr>
        <w:t>tia</w:t>
      </w:r>
      <w:r w:rsidR="00386950" w:rsidRPr="00636BA4">
        <w:rPr>
          <w:sz w:val="22"/>
          <w:szCs w:val="22"/>
          <w:lang w:eastAsia="cs-CZ"/>
        </w:rPr>
        <w:t xml:space="preserve"> nových technológií určených napr. na čistenie exteriéru koľajových vozidiel, vákuových toaliet a pod.</w:t>
      </w:r>
    </w:p>
    <w:p w:rsidR="00CC4631" w:rsidRDefault="007550F8" w:rsidP="007550F8">
      <w:pPr>
        <w:spacing w:before="180"/>
        <w:jc w:val="both"/>
        <w:rPr>
          <w:sz w:val="22"/>
          <w:szCs w:val="22"/>
          <w:lang w:eastAsia="cs-CZ"/>
        </w:rPr>
      </w:pPr>
      <w:r w:rsidRPr="00372D47">
        <w:rPr>
          <w:sz w:val="22"/>
          <w:szCs w:val="22"/>
          <w:lang w:eastAsia="cs-CZ"/>
        </w:rPr>
        <w:t xml:space="preserve">S cieľom zabezpečiť udržateľnosť kvality služieb poskytovaných v rámci železničnej verejnej osobnej dopravy je preto </w:t>
      </w:r>
      <w:r w:rsidR="00CC4631">
        <w:rPr>
          <w:b/>
          <w:sz w:val="22"/>
          <w:szCs w:val="22"/>
          <w:lang w:eastAsia="cs-CZ"/>
        </w:rPr>
        <w:t>nevyhnutné</w:t>
      </w:r>
      <w:r w:rsidRPr="00372D47">
        <w:rPr>
          <w:b/>
          <w:sz w:val="22"/>
          <w:szCs w:val="22"/>
          <w:lang w:eastAsia="cs-CZ"/>
        </w:rPr>
        <w:t xml:space="preserve"> pristúpiť k modernizácii infraštruktúry siete technicko-hygienických pracovísk (THÚ).</w:t>
      </w:r>
      <w:r w:rsidRPr="00372D47">
        <w:rPr>
          <w:sz w:val="22"/>
          <w:szCs w:val="22"/>
          <w:lang w:eastAsia="cs-CZ"/>
        </w:rPr>
        <w:t xml:space="preserve"> </w:t>
      </w:r>
      <w:r w:rsidR="002407A0">
        <w:rPr>
          <w:sz w:val="22"/>
          <w:szCs w:val="22"/>
          <w:lang w:eastAsia="cs-CZ"/>
        </w:rPr>
        <w:t>Cieľom aktivít je naplnenie e</w:t>
      </w:r>
      <w:r w:rsidR="00C3107B">
        <w:rPr>
          <w:sz w:val="22"/>
          <w:szCs w:val="22"/>
          <w:lang w:eastAsia="cs-CZ"/>
        </w:rPr>
        <w:t>nvironmentálnych požiadaviek na </w:t>
      </w:r>
      <w:r w:rsidR="002407A0">
        <w:rPr>
          <w:sz w:val="22"/>
          <w:szCs w:val="22"/>
          <w:lang w:eastAsia="cs-CZ"/>
        </w:rPr>
        <w:t>prevádzku pracovísk, zvýšenie kvality výkonov údržby a opráv, zefektívnenie procesov údržby – skrátenie prestojov vlakových súprav vyvolaných údržbou a opravami, optimalizácia počtu pracovísk na údržbu a opravy koľajových vozidiel a s tým spojené z</w:t>
      </w:r>
      <w:r w:rsidR="00C3107B">
        <w:rPr>
          <w:sz w:val="22"/>
          <w:szCs w:val="22"/>
          <w:lang w:eastAsia="cs-CZ"/>
        </w:rPr>
        <w:t>níženie prevádzkových nákladov.</w:t>
      </w:r>
    </w:p>
    <w:p w:rsidR="00D57810" w:rsidRDefault="007550F8" w:rsidP="00CC4631">
      <w:pPr>
        <w:spacing w:before="180"/>
        <w:jc w:val="both"/>
        <w:rPr>
          <w:color w:val="000000" w:themeColor="text1"/>
          <w:sz w:val="22"/>
          <w:szCs w:val="22"/>
          <w:lang w:eastAsia="cs-CZ"/>
        </w:rPr>
      </w:pPr>
      <w:r w:rsidRPr="00372D47">
        <w:rPr>
          <w:sz w:val="22"/>
          <w:szCs w:val="22"/>
          <w:lang w:eastAsia="cs-CZ"/>
        </w:rPr>
        <w:t>Intervencia</w:t>
      </w:r>
      <w:r w:rsidR="002407A0">
        <w:rPr>
          <w:sz w:val="22"/>
          <w:szCs w:val="22"/>
          <w:lang w:eastAsia="cs-CZ"/>
        </w:rPr>
        <w:t xml:space="preserve"> počí</w:t>
      </w:r>
      <w:r w:rsidR="00CC4631">
        <w:rPr>
          <w:sz w:val="22"/>
          <w:szCs w:val="22"/>
          <w:lang w:eastAsia="cs-CZ"/>
        </w:rPr>
        <w:t>ta s výstavbou a modernizáciou siete</w:t>
      </w:r>
      <w:r w:rsidR="002407A0">
        <w:rPr>
          <w:sz w:val="22"/>
          <w:szCs w:val="22"/>
          <w:lang w:eastAsia="cs-CZ"/>
        </w:rPr>
        <w:t xml:space="preserve"> pracovísk údržby a opráv v</w:t>
      </w:r>
      <w:r w:rsidR="00CC4631">
        <w:rPr>
          <w:sz w:val="22"/>
          <w:szCs w:val="22"/>
          <w:lang w:eastAsia="cs-CZ"/>
        </w:rPr>
        <w:t> </w:t>
      </w:r>
      <w:r w:rsidR="002407A0">
        <w:rPr>
          <w:sz w:val="22"/>
          <w:szCs w:val="22"/>
          <w:lang w:eastAsia="cs-CZ"/>
        </w:rPr>
        <w:t>mestá</w:t>
      </w:r>
      <w:r w:rsidR="00CC4631">
        <w:rPr>
          <w:sz w:val="22"/>
          <w:szCs w:val="22"/>
          <w:lang w:eastAsia="cs-CZ"/>
        </w:rPr>
        <w:t xml:space="preserve">ch, ktorých kapacity by neboli </w:t>
      </w:r>
      <w:r w:rsidRPr="00372D47">
        <w:rPr>
          <w:color w:val="000000" w:themeColor="text1"/>
          <w:sz w:val="22"/>
          <w:szCs w:val="22"/>
          <w:lang w:eastAsia="cs-CZ"/>
        </w:rPr>
        <w:t>využívané len pre železničné vozidlá obstarané z európskych zdrojov, ale aj iných vozidiel dopravcu nachádzajúcich sa v</w:t>
      </w:r>
      <w:r w:rsidR="008C48B2">
        <w:rPr>
          <w:color w:val="000000" w:themeColor="text1"/>
          <w:sz w:val="22"/>
          <w:szCs w:val="22"/>
          <w:lang w:eastAsia="cs-CZ"/>
        </w:rPr>
        <w:t> spádovej oblasti</w:t>
      </w:r>
      <w:r w:rsidRPr="00372D47">
        <w:rPr>
          <w:color w:val="000000" w:themeColor="text1"/>
          <w:sz w:val="22"/>
          <w:szCs w:val="22"/>
          <w:lang w:eastAsia="cs-CZ"/>
        </w:rPr>
        <w:t> príslušných železničných uzlo</w:t>
      </w:r>
      <w:r w:rsidR="008C48B2">
        <w:rPr>
          <w:color w:val="000000" w:themeColor="text1"/>
          <w:sz w:val="22"/>
          <w:szCs w:val="22"/>
          <w:lang w:eastAsia="cs-CZ"/>
        </w:rPr>
        <w:t>v</w:t>
      </w:r>
      <w:r w:rsidRPr="00372D47">
        <w:rPr>
          <w:color w:val="000000" w:themeColor="text1"/>
          <w:sz w:val="22"/>
          <w:szCs w:val="22"/>
          <w:lang w:eastAsia="cs-CZ"/>
        </w:rPr>
        <w:t>.</w:t>
      </w:r>
    </w:p>
    <w:p w:rsidR="008C0344" w:rsidRDefault="007550F8" w:rsidP="00CC4631">
      <w:pPr>
        <w:spacing w:before="180"/>
        <w:jc w:val="both"/>
        <w:rPr>
          <w:sz w:val="22"/>
          <w:szCs w:val="22"/>
          <w:lang w:eastAsia="cs-CZ"/>
        </w:rPr>
      </w:pPr>
      <w:r w:rsidRPr="00372D47">
        <w:rPr>
          <w:color w:val="000000" w:themeColor="text1"/>
          <w:sz w:val="22"/>
          <w:szCs w:val="22"/>
          <w:lang w:eastAsia="cs-CZ"/>
        </w:rPr>
        <w:t>Modernizáciou vybraných pracovísk dôjde k postupnej optimalizácii celej siete pracovísk THÚ ZSSK, nárastu kvality údržby koľajových vozidiel, vykonávaniu energeticky efektívnejšej údržby a opráv vozidiel</w:t>
      </w:r>
      <w:r w:rsidR="008C48B2">
        <w:rPr>
          <w:color w:val="000000" w:themeColor="text1"/>
          <w:sz w:val="22"/>
          <w:szCs w:val="22"/>
          <w:lang w:eastAsia="cs-CZ"/>
        </w:rPr>
        <w:t>, skráteniu prestojov vlakov</w:t>
      </w:r>
      <w:r w:rsidRPr="00372D47">
        <w:rPr>
          <w:color w:val="000000" w:themeColor="text1"/>
          <w:sz w:val="22"/>
          <w:szCs w:val="22"/>
          <w:lang w:eastAsia="cs-CZ"/>
        </w:rPr>
        <w:t xml:space="preserve"> a vyriešeniu problémov environmen</w:t>
      </w:r>
      <w:r w:rsidR="00CC4631">
        <w:rPr>
          <w:color w:val="000000" w:themeColor="text1"/>
          <w:sz w:val="22"/>
          <w:szCs w:val="22"/>
          <w:lang w:eastAsia="cs-CZ"/>
        </w:rPr>
        <w:t>tálneho charakteru</w:t>
      </w:r>
      <w:r w:rsidRPr="00372D47">
        <w:rPr>
          <w:sz w:val="22"/>
          <w:szCs w:val="22"/>
          <w:lang w:eastAsia="cs-CZ"/>
        </w:rPr>
        <w:t>. Riešenie tejto problematiky vytvorí</w:t>
      </w:r>
      <w:r w:rsidR="002407A0">
        <w:rPr>
          <w:sz w:val="22"/>
          <w:szCs w:val="22"/>
          <w:lang w:eastAsia="cs-CZ"/>
        </w:rPr>
        <w:t xml:space="preserve"> udržateľný systém</w:t>
      </w:r>
      <w:r w:rsidR="0047136E">
        <w:rPr>
          <w:sz w:val="22"/>
          <w:szCs w:val="22"/>
          <w:lang w:eastAsia="cs-CZ"/>
        </w:rPr>
        <w:t xml:space="preserve"> pre</w:t>
      </w:r>
      <w:r w:rsidR="002407A0">
        <w:rPr>
          <w:sz w:val="22"/>
          <w:szCs w:val="22"/>
          <w:lang w:eastAsia="cs-CZ"/>
        </w:rPr>
        <w:t xml:space="preserve"> fungovani</w:t>
      </w:r>
      <w:r w:rsidR="0047136E">
        <w:rPr>
          <w:sz w:val="22"/>
          <w:szCs w:val="22"/>
          <w:lang w:eastAsia="cs-CZ"/>
        </w:rPr>
        <w:t>e</w:t>
      </w:r>
      <w:r w:rsidR="002407A0">
        <w:rPr>
          <w:sz w:val="22"/>
          <w:szCs w:val="22"/>
          <w:lang w:eastAsia="cs-CZ"/>
        </w:rPr>
        <w:t xml:space="preserve"> železničnej dopravy</w:t>
      </w:r>
      <w:r w:rsidRPr="00372D47">
        <w:rPr>
          <w:sz w:val="22"/>
          <w:szCs w:val="22"/>
          <w:lang w:eastAsia="cs-CZ"/>
        </w:rPr>
        <w:t xml:space="preserve"> </w:t>
      </w:r>
      <w:r w:rsidR="002407A0">
        <w:rPr>
          <w:sz w:val="22"/>
          <w:szCs w:val="22"/>
          <w:lang w:eastAsia="cs-CZ"/>
        </w:rPr>
        <w:t>a znásobí pozitívne dopady</w:t>
      </w:r>
      <w:r w:rsidRPr="00372D47">
        <w:rPr>
          <w:sz w:val="22"/>
          <w:szCs w:val="22"/>
          <w:lang w:eastAsia="cs-CZ"/>
        </w:rPr>
        <w:t xml:space="preserve"> nakupovaných mobilných prostriedkov voči cestujúcej verejnosti.</w:t>
      </w:r>
    </w:p>
    <w:p w:rsidR="008C0344" w:rsidRDefault="00E74D5D" w:rsidP="00FE6025">
      <w:pPr>
        <w:numPr>
          <w:ilvl w:val="2"/>
          <w:numId w:val="33"/>
        </w:numPr>
        <w:tabs>
          <w:tab w:val="clear" w:pos="360"/>
        </w:tabs>
        <w:spacing w:before="180" w:after="120"/>
        <w:ind w:left="851" w:hanging="425"/>
        <w:jc w:val="both"/>
        <w:rPr>
          <w:b/>
          <w:i/>
          <w:color w:val="4F81BD" w:themeColor="accent1"/>
          <w:sz w:val="22"/>
          <w:szCs w:val="22"/>
        </w:rPr>
      </w:pPr>
      <w:r w:rsidRPr="005139F6">
        <w:rPr>
          <w:b/>
          <w:i/>
          <w:color w:val="4F81BD" w:themeColor="accent1"/>
          <w:sz w:val="22"/>
          <w:szCs w:val="22"/>
        </w:rPr>
        <w:lastRenderedPageBreak/>
        <w:t>Modernizácia železničnej infraštruktúry v súvislosti so zabezpečením efektívneho colného konania</w:t>
      </w:r>
    </w:p>
    <w:p w:rsidR="002D122E" w:rsidRPr="002D122E" w:rsidRDefault="002D122E" w:rsidP="002D122E">
      <w:pPr>
        <w:spacing w:before="120" w:after="120"/>
        <w:jc w:val="both"/>
        <w:rPr>
          <w:sz w:val="22"/>
          <w:szCs w:val="22"/>
        </w:rPr>
      </w:pPr>
      <w:r w:rsidRPr="002D122E">
        <w:rPr>
          <w:sz w:val="22"/>
          <w:szCs w:val="22"/>
        </w:rPr>
        <w:t>Pozri kap. 2.6.</w:t>
      </w:r>
      <w:r w:rsidR="005664A2">
        <w:rPr>
          <w:sz w:val="22"/>
          <w:szCs w:val="22"/>
        </w:rPr>
        <w:t>4</w:t>
      </w:r>
      <w:r w:rsidRPr="002D122E">
        <w:rPr>
          <w:sz w:val="22"/>
          <w:szCs w:val="22"/>
        </w:rPr>
        <w:t>.</w:t>
      </w:r>
      <w:r w:rsidR="005664A2">
        <w:rPr>
          <w:sz w:val="22"/>
          <w:szCs w:val="22"/>
        </w:rPr>
        <w:t>1 C.</w:t>
      </w:r>
    </w:p>
    <w:p w:rsidR="002D122E" w:rsidRDefault="00765170" w:rsidP="00FE6025">
      <w:pPr>
        <w:numPr>
          <w:ilvl w:val="2"/>
          <w:numId w:val="33"/>
        </w:numPr>
        <w:tabs>
          <w:tab w:val="clear" w:pos="360"/>
        </w:tabs>
        <w:spacing w:before="180" w:after="120"/>
        <w:ind w:left="851" w:hanging="425"/>
        <w:jc w:val="both"/>
        <w:rPr>
          <w:b/>
          <w:i/>
          <w:color w:val="4F81BD" w:themeColor="accent1"/>
          <w:sz w:val="22"/>
          <w:szCs w:val="22"/>
        </w:rPr>
      </w:pPr>
      <w:r>
        <w:rPr>
          <w:b/>
          <w:i/>
          <w:color w:val="4F81BD" w:themeColor="accent1"/>
          <w:sz w:val="22"/>
          <w:szCs w:val="22"/>
        </w:rPr>
        <w:t xml:space="preserve">Implementácia systémov ETCS, </w:t>
      </w:r>
      <w:r w:rsidR="002D122E">
        <w:rPr>
          <w:b/>
          <w:i/>
          <w:color w:val="4F81BD" w:themeColor="accent1"/>
          <w:sz w:val="22"/>
          <w:szCs w:val="22"/>
        </w:rPr>
        <w:t>GSM-R</w:t>
      </w:r>
      <w:r>
        <w:rPr>
          <w:b/>
          <w:i/>
          <w:color w:val="4F81BD" w:themeColor="accent1"/>
          <w:sz w:val="22"/>
          <w:szCs w:val="22"/>
        </w:rPr>
        <w:t>, TSI TAF/TAP</w:t>
      </w:r>
    </w:p>
    <w:p w:rsidR="002D122E" w:rsidRDefault="002D122E" w:rsidP="002D122E">
      <w:pPr>
        <w:spacing w:before="120"/>
        <w:jc w:val="both"/>
        <w:rPr>
          <w:color w:val="000000" w:themeColor="text1"/>
          <w:sz w:val="22"/>
          <w:szCs w:val="22"/>
        </w:rPr>
      </w:pPr>
      <w:r w:rsidRPr="00A02ED4">
        <w:rPr>
          <w:sz w:val="22"/>
          <w:szCs w:val="22"/>
        </w:rPr>
        <w:t>Jedným z</w:t>
      </w:r>
      <w:r>
        <w:rPr>
          <w:sz w:val="22"/>
          <w:szCs w:val="22"/>
        </w:rPr>
        <w:t> </w:t>
      </w:r>
      <w:r w:rsidRPr="00A02ED4">
        <w:rPr>
          <w:sz w:val="22"/>
          <w:szCs w:val="22"/>
        </w:rPr>
        <w:t xml:space="preserve">hlavných nedostatkov železničnej </w:t>
      </w:r>
      <w:r w:rsidR="00765170">
        <w:rPr>
          <w:sz w:val="22"/>
          <w:szCs w:val="22"/>
        </w:rPr>
        <w:t xml:space="preserve">infraštruktúry </w:t>
      </w:r>
      <w:r w:rsidRPr="00E57693">
        <w:rPr>
          <w:color w:val="000000" w:themeColor="text1"/>
          <w:sz w:val="22"/>
          <w:szCs w:val="22"/>
        </w:rPr>
        <w:t>je jej zastaranosť,</w:t>
      </w:r>
      <w:r w:rsidRPr="00A02ED4">
        <w:rPr>
          <w:sz w:val="22"/>
          <w:szCs w:val="22"/>
        </w:rPr>
        <w:t xml:space="preserve"> nízka </w:t>
      </w:r>
      <w:r w:rsidRPr="00E57693">
        <w:rPr>
          <w:color w:val="000000" w:themeColor="text1"/>
          <w:sz w:val="22"/>
          <w:szCs w:val="22"/>
        </w:rPr>
        <w:t xml:space="preserve">technická úroveň </w:t>
      </w:r>
      <w:r>
        <w:rPr>
          <w:color w:val="000000" w:themeColor="text1"/>
          <w:sz w:val="22"/>
          <w:szCs w:val="22"/>
        </w:rPr>
        <w:t>a </w:t>
      </w:r>
      <w:r w:rsidRPr="00E57693">
        <w:rPr>
          <w:color w:val="000000" w:themeColor="text1"/>
          <w:sz w:val="22"/>
          <w:szCs w:val="22"/>
        </w:rPr>
        <w:t xml:space="preserve">nedostatočná interoperabilita. </w:t>
      </w:r>
      <w:r w:rsidRPr="0058787C">
        <w:rPr>
          <w:color w:val="000000" w:themeColor="text1"/>
          <w:sz w:val="22"/>
          <w:szCs w:val="22"/>
        </w:rPr>
        <w:t xml:space="preserve">Cieľom je zlepšenie technickej infraštruktúry </w:t>
      </w:r>
      <w:r>
        <w:rPr>
          <w:color w:val="000000" w:themeColor="text1"/>
          <w:sz w:val="22"/>
          <w:szCs w:val="22"/>
        </w:rPr>
        <w:t>existujúcich tratí</w:t>
      </w:r>
      <w:r w:rsidRPr="0058787C">
        <w:rPr>
          <w:color w:val="000000" w:themeColor="text1"/>
          <w:sz w:val="22"/>
          <w:szCs w:val="22"/>
        </w:rPr>
        <w:t xml:space="preserve"> na takú úroveň, aby zodpovedala Technickým</w:t>
      </w:r>
      <w:r>
        <w:rPr>
          <w:color w:val="000000" w:themeColor="text1"/>
          <w:sz w:val="22"/>
          <w:szCs w:val="22"/>
        </w:rPr>
        <w:t xml:space="preserve"> špecifikáciám interoperability (TSI). To umožní </w:t>
      </w:r>
      <w:r w:rsidRPr="00E57693">
        <w:rPr>
          <w:color w:val="000000" w:themeColor="text1"/>
          <w:sz w:val="22"/>
          <w:szCs w:val="22"/>
        </w:rPr>
        <w:t xml:space="preserve">odbúranie doterajších technických bariér, zabezpečenie </w:t>
      </w:r>
      <w:r>
        <w:rPr>
          <w:color w:val="000000" w:themeColor="text1"/>
          <w:sz w:val="22"/>
          <w:szCs w:val="22"/>
        </w:rPr>
        <w:t>efektívnejšieho</w:t>
      </w:r>
      <w:r w:rsidRPr="00E57693">
        <w:rPr>
          <w:color w:val="000000" w:themeColor="text1"/>
          <w:sz w:val="22"/>
          <w:szCs w:val="22"/>
        </w:rPr>
        <w:t xml:space="preserve"> využitia technických parametrov železničných tratí a</w:t>
      </w:r>
      <w:r>
        <w:rPr>
          <w:color w:val="000000" w:themeColor="text1"/>
          <w:sz w:val="22"/>
          <w:szCs w:val="22"/>
        </w:rPr>
        <w:t> </w:t>
      </w:r>
      <w:r w:rsidRPr="00E57693">
        <w:rPr>
          <w:color w:val="000000" w:themeColor="text1"/>
          <w:sz w:val="22"/>
          <w:szCs w:val="22"/>
        </w:rPr>
        <w:t>zvýšenie konkurencieschopnosti železničnej dopravy.</w:t>
      </w:r>
    </w:p>
    <w:p w:rsidR="002D122E" w:rsidRDefault="002D122E" w:rsidP="002D122E">
      <w:pPr>
        <w:spacing w:before="180" w:after="120"/>
        <w:jc w:val="both"/>
        <w:rPr>
          <w:color w:val="000000" w:themeColor="text1"/>
          <w:sz w:val="22"/>
          <w:szCs w:val="22"/>
        </w:rPr>
      </w:pPr>
      <w:r w:rsidRPr="00E57693">
        <w:rPr>
          <w:color w:val="000000" w:themeColor="text1"/>
          <w:sz w:val="22"/>
          <w:szCs w:val="22"/>
        </w:rPr>
        <w:t>Intervencie v</w:t>
      </w:r>
      <w:r>
        <w:rPr>
          <w:color w:val="000000" w:themeColor="text1"/>
          <w:sz w:val="22"/>
          <w:szCs w:val="22"/>
        </w:rPr>
        <w:t> </w:t>
      </w:r>
      <w:r w:rsidRPr="00E57693">
        <w:rPr>
          <w:color w:val="000000" w:themeColor="text1"/>
          <w:sz w:val="22"/>
          <w:szCs w:val="22"/>
        </w:rPr>
        <w:t>oblasti železničnej dop</w:t>
      </w:r>
      <w:r>
        <w:rPr>
          <w:color w:val="000000" w:themeColor="text1"/>
          <w:sz w:val="22"/>
          <w:szCs w:val="22"/>
        </w:rPr>
        <w:t xml:space="preserve">ravy budú preto smerovať </w:t>
      </w:r>
      <w:r w:rsidR="00765170">
        <w:rPr>
          <w:color w:val="000000" w:themeColor="text1"/>
          <w:sz w:val="22"/>
          <w:szCs w:val="22"/>
        </w:rPr>
        <w:t xml:space="preserve">najmä </w:t>
      </w:r>
      <w:r>
        <w:rPr>
          <w:color w:val="000000" w:themeColor="text1"/>
          <w:sz w:val="22"/>
          <w:szCs w:val="22"/>
        </w:rPr>
        <w:t xml:space="preserve">k zavedeniu systému ERTMS </w:t>
      </w:r>
      <w:r w:rsidR="006A7D9F">
        <w:rPr>
          <w:color w:val="000000" w:themeColor="text1"/>
          <w:sz w:val="22"/>
          <w:szCs w:val="22"/>
        </w:rPr>
        <w:t xml:space="preserve">a podpornej prenosovej infraštruktúry </w:t>
      </w:r>
      <w:r>
        <w:rPr>
          <w:color w:val="000000" w:themeColor="text1"/>
          <w:sz w:val="22"/>
          <w:szCs w:val="22"/>
        </w:rPr>
        <w:t>na </w:t>
      </w:r>
      <w:r w:rsidRPr="00E57693">
        <w:rPr>
          <w:color w:val="000000" w:themeColor="text1"/>
          <w:sz w:val="22"/>
          <w:szCs w:val="22"/>
        </w:rPr>
        <w:t>ucelených úsekoch</w:t>
      </w:r>
      <w:r w:rsidRPr="00A02ED4">
        <w:rPr>
          <w:sz w:val="22"/>
          <w:szCs w:val="22"/>
        </w:rPr>
        <w:t xml:space="preserve"> </w:t>
      </w:r>
      <w:r>
        <w:rPr>
          <w:color w:val="000000" w:themeColor="text1"/>
          <w:sz w:val="22"/>
          <w:szCs w:val="22"/>
        </w:rPr>
        <w:t>na </w:t>
      </w:r>
      <w:r w:rsidRPr="00E57693">
        <w:rPr>
          <w:color w:val="000000" w:themeColor="text1"/>
          <w:sz w:val="22"/>
          <w:szCs w:val="22"/>
        </w:rPr>
        <w:t>modernizovaných železničných</w:t>
      </w:r>
      <w:r w:rsidRPr="00A02ED4">
        <w:rPr>
          <w:sz w:val="22"/>
          <w:szCs w:val="22"/>
        </w:rPr>
        <w:t xml:space="preserve"> tratiach,</w:t>
      </w:r>
      <w:r>
        <w:rPr>
          <w:sz w:val="22"/>
          <w:szCs w:val="22"/>
        </w:rPr>
        <w:t xml:space="preserve"> prednostne na tých, kde pre SR vyplývajú záväzky podľa</w:t>
      </w:r>
      <w:r w:rsidRPr="00E57693">
        <w:rPr>
          <w:color w:val="000000" w:themeColor="text1"/>
          <w:sz w:val="22"/>
          <w:szCs w:val="22"/>
        </w:rPr>
        <w:t xml:space="preserve"> Rozhodnutia</w:t>
      </w:r>
      <w:r>
        <w:rPr>
          <w:color w:val="000000" w:themeColor="text1"/>
          <w:sz w:val="22"/>
          <w:szCs w:val="22"/>
        </w:rPr>
        <w:t xml:space="preserve"> Komisie č. </w:t>
      </w:r>
      <w:r w:rsidRPr="00E57693">
        <w:rPr>
          <w:color w:val="000000" w:themeColor="text1"/>
          <w:sz w:val="22"/>
          <w:szCs w:val="22"/>
        </w:rPr>
        <w:t>2012/88/EÚ z</w:t>
      </w:r>
      <w:r>
        <w:rPr>
          <w:color w:val="000000" w:themeColor="text1"/>
          <w:sz w:val="22"/>
          <w:szCs w:val="22"/>
        </w:rPr>
        <w:t> </w:t>
      </w:r>
      <w:r w:rsidRPr="00E57693">
        <w:rPr>
          <w:color w:val="000000" w:themeColor="text1"/>
          <w:sz w:val="22"/>
          <w:szCs w:val="22"/>
        </w:rPr>
        <w:t>25. januára 2012 o</w:t>
      </w:r>
      <w:r>
        <w:rPr>
          <w:color w:val="000000" w:themeColor="text1"/>
          <w:sz w:val="22"/>
          <w:szCs w:val="22"/>
        </w:rPr>
        <w:t> </w:t>
      </w:r>
      <w:r w:rsidRPr="00E57693">
        <w:rPr>
          <w:color w:val="000000" w:themeColor="text1"/>
          <w:sz w:val="22"/>
          <w:szCs w:val="22"/>
        </w:rPr>
        <w:t>technickej špecifikácii interoperability týkajúcej sa subsystémov riadenia</w:t>
      </w:r>
      <w:r>
        <w:rPr>
          <w:color w:val="000000" w:themeColor="text1"/>
          <w:sz w:val="22"/>
          <w:szCs w:val="22"/>
        </w:rPr>
        <w:t xml:space="preserve"> </w:t>
      </w:r>
      <w:r w:rsidRPr="00E57693">
        <w:rPr>
          <w:color w:val="000000" w:themeColor="text1"/>
          <w:sz w:val="22"/>
          <w:szCs w:val="22"/>
        </w:rPr>
        <w:t>-</w:t>
      </w:r>
      <w:r>
        <w:rPr>
          <w:color w:val="000000" w:themeColor="text1"/>
          <w:sz w:val="22"/>
          <w:szCs w:val="22"/>
        </w:rPr>
        <w:t xml:space="preserve"> </w:t>
      </w:r>
      <w:r w:rsidRPr="00E57693">
        <w:rPr>
          <w:color w:val="000000" w:themeColor="text1"/>
          <w:sz w:val="22"/>
          <w:szCs w:val="22"/>
        </w:rPr>
        <w:t>zabezpečenia a</w:t>
      </w:r>
      <w:r>
        <w:rPr>
          <w:color w:val="000000" w:themeColor="text1"/>
          <w:sz w:val="22"/>
          <w:szCs w:val="22"/>
        </w:rPr>
        <w:t> </w:t>
      </w:r>
      <w:r w:rsidRPr="00E57693">
        <w:rPr>
          <w:color w:val="000000" w:themeColor="text1"/>
          <w:sz w:val="22"/>
          <w:szCs w:val="22"/>
        </w:rPr>
        <w:t>návestenia transe</w:t>
      </w:r>
      <w:r>
        <w:rPr>
          <w:color w:val="000000" w:themeColor="text1"/>
          <w:sz w:val="22"/>
          <w:szCs w:val="22"/>
        </w:rPr>
        <w:t xml:space="preserve">urópskeho železničného systému, resp. priamo </w:t>
      </w:r>
      <w:r w:rsidRPr="00BF0317">
        <w:rPr>
          <w:color w:val="000000" w:themeColor="text1"/>
          <w:sz w:val="22"/>
          <w:szCs w:val="22"/>
        </w:rPr>
        <w:t>zo Smernice</w:t>
      </w:r>
      <w:r>
        <w:rPr>
          <w:color w:val="000000" w:themeColor="text1"/>
          <w:sz w:val="22"/>
          <w:szCs w:val="22"/>
        </w:rPr>
        <w:t xml:space="preserve"> EP a Rady 2008/57/ES zo 17. júna 2008 </w:t>
      </w:r>
      <w:r w:rsidRPr="00BF0317">
        <w:rPr>
          <w:color w:val="000000" w:themeColor="text1"/>
          <w:sz w:val="22"/>
          <w:szCs w:val="22"/>
        </w:rPr>
        <w:t>o</w:t>
      </w:r>
      <w:r>
        <w:rPr>
          <w:color w:val="000000" w:themeColor="text1"/>
          <w:sz w:val="22"/>
          <w:szCs w:val="22"/>
        </w:rPr>
        <w:t> </w:t>
      </w:r>
      <w:r w:rsidRPr="00BF0317">
        <w:rPr>
          <w:color w:val="000000" w:themeColor="text1"/>
          <w:sz w:val="22"/>
          <w:szCs w:val="22"/>
        </w:rPr>
        <w:t>interoperabilite</w:t>
      </w:r>
      <w:r>
        <w:rPr>
          <w:color w:val="000000" w:themeColor="text1"/>
          <w:sz w:val="22"/>
          <w:szCs w:val="22"/>
        </w:rPr>
        <w:t xml:space="preserve"> systému železníc v Spoločenstve.</w:t>
      </w:r>
      <w:r w:rsidRPr="00BF0317">
        <w:rPr>
          <w:color w:val="000000" w:themeColor="text1"/>
          <w:sz w:val="22"/>
          <w:szCs w:val="22"/>
        </w:rPr>
        <w:t xml:space="preserve"> Konkrétne</w:t>
      </w:r>
      <w:r>
        <w:rPr>
          <w:color w:val="000000" w:themeColor="text1"/>
          <w:sz w:val="22"/>
          <w:szCs w:val="22"/>
        </w:rPr>
        <w:t xml:space="preserve"> ide o úsek:</w:t>
      </w:r>
    </w:p>
    <w:p w:rsidR="002D122E" w:rsidRDefault="002D122E" w:rsidP="002D122E">
      <w:pPr>
        <w:pStyle w:val="Odsekzoznamu"/>
        <w:numPr>
          <w:ilvl w:val="0"/>
          <w:numId w:val="56"/>
        </w:numPr>
        <w:spacing w:before="120" w:after="120"/>
        <w:jc w:val="both"/>
        <w:rPr>
          <w:color w:val="000000" w:themeColor="text1"/>
          <w:sz w:val="22"/>
          <w:szCs w:val="22"/>
        </w:rPr>
      </w:pPr>
      <w:r w:rsidRPr="00E87153">
        <w:rPr>
          <w:color w:val="000000" w:themeColor="text1"/>
          <w:sz w:val="22"/>
          <w:szCs w:val="22"/>
        </w:rPr>
        <w:t xml:space="preserve">v smere </w:t>
      </w:r>
      <w:r w:rsidRPr="00E87153">
        <w:rPr>
          <w:b/>
          <w:color w:val="000000" w:themeColor="text1"/>
          <w:sz w:val="22"/>
          <w:szCs w:val="22"/>
        </w:rPr>
        <w:t>št. hr. ČR/SR Kúty – Bratislava</w:t>
      </w:r>
      <w:r>
        <w:rPr>
          <w:b/>
          <w:color w:val="000000" w:themeColor="text1"/>
          <w:sz w:val="22"/>
          <w:szCs w:val="22"/>
        </w:rPr>
        <w:t xml:space="preserve"> – Nové Zámky – Štúrovo/Komárno</w:t>
      </w:r>
      <w:r>
        <w:rPr>
          <w:color w:val="000000" w:themeColor="text1"/>
          <w:sz w:val="22"/>
          <w:szCs w:val="22"/>
        </w:rPr>
        <w:t>.</w:t>
      </w:r>
    </w:p>
    <w:p w:rsidR="00E74D5D" w:rsidRDefault="00E74D5D" w:rsidP="00E74D5D">
      <w:pPr>
        <w:numPr>
          <w:ilvl w:val="2"/>
          <w:numId w:val="33"/>
        </w:numPr>
        <w:tabs>
          <w:tab w:val="clear" w:pos="360"/>
        </w:tabs>
        <w:spacing w:before="180" w:after="120"/>
        <w:ind w:left="851" w:hanging="425"/>
        <w:jc w:val="both"/>
        <w:rPr>
          <w:b/>
          <w:i/>
          <w:color w:val="4F81BD" w:themeColor="accent1"/>
          <w:sz w:val="22"/>
          <w:szCs w:val="22"/>
        </w:rPr>
      </w:pPr>
      <w:r w:rsidRPr="005139F6">
        <w:rPr>
          <w:b/>
          <w:i/>
          <w:color w:val="4F81BD" w:themeColor="accent1"/>
          <w:sz w:val="22"/>
          <w:szCs w:val="22"/>
        </w:rPr>
        <w:t>Projektová príprava</w:t>
      </w:r>
    </w:p>
    <w:p w:rsidR="004A61AB" w:rsidRDefault="004A61AB" w:rsidP="004A61AB">
      <w:pPr>
        <w:spacing w:after="180"/>
        <w:jc w:val="both"/>
        <w:rPr>
          <w:sz w:val="22"/>
          <w:szCs w:val="22"/>
        </w:rPr>
      </w:pPr>
      <w:r w:rsidRPr="004A61AB">
        <w:rPr>
          <w:sz w:val="22"/>
          <w:szCs w:val="22"/>
        </w:rPr>
        <w:t>Súčasný stav projektovej prípravy investičných stavieb je možné označiť ako prierezový problém systémového charakteru. Na základe uvedeného bude náležitá pozornosť i zdroje venované predprojektovej a projektovej príprave železničných stavieb.</w:t>
      </w:r>
    </w:p>
    <w:tbl>
      <w:tblPr>
        <w:tblStyle w:val="Mriekatabuky"/>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331"/>
        <w:gridCol w:w="5879"/>
      </w:tblGrid>
      <w:tr w:rsidR="00FE6C5A" w:rsidRPr="00CD58C4" w:rsidTr="00532DA2">
        <w:trPr>
          <w:trHeight w:val="340"/>
          <w:jc w:val="center"/>
        </w:trPr>
        <w:tc>
          <w:tcPr>
            <w:tcW w:w="3331" w:type="dxa"/>
            <w:shd w:val="clear" w:color="auto" w:fill="DBE5F1" w:themeFill="accent1" w:themeFillTint="33"/>
            <w:vAlign w:val="center"/>
          </w:tcPr>
          <w:p w:rsidR="00FE6C5A" w:rsidRPr="009553A0" w:rsidRDefault="00FE6C5A" w:rsidP="00532DA2">
            <w:pPr>
              <w:autoSpaceDE w:val="0"/>
              <w:autoSpaceDN w:val="0"/>
              <w:adjustRightInd w:val="0"/>
              <w:ind w:left="0"/>
              <w:rPr>
                <w:i/>
                <w:sz w:val="22"/>
                <w:szCs w:val="22"/>
              </w:rPr>
            </w:pPr>
            <w:r w:rsidRPr="009553A0">
              <w:rPr>
                <w:i/>
                <w:sz w:val="22"/>
                <w:szCs w:val="22"/>
              </w:rPr>
              <w:t>Cieľové skupiny:</w:t>
            </w:r>
          </w:p>
        </w:tc>
        <w:tc>
          <w:tcPr>
            <w:tcW w:w="5879" w:type="dxa"/>
            <w:vAlign w:val="center"/>
          </w:tcPr>
          <w:p w:rsidR="00FE6C5A" w:rsidRPr="00CD58C4" w:rsidRDefault="00FE6C5A" w:rsidP="00532DA2">
            <w:pPr>
              <w:pStyle w:val="Odsekzoznamu"/>
              <w:numPr>
                <w:ilvl w:val="0"/>
                <w:numId w:val="28"/>
              </w:numPr>
              <w:autoSpaceDE w:val="0"/>
              <w:autoSpaceDN w:val="0"/>
              <w:adjustRightInd w:val="0"/>
              <w:ind w:left="284" w:hanging="284"/>
              <w:rPr>
                <w:sz w:val="22"/>
                <w:szCs w:val="22"/>
              </w:rPr>
            </w:pPr>
            <w:r>
              <w:rPr>
                <w:sz w:val="22"/>
                <w:szCs w:val="22"/>
              </w:rPr>
              <w:t>široká verejnosť</w:t>
            </w:r>
          </w:p>
        </w:tc>
      </w:tr>
      <w:tr w:rsidR="00FE6C5A" w:rsidTr="00532DA2">
        <w:trPr>
          <w:trHeight w:val="340"/>
          <w:jc w:val="center"/>
        </w:trPr>
        <w:tc>
          <w:tcPr>
            <w:tcW w:w="3331" w:type="dxa"/>
            <w:shd w:val="clear" w:color="auto" w:fill="DBE5F1" w:themeFill="accent1" w:themeFillTint="33"/>
            <w:vAlign w:val="center"/>
          </w:tcPr>
          <w:p w:rsidR="00FE6C5A" w:rsidRPr="009553A0" w:rsidRDefault="00FE6C5A" w:rsidP="00532DA2">
            <w:pPr>
              <w:autoSpaceDE w:val="0"/>
              <w:autoSpaceDN w:val="0"/>
              <w:adjustRightInd w:val="0"/>
              <w:ind w:left="0"/>
              <w:rPr>
                <w:i/>
                <w:sz w:val="22"/>
                <w:szCs w:val="22"/>
              </w:rPr>
            </w:pPr>
            <w:r w:rsidRPr="009553A0">
              <w:rPr>
                <w:i/>
                <w:sz w:val="22"/>
                <w:szCs w:val="22"/>
              </w:rPr>
              <w:t>Cieľové územia:</w:t>
            </w:r>
          </w:p>
        </w:tc>
        <w:tc>
          <w:tcPr>
            <w:tcW w:w="5879" w:type="dxa"/>
            <w:vAlign w:val="center"/>
          </w:tcPr>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celé územie SR s výnimkou Bratislavského kraja</w:t>
            </w:r>
          </w:p>
        </w:tc>
      </w:tr>
      <w:tr w:rsidR="00FE6C5A" w:rsidRPr="009553A0" w:rsidTr="00532DA2">
        <w:trPr>
          <w:trHeight w:val="340"/>
          <w:jc w:val="center"/>
        </w:trPr>
        <w:tc>
          <w:tcPr>
            <w:tcW w:w="3331" w:type="dxa"/>
            <w:shd w:val="clear" w:color="auto" w:fill="DBE5F1" w:themeFill="accent1" w:themeFillTint="33"/>
            <w:vAlign w:val="center"/>
          </w:tcPr>
          <w:p w:rsidR="00FE6C5A" w:rsidRPr="009553A0" w:rsidRDefault="00FE6C5A" w:rsidP="00532DA2">
            <w:pPr>
              <w:autoSpaceDE w:val="0"/>
              <w:autoSpaceDN w:val="0"/>
              <w:adjustRightInd w:val="0"/>
              <w:ind w:left="0"/>
              <w:rPr>
                <w:i/>
                <w:sz w:val="22"/>
                <w:szCs w:val="22"/>
              </w:rPr>
            </w:pPr>
            <w:r w:rsidRPr="009553A0">
              <w:rPr>
                <w:i/>
                <w:sz w:val="22"/>
                <w:szCs w:val="22"/>
              </w:rPr>
              <w:t>Prijímatelia:</w:t>
            </w:r>
          </w:p>
        </w:tc>
        <w:tc>
          <w:tcPr>
            <w:tcW w:w="5879" w:type="dxa"/>
            <w:vAlign w:val="center"/>
          </w:tcPr>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Železnice Slovenskej republiky</w:t>
            </w:r>
          </w:p>
          <w:p w:rsidR="00FE6C5A" w:rsidRPr="009553A0" w:rsidRDefault="00FE6C5A" w:rsidP="00532DA2">
            <w:pPr>
              <w:pStyle w:val="Odsekzoznamu"/>
              <w:numPr>
                <w:ilvl w:val="0"/>
                <w:numId w:val="28"/>
              </w:numPr>
              <w:autoSpaceDE w:val="0"/>
              <w:autoSpaceDN w:val="0"/>
              <w:adjustRightInd w:val="0"/>
              <w:ind w:left="284" w:hanging="284"/>
              <w:rPr>
                <w:sz w:val="22"/>
                <w:szCs w:val="22"/>
              </w:rPr>
            </w:pPr>
            <w:r>
              <w:rPr>
                <w:sz w:val="22"/>
                <w:szCs w:val="22"/>
              </w:rPr>
              <w:t>Železničná spoločnosť Slovensko, a. s.</w:t>
            </w:r>
          </w:p>
        </w:tc>
      </w:tr>
    </w:tbl>
    <w:p w:rsidR="0016202B" w:rsidRDefault="0016202B" w:rsidP="005139F6">
      <w:pPr>
        <w:pStyle w:val="Nadpis4"/>
        <w:spacing w:before="240"/>
      </w:pPr>
      <w:r>
        <w:t>Hlavné princípy výberu projektov</w:t>
      </w:r>
    </w:p>
    <w:p w:rsidR="0016202B" w:rsidRPr="0016202B" w:rsidRDefault="0016202B" w:rsidP="0016202B">
      <w:pPr>
        <w:tabs>
          <w:tab w:val="left" w:pos="540"/>
        </w:tabs>
        <w:jc w:val="both"/>
        <w:rPr>
          <w:sz w:val="22"/>
          <w:szCs w:val="22"/>
        </w:rPr>
      </w:pPr>
      <w:r>
        <w:rPr>
          <w:sz w:val="22"/>
          <w:szCs w:val="22"/>
        </w:rPr>
        <w:t>Vzhľadom na </w:t>
      </w:r>
      <w:r w:rsidRPr="00FE75AD">
        <w:rPr>
          <w:sz w:val="22"/>
          <w:szCs w:val="22"/>
        </w:rPr>
        <w:t>špecifické postavenie MDVRR SR vo vzťahu k</w:t>
      </w:r>
      <w:r>
        <w:rPr>
          <w:sz w:val="22"/>
          <w:szCs w:val="22"/>
        </w:rPr>
        <w:t> </w:t>
      </w:r>
      <w:r w:rsidRPr="00FE75AD">
        <w:rPr>
          <w:sz w:val="22"/>
          <w:szCs w:val="22"/>
        </w:rPr>
        <w:t>podporovaným aktivitám budú jednotliví prijímatelia stanovení vopred a</w:t>
      </w:r>
      <w:r>
        <w:rPr>
          <w:sz w:val="22"/>
          <w:szCs w:val="22"/>
        </w:rPr>
        <w:t> </w:t>
      </w:r>
      <w:r w:rsidRPr="00FE75AD">
        <w:rPr>
          <w:sz w:val="22"/>
          <w:szCs w:val="22"/>
        </w:rPr>
        <w:t>písomnými vyzvaniami (pre stanovené oblasti) žiadaní o</w:t>
      </w:r>
      <w:r>
        <w:rPr>
          <w:sz w:val="22"/>
          <w:szCs w:val="22"/>
        </w:rPr>
        <w:t> </w:t>
      </w:r>
      <w:r w:rsidRPr="00FE75AD">
        <w:rPr>
          <w:sz w:val="22"/>
          <w:szCs w:val="22"/>
        </w:rPr>
        <w:t>predkladanie projektových žiadostí.</w:t>
      </w:r>
      <w:r>
        <w:rPr>
          <w:sz w:val="22"/>
          <w:szCs w:val="22"/>
        </w:rPr>
        <w:t xml:space="preserve"> </w:t>
      </w:r>
      <w:r w:rsidRPr="00FE75AD">
        <w:rPr>
          <w:sz w:val="22"/>
          <w:szCs w:val="22"/>
        </w:rPr>
        <w:t xml:space="preserve">Výber </w:t>
      </w:r>
      <w:r>
        <w:rPr>
          <w:sz w:val="22"/>
          <w:szCs w:val="22"/>
        </w:rPr>
        <w:t>projektov na </w:t>
      </w:r>
      <w:r w:rsidRPr="00FE75AD">
        <w:rPr>
          <w:sz w:val="22"/>
          <w:szCs w:val="22"/>
        </w:rPr>
        <w:t>implementáci</w:t>
      </w:r>
      <w:r>
        <w:rPr>
          <w:sz w:val="22"/>
          <w:szCs w:val="22"/>
        </w:rPr>
        <w:t xml:space="preserve">u bude rešpektovať výstupy strategických dokumentov spracovaných pre potreby programového obdobia, ako aj ich prípadné aktualizácie, ktoré posudzujú rezortné potreby v širšom kontexte. Ide predovšetkým o Strategický plán a Stratégiu </w:t>
      </w:r>
      <w:r w:rsidR="00D57810">
        <w:rPr>
          <w:sz w:val="22"/>
          <w:szCs w:val="22"/>
        </w:rPr>
        <w:t>VOD</w:t>
      </w:r>
      <w:r>
        <w:rPr>
          <w:sz w:val="22"/>
          <w:szCs w:val="22"/>
        </w:rPr>
        <w:t>.</w:t>
      </w:r>
    </w:p>
    <w:p w:rsidR="00017B79" w:rsidRDefault="00017B79" w:rsidP="005139F6">
      <w:pPr>
        <w:pStyle w:val="Nadpis4"/>
        <w:spacing w:before="240"/>
      </w:pPr>
      <w:r>
        <w:t>Plánované využitie finančných nástrojov</w:t>
      </w:r>
    </w:p>
    <w:p w:rsidR="00017B79" w:rsidRPr="00AB00A4" w:rsidRDefault="00017B79" w:rsidP="00017B79">
      <w:pPr>
        <w:jc w:val="both"/>
        <w:rPr>
          <w:sz w:val="22"/>
          <w:szCs w:val="22"/>
        </w:rPr>
      </w:pPr>
      <w:r w:rsidRPr="00AB00A4">
        <w:rPr>
          <w:sz w:val="22"/>
          <w:szCs w:val="22"/>
        </w:rPr>
        <w:t>Finančné nástroje budú použité na podporu implementácie tých aktivít, pri ktorých bude preukázané efektívnejšie využitie finančných prostriedkov z EŠIF takouto formou podpory. Pri ekonomicky životaschopných projektoch, kde sa predpokladá návratnosť prostriedkov alebo úspora nákladov, predstavujú finančné nástroje vhodnejšiu formu podpory, ktorá vedie len k minimálnej, prípadne žiadnej deformácii trhu a nenarúša tak hospodársku súťaž. Finančné nástroje budú zamerané na podporu tých aktivít, ktoré nenachádzajú financovanie na trhu, prípadne nenachádzajú adekvátne financovanie, pri ktorom by ich realizácia bola efektívnou.</w:t>
      </w:r>
    </w:p>
    <w:p w:rsidR="00017B79" w:rsidRDefault="00017B79" w:rsidP="00017B79">
      <w:pPr>
        <w:spacing w:before="180"/>
        <w:jc w:val="both"/>
        <w:rPr>
          <w:sz w:val="22"/>
          <w:szCs w:val="22"/>
        </w:rPr>
      </w:pPr>
      <w:r w:rsidRPr="00430B9D">
        <w:rPr>
          <w:sz w:val="22"/>
          <w:szCs w:val="22"/>
        </w:rPr>
        <w:t xml:space="preserve">Okrem možnosti opakovateľného použitia prostriedkov spolu s akýmikoľvek ziskami na ciele prioritnej osi patrí medzi výhody využitia finančných nástrojov možnosť navýšenia </w:t>
      </w:r>
      <w:r>
        <w:rPr>
          <w:sz w:val="22"/>
          <w:szCs w:val="22"/>
        </w:rPr>
        <w:t>prostriedkov pre </w:t>
      </w:r>
      <w:r w:rsidRPr="00430B9D">
        <w:rPr>
          <w:sz w:val="22"/>
          <w:szCs w:val="22"/>
        </w:rPr>
        <w:t>dosiahnutie príslušných cieľov prostredníctvom pritiahnutia dodatočného kapitálu vďaka atraktívnemu nastaveniu daných nástrojov. Pritiahnutie dodatočného kapi</w:t>
      </w:r>
      <w:r>
        <w:rPr>
          <w:sz w:val="22"/>
          <w:szCs w:val="22"/>
        </w:rPr>
        <w:t>tálu je potrebné aj vzhľadom na limitovaný</w:t>
      </w:r>
      <w:r w:rsidRPr="00430B9D">
        <w:rPr>
          <w:sz w:val="22"/>
          <w:szCs w:val="22"/>
        </w:rPr>
        <w:t xml:space="preserve"> objem prostriedkov z </w:t>
      </w:r>
      <w:r>
        <w:rPr>
          <w:sz w:val="22"/>
          <w:szCs w:val="22"/>
        </w:rPr>
        <w:t>EŠIF</w:t>
      </w:r>
      <w:r w:rsidRPr="00430B9D">
        <w:rPr>
          <w:sz w:val="22"/>
          <w:szCs w:val="22"/>
        </w:rPr>
        <w:t xml:space="preserve"> na pokrytie všetkých investičných potrieb v príslušných </w:t>
      </w:r>
      <w:r w:rsidRPr="00430B9D">
        <w:rPr>
          <w:sz w:val="22"/>
          <w:szCs w:val="22"/>
        </w:rPr>
        <w:lastRenderedPageBreak/>
        <w:t>oblastiach. Účasť súkromných investorov môže prispieť aj ku skvalitneniu implementácie projektov, a teda dodatočne prispieva k celkovo efektívnejšiemu po</w:t>
      </w:r>
      <w:r>
        <w:rPr>
          <w:sz w:val="22"/>
          <w:szCs w:val="22"/>
        </w:rPr>
        <w:t>užitiu finančných prostriedkov.</w:t>
      </w:r>
    </w:p>
    <w:p w:rsidR="000A1A12" w:rsidRPr="00034021" w:rsidRDefault="000A1A12" w:rsidP="000A1A12">
      <w:pPr>
        <w:spacing w:before="180"/>
        <w:jc w:val="both"/>
        <w:rPr>
          <w:sz w:val="22"/>
          <w:szCs w:val="22"/>
        </w:rPr>
      </w:pPr>
      <w:r w:rsidRPr="00034021">
        <w:rPr>
          <w:sz w:val="22"/>
          <w:szCs w:val="22"/>
        </w:rPr>
        <w:t>Príslušné aktivity bude možné podporiť rôznymi finančnými produktmi (úvery, záruky, kapitálové vklady, mezanínové financovanie a</w:t>
      </w:r>
      <w:r>
        <w:rPr>
          <w:sz w:val="22"/>
          <w:szCs w:val="22"/>
        </w:rPr>
        <w:t> </w:t>
      </w:r>
      <w:r w:rsidRPr="00034021">
        <w:rPr>
          <w:sz w:val="22"/>
          <w:szCs w:val="22"/>
        </w:rPr>
        <w:t>pod</w:t>
      </w:r>
      <w:r>
        <w:rPr>
          <w:sz w:val="22"/>
          <w:szCs w:val="22"/>
        </w:rPr>
        <w:t>.</w:t>
      </w:r>
      <w:r w:rsidRPr="00034021">
        <w:rPr>
          <w:sz w:val="22"/>
          <w:szCs w:val="22"/>
        </w:rPr>
        <w:t xml:space="preserve">). V súlade s čl. 37(2) nariadenia č. 1303/2013, </w:t>
      </w:r>
      <w:r w:rsidRPr="00034021">
        <w:rPr>
          <w:b/>
          <w:sz w:val="22"/>
          <w:szCs w:val="22"/>
        </w:rPr>
        <w:t>konkrétne aktivity, vhodná suma prostriedkov a podmienky implementácie finančných nástrojov vrátane možnej multiplikácie alokovaných prostriedkov a ich kombinácie s inými formami podpory budú vychádzať z výsledkov ex ante hodnotenia pre finančné nástroje</w:t>
      </w:r>
      <w:r>
        <w:rPr>
          <w:b/>
          <w:sz w:val="22"/>
          <w:szCs w:val="22"/>
        </w:rPr>
        <w:t>.</w:t>
      </w:r>
    </w:p>
    <w:p w:rsidR="00017B79" w:rsidRDefault="00017B79" w:rsidP="00740654">
      <w:pPr>
        <w:pStyle w:val="Nadpis4"/>
      </w:pPr>
      <w:r>
        <w:t>Plánované využitie veľkých projektov</w:t>
      </w:r>
    </w:p>
    <w:p w:rsidR="00017B79" w:rsidRPr="007B3B80" w:rsidRDefault="00017B79" w:rsidP="00017B79">
      <w:pPr>
        <w:jc w:val="both"/>
        <w:rPr>
          <w:sz w:val="22"/>
          <w:szCs w:val="22"/>
        </w:rPr>
      </w:pPr>
      <w:r w:rsidRPr="00FE75AD">
        <w:rPr>
          <w:sz w:val="22"/>
          <w:szCs w:val="22"/>
        </w:rPr>
        <w:t>Zoznam veľkých projektov, ktorých spolufinancovanie z</w:t>
      </w:r>
      <w:r>
        <w:rPr>
          <w:sz w:val="22"/>
          <w:szCs w:val="22"/>
        </w:rPr>
        <w:t> </w:t>
      </w:r>
      <w:r w:rsidRPr="00FE75AD">
        <w:rPr>
          <w:sz w:val="22"/>
          <w:szCs w:val="22"/>
        </w:rPr>
        <w:t>prostriedkov prioritnej osi navrhuje RO </w:t>
      </w:r>
      <w:r>
        <w:rPr>
          <w:sz w:val="22"/>
          <w:szCs w:val="22"/>
        </w:rPr>
        <w:t>OPII</w:t>
      </w:r>
      <w:r w:rsidRPr="00FE75AD">
        <w:rPr>
          <w:sz w:val="22"/>
          <w:szCs w:val="22"/>
        </w:rPr>
        <w:t xml:space="preserve"> je uvedený v</w:t>
      </w:r>
      <w:r>
        <w:rPr>
          <w:sz w:val="22"/>
          <w:szCs w:val="22"/>
        </w:rPr>
        <w:t> kapitole 13.1</w:t>
      </w:r>
      <w:r w:rsidRPr="00FE75AD">
        <w:rPr>
          <w:sz w:val="22"/>
          <w:szCs w:val="22"/>
        </w:rPr>
        <w:t>.</w:t>
      </w:r>
      <w:r>
        <w:rPr>
          <w:sz w:val="22"/>
          <w:szCs w:val="22"/>
        </w:rPr>
        <w:t xml:space="preserve"> </w:t>
      </w:r>
      <w:r w:rsidRPr="005F1686">
        <w:rPr>
          <w:sz w:val="22"/>
          <w:szCs w:val="22"/>
        </w:rPr>
        <w:t>Grafické zobrazenie rozvoja železničnej infraštruktúry na Slovensku zabezpečené realizáciou zadefinovaných veľkých projektov je uvedené v</w:t>
      </w:r>
      <w:r>
        <w:rPr>
          <w:sz w:val="22"/>
          <w:szCs w:val="22"/>
        </w:rPr>
        <w:t> </w:t>
      </w:r>
      <w:r w:rsidRPr="005F1686">
        <w:rPr>
          <w:sz w:val="22"/>
          <w:szCs w:val="22"/>
        </w:rPr>
        <w:t xml:space="preserve">Prílohe </w:t>
      </w:r>
      <w:r>
        <w:rPr>
          <w:sz w:val="22"/>
          <w:szCs w:val="22"/>
        </w:rPr>
        <w:t>4.</w:t>
      </w:r>
    </w:p>
    <w:p w:rsidR="00017B79" w:rsidRDefault="00017B79" w:rsidP="00740654">
      <w:pPr>
        <w:pStyle w:val="Nadpis4"/>
      </w:pPr>
      <w:r>
        <w:t>Ukazovatele výstupu na úrovni investičnej priority a kategórie regiónu</w:t>
      </w:r>
    </w:p>
    <w:p w:rsidR="00017B79" w:rsidRPr="008C1732" w:rsidRDefault="00017B79" w:rsidP="00017B79">
      <w:pPr>
        <w:pStyle w:val="Tab"/>
      </w:pPr>
      <w:r>
        <w:t>Spoločné a špecifické ukazovatele výstupu</w:t>
      </w:r>
      <w:r w:rsidR="00D83282">
        <w:t xml:space="preserve"> investičnej priority 7d)</w:t>
      </w:r>
    </w:p>
    <w:tbl>
      <w:tblPr>
        <w:tblStyle w:val="Mriekatabuky"/>
        <w:tblW w:w="941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75"/>
        <w:gridCol w:w="2410"/>
        <w:gridCol w:w="903"/>
        <w:gridCol w:w="656"/>
        <w:gridCol w:w="1225"/>
        <w:gridCol w:w="1247"/>
        <w:gridCol w:w="1011"/>
        <w:gridCol w:w="1385"/>
      </w:tblGrid>
      <w:tr w:rsidR="00017B79" w:rsidTr="003D6170">
        <w:trPr>
          <w:trHeight w:val="487"/>
          <w:jc w:val="center"/>
        </w:trPr>
        <w:tc>
          <w:tcPr>
            <w:tcW w:w="575" w:type="dxa"/>
            <w:shd w:val="clear" w:color="auto" w:fill="C6D9F1" w:themeFill="text2" w:themeFillTint="33"/>
            <w:vAlign w:val="center"/>
          </w:tcPr>
          <w:p w:rsidR="00017B79" w:rsidRPr="008C1732" w:rsidRDefault="00AF56C3" w:rsidP="003D6170">
            <w:pPr>
              <w:ind w:left="0"/>
              <w:jc w:val="center"/>
              <w:rPr>
                <w:b/>
                <w:sz w:val="18"/>
                <w:szCs w:val="18"/>
              </w:rPr>
            </w:pPr>
            <w:r>
              <w:rPr>
                <w:b/>
                <w:sz w:val="18"/>
                <w:szCs w:val="18"/>
              </w:rPr>
              <w:t>P. č.</w:t>
            </w:r>
          </w:p>
        </w:tc>
        <w:tc>
          <w:tcPr>
            <w:tcW w:w="2410" w:type="dxa"/>
            <w:shd w:val="clear" w:color="auto" w:fill="C6D9F1" w:themeFill="text2" w:themeFillTint="33"/>
            <w:vAlign w:val="center"/>
          </w:tcPr>
          <w:p w:rsidR="00017B79" w:rsidRPr="008C1732" w:rsidRDefault="00017B79" w:rsidP="003D6170">
            <w:pPr>
              <w:ind w:left="0"/>
              <w:jc w:val="center"/>
              <w:rPr>
                <w:b/>
                <w:sz w:val="18"/>
                <w:szCs w:val="18"/>
              </w:rPr>
            </w:pPr>
            <w:r w:rsidRPr="008C1732">
              <w:rPr>
                <w:b/>
                <w:sz w:val="18"/>
                <w:szCs w:val="18"/>
              </w:rPr>
              <w:t>Ukazovateľ výstupu</w:t>
            </w:r>
          </w:p>
        </w:tc>
        <w:tc>
          <w:tcPr>
            <w:tcW w:w="903" w:type="dxa"/>
            <w:shd w:val="clear" w:color="auto" w:fill="C6D9F1" w:themeFill="text2" w:themeFillTint="33"/>
            <w:vAlign w:val="center"/>
          </w:tcPr>
          <w:p w:rsidR="00017B79" w:rsidRPr="008C1732" w:rsidRDefault="00017B79" w:rsidP="003D6170">
            <w:pPr>
              <w:ind w:left="0"/>
              <w:jc w:val="center"/>
              <w:rPr>
                <w:b/>
                <w:sz w:val="18"/>
                <w:szCs w:val="18"/>
              </w:rPr>
            </w:pPr>
            <w:r w:rsidRPr="008C1732">
              <w:rPr>
                <w:b/>
                <w:sz w:val="18"/>
                <w:szCs w:val="18"/>
              </w:rPr>
              <w:t>Merná jednotka</w:t>
            </w:r>
          </w:p>
        </w:tc>
        <w:tc>
          <w:tcPr>
            <w:tcW w:w="656" w:type="dxa"/>
            <w:shd w:val="clear" w:color="auto" w:fill="C6D9F1" w:themeFill="text2" w:themeFillTint="33"/>
            <w:vAlign w:val="center"/>
          </w:tcPr>
          <w:p w:rsidR="00017B79" w:rsidRPr="008C1732" w:rsidRDefault="00017B79" w:rsidP="003D6170">
            <w:pPr>
              <w:ind w:left="0"/>
              <w:jc w:val="center"/>
              <w:rPr>
                <w:b/>
                <w:sz w:val="18"/>
                <w:szCs w:val="18"/>
              </w:rPr>
            </w:pPr>
            <w:r w:rsidRPr="008C1732">
              <w:rPr>
                <w:b/>
                <w:sz w:val="18"/>
                <w:szCs w:val="18"/>
              </w:rPr>
              <w:t>Fond</w:t>
            </w:r>
          </w:p>
        </w:tc>
        <w:tc>
          <w:tcPr>
            <w:tcW w:w="1225" w:type="dxa"/>
            <w:shd w:val="clear" w:color="auto" w:fill="C6D9F1" w:themeFill="text2" w:themeFillTint="33"/>
            <w:vAlign w:val="center"/>
          </w:tcPr>
          <w:p w:rsidR="00017B79" w:rsidRPr="008C1732" w:rsidRDefault="00017B79" w:rsidP="003D6170">
            <w:pPr>
              <w:ind w:left="0"/>
              <w:jc w:val="center"/>
              <w:rPr>
                <w:b/>
                <w:sz w:val="18"/>
                <w:szCs w:val="18"/>
              </w:rPr>
            </w:pPr>
            <w:r w:rsidRPr="008C1732">
              <w:rPr>
                <w:b/>
                <w:sz w:val="18"/>
                <w:szCs w:val="18"/>
              </w:rPr>
              <w:t>Kategória regiónu</w:t>
            </w:r>
          </w:p>
        </w:tc>
        <w:tc>
          <w:tcPr>
            <w:tcW w:w="1247" w:type="dxa"/>
            <w:shd w:val="clear" w:color="auto" w:fill="C6D9F1" w:themeFill="text2" w:themeFillTint="33"/>
            <w:vAlign w:val="center"/>
          </w:tcPr>
          <w:p w:rsidR="00017B79" w:rsidRPr="008C1732" w:rsidRDefault="00017B79" w:rsidP="003D6170">
            <w:pPr>
              <w:ind w:left="0"/>
              <w:jc w:val="center"/>
              <w:rPr>
                <w:b/>
                <w:sz w:val="18"/>
                <w:szCs w:val="18"/>
              </w:rPr>
            </w:pPr>
            <w:r w:rsidRPr="008C1732">
              <w:rPr>
                <w:b/>
                <w:sz w:val="18"/>
                <w:szCs w:val="18"/>
              </w:rPr>
              <w:t>Cieľová hodnota (2023)</w:t>
            </w:r>
          </w:p>
        </w:tc>
        <w:tc>
          <w:tcPr>
            <w:tcW w:w="1011" w:type="dxa"/>
            <w:shd w:val="clear" w:color="auto" w:fill="C6D9F1" w:themeFill="text2" w:themeFillTint="33"/>
            <w:vAlign w:val="center"/>
          </w:tcPr>
          <w:p w:rsidR="00017B79" w:rsidRPr="008C1732" w:rsidRDefault="00017B79" w:rsidP="003D6170">
            <w:pPr>
              <w:ind w:left="0"/>
              <w:jc w:val="center"/>
              <w:rPr>
                <w:b/>
                <w:sz w:val="18"/>
                <w:szCs w:val="18"/>
              </w:rPr>
            </w:pPr>
            <w:r w:rsidRPr="008C1732">
              <w:rPr>
                <w:b/>
                <w:sz w:val="18"/>
                <w:szCs w:val="18"/>
              </w:rPr>
              <w:t>Zdroj údajov</w:t>
            </w:r>
          </w:p>
        </w:tc>
        <w:tc>
          <w:tcPr>
            <w:tcW w:w="1385" w:type="dxa"/>
            <w:shd w:val="clear" w:color="auto" w:fill="C6D9F1" w:themeFill="text2" w:themeFillTint="33"/>
            <w:vAlign w:val="center"/>
          </w:tcPr>
          <w:p w:rsidR="00017B79" w:rsidRPr="008C1732" w:rsidRDefault="00017B79" w:rsidP="003D6170">
            <w:pPr>
              <w:ind w:left="0"/>
              <w:jc w:val="center"/>
              <w:rPr>
                <w:b/>
                <w:sz w:val="18"/>
                <w:szCs w:val="18"/>
              </w:rPr>
            </w:pPr>
            <w:r w:rsidRPr="008C1732">
              <w:rPr>
                <w:b/>
                <w:sz w:val="18"/>
                <w:szCs w:val="18"/>
              </w:rPr>
              <w:t>Frekvencia vykazovania</w:t>
            </w:r>
          </w:p>
        </w:tc>
      </w:tr>
      <w:tr w:rsidR="00017B79" w:rsidTr="003D6170">
        <w:trPr>
          <w:trHeight w:val="680"/>
          <w:jc w:val="center"/>
        </w:trPr>
        <w:tc>
          <w:tcPr>
            <w:tcW w:w="575" w:type="dxa"/>
            <w:shd w:val="clear" w:color="auto" w:fill="auto"/>
            <w:vAlign w:val="center"/>
          </w:tcPr>
          <w:p w:rsidR="00017B79" w:rsidRPr="00737ED2" w:rsidRDefault="00017B79" w:rsidP="00017B79">
            <w:pPr>
              <w:ind w:left="0"/>
              <w:jc w:val="center"/>
              <w:rPr>
                <w:sz w:val="18"/>
                <w:szCs w:val="18"/>
              </w:rPr>
            </w:pPr>
            <w:r>
              <w:rPr>
                <w:sz w:val="18"/>
                <w:szCs w:val="18"/>
              </w:rPr>
              <w:t>1</w:t>
            </w:r>
            <w:r w:rsidRPr="00737ED2">
              <w:rPr>
                <w:sz w:val="18"/>
                <w:szCs w:val="18"/>
              </w:rPr>
              <w:t>.</w:t>
            </w:r>
          </w:p>
        </w:tc>
        <w:tc>
          <w:tcPr>
            <w:tcW w:w="2410" w:type="dxa"/>
            <w:shd w:val="clear" w:color="auto" w:fill="auto"/>
            <w:vAlign w:val="center"/>
          </w:tcPr>
          <w:p w:rsidR="00017B79" w:rsidRPr="00737ED2" w:rsidRDefault="001B1623" w:rsidP="00017B79">
            <w:pPr>
              <w:ind w:left="0"/>
              <w:rPr>
                <w:sz w:val="18"/>
                <w:szCs w:val="18"/>
              </w:rPr>
            </w:pPr>
            <w:r>
              <w:rPr>
                <w:sz w:val="18"/>
                <w:szCs w:val="18"/>
              </w:rPr>
              <w:t>Celková dĺžka rekonštruovaných alebo zrenovovaných železničných</w:t>
            </w:r>
            <w:r w:rsidR="00E74D5D" w:rsidRPr="00A90D14">
              <w:rPr>
                <w:sz w:val="18"/>
                <w:szCs w:val="18"/>
              </w:rPr>
              <w:t xml:space="preserve"> trat</w:t>
            </w:r>
            <w:r>
              <w:rPr>
                <w:sz w:val="18"/>
                <w:szCs w:val="18"/>
              </w:rPr>
              <w:t>í (mimo TEN-T CORE)</w:t>
            </w:r>
          </w:p>
        </w:tc>
        <w:tc>
          <w:tcPr>
            <w:tcW w:w="903" w:type="dxa"/>
            <w:shd w:val="clear" w:color="auto" w:fill="auto"/>
            <w:vAlign w:val="center"/>
          </w:tcPr>
          <w:p w:rsidR="00017B79" w:rsidRPr="004F0234" w:rsidRDefault="00017B79" w:rsidP="00D83282">
            <w:pPr>
              <w:ind w:left="0"/>
              <w:jc w:val="center"/>
              <w:rPr>
                <w:i/>
                <w:sz w:val="18"/>
                <w:szCs w:val="18"/>
              </w:rPr>
            </w:pPr>
            <w:r w:rsidRPr="004F0234">
              <w:rPr>
                <w:i/>
                <w:sz w:val="18"/>
                <w:szCs w:val="18"/>
              </w:rPr>
              <w:t>km</w:t>
            </w:r>
          </w:p>
        </w:tc>
        <w:tc>
          <w:tcPr>
            <w:tcW w:w="656" w:type="dxa"/>
            <w:shd w:val="clear" w:color="auto" w:fill="auto"/>
            <w:vAlign w:val="center"/>
          </w:tcPr>
          <w:p w:rsidR="00017B79" w:rsidRPr="004F0234" w:rsidRDefault="00E74D5D" w:rsidP="00D83282">
            <w:pPr>
              <w:ind w:left="0"/>
              <w:jc w:val="center"/>
              <w:rPr>
                <w:i/>
                <w:sz w:val="18"/>
                <w:szCs w:val="18"/>
              </w:rPr>
            </w:pPr>
            <w:r>
              <w:rPr>
                <w:i/>
                <w:sz w:val="18"/>
                <w:szCs w:val="18"/>
              </w:rPr>
              <w:t>EFRR</w:t>
            </w:r>
          </w:p>
        </w:tc>
        <w:tc>
          <w:tcPr>
            <w:tcW w:w="1225" w:type="dxa"/>
            <w:shd w:val="clear" w:color="auto" w:fill="auto"/>
            <w:vAlign w:val="center"/>
          </w:tcPr>
          <w:p w:rsidR="00017B79" w:rsidRPr="004F0234" w:rsidRDefault="00D75844" w:rsidP="00D83282">
            <w:pPr>
              <w:ind w:left="0"/>
              <w:jc w:val="center"/>
              <w:rPr>
                <w:i/>
                <w:sz w:val="18"/>
                <w:szCs w:val="18"/>
              </w:rPr>
            </w:pPr>
            <w:r>
              <w:rPr>
                <w:i/>
                <w:sz w:val="18"/>
                <w:szCs w:val="18"/>
              </w:rPr>
              <w:t>Menej rozvinuté regióny</w:t>
            </w:r>
          </w:p>
        </w:tc>
        <w:tc>
          <w:tcPr>
            <w:tcW w:w="1247" w:type="dxa"/>
            <w:shd w:val="clear" w:color="auto" w:fill="auto"/>
            <w:vAlign w:val="center"/>
          </w:tcPr>
          <w:p w:rsidR="00017B79" w:rsidRPr="004F0234" w:rsidRDefault="00017B79" w:rsidP="00D83282">
            <w:pPr>
              <w:ind w:left="0"/>
              <w:jc w:val="center"/>
              <w:rPr>
                <w:i/>
                <w:sz w:val="18"/>
                <w:szCs w:val="18"/>
              </w:rPr>
            </w:pPr>
          </w:p>
        </w:tc>
        <w:tc>
          <w:tcPr>
            <w:tcW w:w="1011" w:type="dxa"/>
            <w:vAlign w:val="center"/>
          </w:tcPr>
          <w:p w:rsidR="00017B79" w:rsidRPr="004F0234" w:rsidRDefault="00017B79" w:rsidP="00D83282">
            <w:pPr>
              <w:ind w:left="0"/>
              <w:jc w:val="center"/>
              <w:rPr>
                <w:i/>
                <w:sz w:val="18"/>
                <w:szCs w:val="18"/>
              </w:rPr>
            </w:pPr>
            <w:r w:rsidRPr="004F0234">
              <w:rPr>
                <w:i/>
                <w:sz w:val="18"/>
                <w:szCs w:val="18"/>
              </w:rPr>
              <w:t>RO OPII</w:t>
            </w:r>
          </w:p>
        </w:tc>
        <w:tc>
          <w:tcPr>
            <w:tcW w:w="1385" w:type="dxa"/>
            <w:vAlign w:val="center"/>
          </w:tcPr>
          <w:p w:rsidR="00017B79" w:rsidRPr="004F0234" w:rsidRDefault="00017B79" w:rsidP="00D83282">
            <w:pPr>
              <w:ind w:left="0"/>
              <w:jc w:val="center"/>
              <w:rPr>
                <w:i/>
                <w:sz w:val="18"/>
                <w:szCs w:val="18"/>
              </w:rPr>
            </w:pPr>
            <w:r>
              <w:rPr>
                <w:i/>
                <w:sz w:val="18"/>
                <w:szCs w:val="18"/>
              </w:rPr>
              <w:t>Ročne</w:t>
            </w:r>
          </w:p>
        </w:tc>
      </w:tr>
      <w:tr w:rsidR="00017B79" w:rsidTr="003D6170">
        <w:trPr>
          <w:trHeight w:val="680"/>
          <w:jc w:val="center"/>
        </w:trPr>
        <w:tc>
          <w:tcPr>
            <w:tcW w:w="575" w:type="dxa"/>
            <w:shd w:val="clear" w:color="auto" w:fill="auto"/>
            <w:vAlign w:val="center"/>
          </w:tcPr>
          <w:p w:rsidR="00017B79" w:rsidRDefault="00017B79" w:rsidP="00017B79">
            <w:pPr>
              <w:ind w:left="0"/>
              <w:jc w:val="center"/>
              <w:rPr>
                <w:sz w:val="18"/>
                <w:szCs w:val="18"/>
              </w:rPr>
            </w:pPr>
            <w:r>
              <w:rPr>
                <w:sz w:val="18"/>
                <w:szCs w:val="18"/>
              </w:rPr>
              <w:t>2.</w:t>
            </w:r>
          </w:p>
        </w:tc>
        <w:tc>
          <w:tcPr>
            <w:tcW w:w="2410" w:type="dxa"/>
            <w:shd w:val="clear" w:color="auto" w:fill="auto"/>
            <w:vAlign w:val="center"/>
          </w:tcPr>
          <w:p w:rsidR="00017B79" w:rsidRPr="00737ED2" w:rsidRDefault="00E74D5D" w:rsidP="00017B79">
            <w:pPr>
              <w:ind w:left="0"/>
              <w:rPr>
                <w:sz w:val="18"/>
                <w:szCs w:val="18"/>
              </w:rPr>
            </w:pPr>
            <w:r w:rsidRPr="00F6756F">
              <w:rPr>
                <w:sz w:val="18"/>
                <w:szCs w:val="18"/>
              </w:rPr>
              <w:t xml:space="preserve">Počet </w:t>
            </w:r>
            <w:r>
              <w:rPr>
                <w:sz w:val="18"/>
                <w:szCs w:val="18"/>
              </w:rPr>
              <w:t>lokalít s odstránením environmentálnej záťaže spôsobenej prevádzkou železničnej dopravy</w:t>
            </w:r>
          </w:p>
        </w:tc>
        <w:tc>
          <w:tcPr>
            <w:tcW w:w="903" w:type="dxa"/>
            <w:shd w:val="clear" w:color="auto" w:fill="auto"/>
            <w:vAlign w:val="center"/>
          </w:tcPr>
          <w:p w:rsidR="00017B79" w:rsidRPr="004F0234" w:rsidRDefault="00E74D5D" w:rsidP="00D83282">
            <w:pPr>
              <w:ind w:left="0"/>
              <w:jc w:val="center"/>
              <w:rPr>
                <w:i/>
                <w:sz w:val="18"/>
                <w:szCs w:val="18"/>
              </w:rPr>
            </w:pPr>
            <w:r>
              <w:rPr>
                <w:i/>
                <w:sz w:val="18"/>
                <w:szCs w:val="18"/>
              </w:rPr>
              <w:t>počet</w:t>
            </w:r>
          </w:p>
        </w:tc>
        <w:tc>
          <w:tcPr>
            <w:tcW w:w="656" w:type="dxa"/>
            <w:shd w:val="clear" w:color="auto" w:fill="auto"/>
            <w:vAlign w:val="center"/>
          </w:tcPr>
          <w:p w:rsidR="00017B79" w:rsidRPr="004F0234" w:rsidRDefault="00E74D5D" w:rsidP="00D83282">
            <w:pPr>
              <w:ind w:left="0"/>
              <w:jc w:val="center"/>
              <w:rPr>
                <w:i/>
                <w:sz w:val="18"/>
                <w:szCs w:val="18"/>
              </w:rPr>
            </w:pPr>
            <w:r>
              <w:rPr>
                <w:i/>
                <w:sz w:val="18"/>
                <w:szCs w:val="18"/>
              </w:rPr>
              <w:t>EFRR</w:t>
            </w:r>
          </w:p>
        </w:tc>
        <w:tc>
          <w:tcPr>
            <w:tcW w:w="1225" w:type="dxa"/>
            <w:shd w:val="clear" w:color="auto" w:fill="auto"/>
            <w:vAlign w:val="center"/>
          </w:tcPr>
          <w:p w:rsidR="00017B79" w:rsidRPr="004F0234" w:rsidRDefault="00D75844" w:rsidP="00D83282">
            <w:pPr>
              <w:ind w:left="0"/>
              <w:jc w:val="center"/>
              <w:rPr>
                <w:i/>
                <w:sz w:val="18"/>
                <w:szCs w:val="18"/>
              </w:rPr>
            </w:pPr>
            <w:r>
              <w:rPr>
                <w:i/>
                <w:sz w:val="18"/>
                <w:szCs w:val="18"/>
              </w:rPr>
              <w:t>Menej rozvinuté regióny</w:t>
            </w:r>
          </w:p>
        </w:tc>
        <w:tc>
          <w:tcPr>
            <w:tcW w:w="1247" w:type="dxa"/>
            <w:shd w:val="clear" w:color="auto" w:fill="auto"/>
            <w:vAlign w:val="center"/>
          </w:tcPr>
          <w:p w:rsidR="00017B79" w:rsidRPr="004F0234" w:rsidRDefault="00017B79" w:rsidP="00D83282">
            <w:pPr>
              <w:ind w:left="0"/>
              <w:jc w:val="center"/>
              <w:rPr>
                <w:i/>
                <w:sz w:val="18"/>
                <w:szCs w:val="18"/>
              </w:rPr>
            </w:pPr>
          </w:p>
        </w:tc>
        <w:tc>
          <w:tcPr>
            <w:tcW w:w="1011" w:type="dxa"/>
            <w:vAlign w:val="center"/>
          </w:tcPr>
          <w:p w:rsidR="00017B79" w:rsidRPr="004F0234" w:rsidRDefault="00017B79" w:rsidP="00D83282">
            <w:pPr>
              <w:ind w:left="0"/>
              <w:jc w:val="center"/>
              <w:rPr>
                <w:i/>
                <w:sz w:val="18"/>
                <w:szCs w:val="18"/>
              </w:rPr>
            </w:pPr>
            <w:r w:rsidRPr="004F0234">
              <w:rPr>
                <w:i/>
                <w:sz w:val="18"/>
                <w:szCs w:val="18"/>
              </w:rPr>
              <w:t>RO OPII</w:t>
            </w:r>
          </w:p>
        </w:tc>
        <w:tc>
          <w:tcPr>
            <w:tcW w:w="1385" w:type="dxa"/>
            <w:vAlign w:val="center"/>
          </w:tcPr>
          <w:p w:rsidR="00017B79" w:rsidRPr="004F0234" w:rsidRDefault="00017B79" w:rsidP="00D83282">
            <w:pPr>
              <w:ind w:left="0"/>
              <w:jc w:val="center"/>
              <w:rPr>
                <w:i/>
                <w:sz w:val="18"/>
                <w:szCs w:val="18"/>
              </w:rPr>
            </w:pPr>
            <w:r>
              <w:rPr>
                <w:i/>
                <w:sz w:val="18"/>
                <w:szCs w:val="18"/>
              </w:rPr>
              <w:t>Ročne</w:t>
            </w:r>
          </w:p>
        </w:tc>
      </w:tr>
      <w:tr w:rsidR="00017B79" w:rsidTr="003D6170">
        <w:trPr>
          <w:trHeight w:val="680"/>
          <w:jc w:val="center"/>
        </w:trPr>
        <w:tc>
          <w:tcPr>
            <w:tcW w:w="575" w:type="dxa"/>
            <w:shd w:val="clear" w:color="auto" w:fill="auto"/>
            <w:vAlign w:val="center"/>
          </w:tcPr>
          <w:p w:rsidR="00017B79" w:rsidRDefault="00017B79" w:rsidP="00017B79">
            <w:pPr>
              <w:ind w:left="0"/>
              <w:jc w:val="center"/>
              <w:rPr>
                <w:sz w:val="18"/>
                <w:szCs w:val="18"/>
              </w:rPr>
            </w:pPr>
            <w:r>
              <w:rPr>
                <w:sz w:val="18"/>
                <w:szCs w:val="18"/>
              </w:rPr>
              <w:t>3.</w:t>
            </w:r>
          </w:p>
        </w:tc>
        <w:tc>
          <w:tcPr>
            <w:tcW w:w="2410" w:type="dxa"/>
            <w:shd w:val="clear" w:color="auto" w:fill="auto"/>
            <w:vAlign w:val="center"/>
          </w:tcPr>
          <w:p w:rsidR="00017B79" w:rsidRPr="00737ED2" w:rsidRDefault="002F2B02" w:rsidP="00D65B44">
            <w:pPr>
              <w:ind w:left="0"/>
              <w:rPr>
                <w:sz w:val="18"/>
                <w:szCs w:val="18"/>
              </w:rPr>
            </w:pPr>
            <w:r>
              <w:rPr>
                <w:sz w:val="18"/>
                <w:szCs w:val="18"/>
              </w:rPr>
              <w:t>Dĺžka železničných tratí (mimo TEN-T CORE) so zavedeným systémom ERTMS</w:t>
            </w:r>
          </w:p>
        </w:tc>
        <w:tc>
          <w:tcPr>
            <w:tcW w:w="903" w:type="dxa"/>
            <w:shd w:val="clear" w:color="auto" w:fill="auto"/>
            <w:vAlign w:val="center"/>
          </w:tcPr>
          <w:p w:rsidR="00017B79" w:rsidRPr="004F0234" w:rsidRDefault="00E74D5D" w:rsidP="00D83282">
            <w:pPr>
              <w:ind w:left="0"/>
              <w:jc w:val="center"/>
              <w:rPr>
                <w:i/>
                <w:sz w:val="18"/>
                <w:szCs w:val="18"/>
              </w:rPr>
            </w:pPr>
            <w:r>
              <w:rPr>
                <w:i/>
                <w:sz w:val="18"/>
                <w:szCs w:val="18"/>
              </w:rPr>
              <w:t>km</w:t>
            </w:r>
          </w:p>
        </w:tc>
        <w:tc>
          <w:tcPr>
            <w:tcW w:w="656" w:type="dxa"/>
            <w:shd w:val="clear" w:color="auto" w:fill="auto"/>
            <w:vAlign w:val="center"/>
          </w:tcPr>
          <w:p w:rsidR="00017B79" w:rsidRPr="004F0234" w:rsidRDefault="00E74D5D" w:rsidP="00D83282">
            <w:pPr>
              <w:ind w:left="0"/>
              <w:jc w:val="center"/>
              <w:rPr>
                <w:i/>
                <w:sz w:val="18"/>
                <w:szCs w:val="18"/>
              </w:rPr>
            </w:pPr>
            <w:r>
              <w:rPr>
                <w:i/>
                <w:sz w:val="18"/>
                <w:szCs w:val="18"/>
              </w:rPr>
              <w:t>EFRR</w:t>
            </w:r>
          </w:p>
        </w:tc>
        <w:tc>
          <w:tcPr>
            <w:tcW w:w="1225" w:type="dxa"/>
            <w:shd w:val="clear" w:color="auto" w:fill="auto"/>
            <w:vAlign w:val="center"/>
          </w:tcPr>
          <w:p w:rsidR="00017B79" w:rsidRPr="004F0234" w:rsidRDefault="00D75844" w:rsidP="00D83282">
            <w:pPr>
              <w:ind w:left="0"/>
              <w:jc w:val="center"/>
              <w:rPr>
                <w:i/>
                <w:sz w:val="18"/>
                <w:szCs w:val="18"/>
              </w:rPr>
            </w:pPr>
            <w:r>
              <w:rPr>
                <w:i/>
                <w:sz w:val="18"/>
                <w:szCs w:val="18"/>
              </w:rPr>
              <w:t>Menej rozvinuté regióny</w:t>
            </w:r>
          </w:p>
        </w:tc>
        <w:tc>
          <w:tcPr>
            <w:tcW w:w="1247" w:type="dxa"/>
            <w:shd w:val="clear" w:color="auto" w:fill="auto"/>
            <w:vAlign w:val="center"/>
          </w:tcPr>
          <w:p w:rsidR="00017B79" w:rsidRPr="004F0234" w:rsidRDefault="00017B79" w:rsidP="00D83282">
            <w:pPr>
              <w:ind w:left="0"/>
              <w:jc w:val="center"/>
              <w:rPr>
                <w:i/>
                <w:sz w:val="18"/>
                <w:szCs w:val="18"/>
              </w:rPr>
            </w:pPr>
          </w:p>
        </w:tc>
        <w:tc>
          <w:tcPr>
            <w:tcW w:w="1011" w:type="dxa"/>
            <w:vAlign w:val="center"/>
          </w:tcPr>
          <w:p w:rsidR="00017B79" w:rsidRPr="004F0234" w:rsidRDefault="00017B79" w:rsidP="00D83282">
            <w:pPr>
              <w:ind w:left="0"/>
              <w:jc w:val="center"/>
              <w:rPr>
                <w:i/>
                <w:sz w:val="18"/>
                <w:szCs w:val="18"/>
              </w:rPr>
            </w:pPr>
            <w:r w:rsidRPr="004F0234">
              <w:rPr>
                <w:i/>
                <w:sz w:val="18"/>
                <w:szCs w:val="18"/>
              </w:rPr>
              <w:t>RO OPII</w:t>
            </w:r>
          </w:p>
        </w:tc>
        <w:tc>
          <w:tcPr>
            <w:tcW w:w="1385" w:type="dxa"/>
            <w:vAlign w:val="center"/>
          </w:tcPr>
          <w:p w:rsidR="00017B79" w:rsidRPr="004F0234" w:rsidRDefault="00017B79" w:rsidP="00D83282">
            <w:pPr>
              <w:ind w:left="0"/>
              <w:jc w:val="center"/>
              <w:rPr>
                <w:i/>
                <w:sz w:val="18"/>
                <w:szCs w:val="18"/>
              </w:rPr>
            </w:pPr>
            <w:r>
              <w:rPr>
                <w:i/>
                <w:sz w:val="18"/>
                <w:szCs w:val="18"/>
              </w:rPr>
              <w:t>Ročne</w:t>
            </w:r>
          </w:p>
        </w:tc>
      </w:tr>
    </w:tbl>
    <w:p w:rsidR="00395D81" w:rsidRPr="00E3616E" w:rsidRDefault="00395D81" w:rsidP="00E3616E">
      <w:pPr>
        <w:rPr>
          <w:sz w:val="20"/>
          <w:szCs w:val="20"/>
        </w:rPr>
      </w:pPr>
      <w:bookmarkStart w:id="55" w:name="_Toc384029132"/>
      <w:r w:rsidRPr="008F243C">
        <w:rPr>
          <w:sz w:val="20"/>
          <w:szCs w:val="20"/>
          <w:u w:val="single"/>
        </w:rPr>
        <w:t>Pozn.</w:t>
      </w:r>
      <w:r w:rsidRPr="00E3616E">
        <w:rPr>
          <w:sz w:val="20"/>
          <w:szCs w:val="20"/>
        </w:rPr>
        <w:t>: Hodnoty ukazovateľov budú doplnené v ďalšom štádiu prípravy dokumentu.</w:t>
      </w:r>
      <w:bookmarkEnd w:id="55"/>
      <w:r w:rsidRPr="00E3616E">
        <w:rPr>
          <w:sz w:val="20"/>
          <w:szCs w:val="20"/>
        </w:rPr>
        <w:t xml:space="preserve"> </w:t>
      </w:r>
    </w:p>
    <w:p w:rsidR="00017B79" w:rsidRDefault="00017B79" w:rsidP="00017B79">
      <w:pPr>
        <w:pStyle w:val="Nadpis3"/>
      </w:pPr>
      <w:bookmarkStart w:id="56" w:name="_Toc385310711"/>
      <w:r>
        <w:t>Výkonnostný rámec prioritnej osi</w:t>
      </w:r>
      <w:bookmarkEnd w:id="56"/>
    </w:p>
    <w:p w:rsidR="00017B79" w:rsidRPr="007B3B80" w:rsidRDefault="00017B79" w:rsidP="00017B79">
      <w:pPr>
        <w:pStyle w:val="Tab"/>
      </w:pPr>
      <w:r>
        <w:t>Vý</w:t>
      </w:r>
      <w:r w:rsidR="00E74D5D">
        <w:t>konnostný rámec Prioritnej osi 5</w:t>
      </w:r>
    </w:p>
    <w:tbl>
      <w:tblPr>
        <w:tblStyle w:val="Mriekatabuky"/>
        <w:tblW w:w="966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1476"/>
        <w:gridCol w:w="385"/>
        <w:gridCol w:w="1579"/>
        <w:gridCol w:w="897"/>
        <w:gridCol w:w="656"/>
        <w:gridCol w:w="986"/>
        <w:gridCol w:w="987"/>
        <w:gridCol w:w="736"/>
        <w:gridCol w:w="747"/>
        <w:gridCol w:w="1217"/>
      </w:tblGrid>
      <w:tr w:rsidR="00017B79" w:rsidTr="00395D81">
        <w:trPr>
          <w:trHeight w:val="340"/>
          <w:jc w:val="center"/>
        </w:trPr>
        <w:tc>
          <w:tcPr>
            <w:tcW w:w="1476" w:type="dxa"/>
            <w:shd w:val="clear" w:color="auto" w:fill="C6D9F1" w:themeFill="text2" w:themeFillTint="33"/>
          </w:tcPr>
          <w:p w:rsidR="00017B79" w:rsidRPr="008C1732" w:rsidRDefault="00017B79" w:rsidP="00017B79">
            <w:pPr>
              <w:ind w:left="0"/>
              <w:rPr>
                <w:b/>
                <w:sz w:val="18"/>
                <w:szCs w:val="18"/>
              </w:rPr>
            </w:pPr>
            <w:r w:rsidRPr="008C1732">
              <w:rPr>
                <w:b/>
                <w:sz w:val="18"/>
                <w:szCs w:val="18"/>
              </w:rPr>
              <w:t>Typ ukazovateľa</w:t>
            </w:r>
          </w:p>
          <w:p w:rsidR="00017B79" w:rsidRPr="008C1732" w:rsidRDefault="00017B79" w:rsidP="00017B79">
            <w:pPr>
              <w:ind w:left="0"/>
              <w:rPr>
                <w:b/>
                <w:sz w:val="18"/>
                <w:szCs w:val="18"/>
              </w:rPr>
            </w:pPr>
          </w:p>
          <w:p w:rsidR="00017B79" w:rsidRPr="008C1732" w:rsidRDefault="00017B79" w:rsidP="00017B79">
            <w:pPr>
              <w:ind w:left="0"/>
              <w:rPr>
                <w:b/>
                <w:sz w:val="18"/>
                <w:szCs w:val="18"/>
              </w:rPr>
            </w:pPr>
            <w:r w:rsidRPr="008C1732">
              <w:rPr>
                <w:b/>
                <w:sz w:val="18"/>
                <w:szCs w:val="18"/>
              </w:rPr>
              <w:t>(Implementačný krok, finančný ukazovateľ, ukazovateľ výstupu alebo výsledku)</w:t>
            </w:r>
            <w:r w:rsidRPr="008C1732">
              <w:rPr>
                <w:b/>
                <w:bCs/>
                <w:sz w:val="16"/>
                <w:szCs w:val="16"/>
              </w:rPr>
              <w:t xml:space="preserve"> </w:t>
            </w:r>
          </w:p>
        </w:tc>
        <w:tc>
          <w:tcPr>
            <w:tcW w:w="385" w:type="dxa"/>
            <w:shd w:val="clear" w:color="auto" w:fill="C6D9F1" w:themeFill="text2" w:themeFillTint="33"/>
          </w:tcPr>
          <w:p w:rsidR="00017B79" w:rsidRPr="008C1732" w:rsidRDefault="00AF56C3" w:rsidP="00017B79">
            <w:pPr>
              <w:ind w:left="0"/>
              <w:rPr>
                <w:b/>
                <w:sz w:val="18"/>
                <w:szCs w:val="18"/>
              </w:rPr>
            </w:pPr>
            <w:r>
              <w:rPr>
                <w:b/>
                <w:sz w:val="18"/>
                <w:szCs w:val="18"/>
              </w:rPr>
              <w:t>P. č.</w:t>
            </w:r>
          </w:p>
        </w:tc>
        <w:tc>
          <w:tcPr>
            <w:tcW w:w="1579" w:type="dxa"/>
            <w:shd w:val="clear" w:color="auto" w:fill="C6D9F1" w:themeFill="text2" w:themeFillTint="33"/>
          </w:tcPr>
          <w:p w:rsidR="00017B79" w:rsidRPr="008C1732" w:rsidRDefault="00017B79" w:rsidP="00017B79">
            <w:pPr>
              <w:ind w:left="0"/>
              <w:rPr>
                <w:b/>
                <w:sz w:val="18"/>
                <w:szCs w:val="18"/>
              </w:rPr>
            </w:pPr>
            <w:r w:rsidRPr="008C1732">
              <w:rPr>
                <w:b/>
                <w:sz w:val="18"/>
                <w:szCs w:val="18"/>
              </w:rPr>
              <w:t>Definícia ukazovateľa alebo implementačného kroku</w:t>
            </w:r>
          </w:p>
        </w:tc>
        <w:tc>
          <w:tcPr>
            <w:tcW w:w="897" w:type="dxa"/>
            <w:shd w:val="clear" w:color="auto" w:fill="C6D9F1" w:themeFill="text2" w:themeFillTint="33"/>
          </w:tcPr>
          <w:p w:rsidR="00017B79" w:rsidRPr="008C1732" w:rsidRDefault="00017B79" w:rsidP="00017B79">
            <w:pPr>
              <w:ind w:left="0"/>
              <w:rPr>
                <w:b/>
                <w:sz w:val="18"/>
                <w:szCs w:val="18"/>
              </w:rPr>
            </w:pPr>
            <w:r w:rsidRPr="008C1732">
              <w:rPr>
                <w:b/>
                <w:sz w:val="18"/>
                <w:szCs w:val="18"/>
              </w:rPr>
              <w:t>Merná jednotka</w:t>
            </w:r>
          </w:p>
        </w:tc>
        <w:tc>
          <w:tcPr>
            <w:tcW w:w="656" w:type="dxa"/>
            <w:shd w:val="clear" w:color="auto" w:fill="C6D9F1" w:themeFill="text2" w:themeFillTint="33"/>
          </w:tcPr>
          <w:p w:rsidR="00017B79" w:rsidRPr="008C1732" w:rsidRDefault="00017B79" w:rsidP="00017B79">
            <w:pPr>
              <w:ind w:left="0"/>
              <w:rPr>
                <w:b/>
                <w:sz w:val="18"/>
                <w:szCs w:val="18"/>
              </w:rPr>
            </w:pPr>
            <w:r w:rsidRPr="008C1732">
              <w:rPr>
                <w:b/>
                <w:sz w:val="18"/>
                <w:szCs w:val="18"/>
              </w:rPr>
              <w:t>Fond</w:t>
            </w:r>
          </w:p>
        </w:tc>
        <w:tc>
          <w:tcPr>
            <w:tcW w:w="986" w:type="dxa"/>
            <w:shd w:val="clear" w:color="auto" w:fill="C6D9F1" w:themeFill="text2" w:themeFillTint="33"/>
          </w:tcPr>
          <w:p w:rsidR="00017B79" w:rsidRPr="008C1732" w:rsidRDefault="00017B79" w:rsidP="00017B79">
            <w:pPr>
              <w:ind w:left="0"/>
              <w:rPr>
                <w:b/>
                <w:sz w:val="18"/>
                <w:szCs w:val="18"/>
              </w:rPr>
            </w:pPr>
            <w:r w:rsidRPr="008C1732">
              <w:rPr>
                <w:b/>
                <w:sz w:val="18"/>
                <w:szCs w:val="18"/>
              </w:rPr>
              <w:t>Kategória regiónu</w:t>
            </w:r>
          </w:p>
        </w:tc>
        <w:tc>
          <w:tcPr>
            <w:tcW w:w="987" w:type="dxa"/>
            <w:shd w:val="clear" w:color="auto" w:fill="C6D9F1" w:themeFill="text2" w:themeFillTint="33"/>
          </w:tcPr>
          <w:p w:rsidR="00017B79" w:rsidRPr="008C1732" w:rsidRDefault="00017B79" w:rsidP="00017B79">
            <w:pPr>
              <w:ind w:left="0"/>
              <w:rPr>
                <w:b/>
                <w:sz w:val="18"/>
                <w:szCs w:val="18"/>
              </w:rPr>
            </w:pPr>
            <w:r w:rsidRPr="008C1732">
              <w:rPr>
                <w:b/>
                <w:sz w:val="18"/>
                <w:szCs w:val="18"/>
              </w:rPr>
              <w:t>Čiastkový cieľ pre rok 2018</w:t>
            </w:r>
          </w:p>
        </w:tc>
        <w:tc>
          <w:tcPr>
            <w:tcW w:w="736" w:type="dxa"/>
            <w:shd w:val="clear" w:color="auto" w:fill="C6D9F1" w:themeFill="text2" w:themeFillTint="33"/>
          </w:tcPr>
          <w:p w:rsidR="00017B79" w:rsidRPr="008C1732" w:rsidRDefault="00017B79" w:rsidP="00017B79">
            <w:pPr>
              <w:ind w:left="0"/>
              <w:rPr>
                <w:b/>
                <w:sz w:val="18"/>
                <w:szCs w:val="18"/>
              </w:rPr>
            </w:pPr>
            <w:r w:rsidRPr="008C1732">
              <w:rPr>
                <w:b/>
                <w:sz w:val="18"/>
                <w:szCs w:val="18"/>
              </w:rPr>
              <w:t>Zámer</w:t>
            </w:r>
          </w:p>
          <w:p w:rsidR="00017B79" w:rsidRPr="008C1732" w:rsidRDefault="00017B79" w:rsidP="00017B79">
            <w:pPr>
              <w:ind w:left="0"/>
              <w:rPr>
                <w:b/>
                <w:sz w:val="18"/>
                <w:szCs w:val="18"/>
              </w:rPr>
            </w:pPr>
            <w:r w:rsidRPr="008C1732">
              <w:rPr>
                <w:b/>
                <w:sz w:val="18"/>
                <w:szCs w:val="18"/>
              </w:rPr>
              <w:t>(2023)</w:t>
            </w:r>
          </w:p>
        </w:tc>
        <w:tc>
          <w:tcPr>
            <w:tcW w:w="747" w:type="dxa"/>
            <w:shd w:val="clear" w:color="auto" w:fill="C6D9F1" w:themeFill="text2" w:themeFillTint="33"/>
          </w:tcPr>
          <w:p w:rsidR="00017B79" w:rsidRPr="008C1732" w:rsidRDefault="00017B79" w:rsidP="00017B79">
            <w:pPr>
              <w:ind w:left="0"/>
              <w:rPr>
                <w:b/>
                <w:sz w:val="18"/>
                <w:szCs w:val="18"/>
              </w:rPr>
            </w:pPr>
            <w:r w:rsidRPr="008C1732">
              <w:rPr>
                <w:b/>
                <w:sz w:val="18"/>
                <w:szCs w:val="18"/>
              </w:rPr>
              <w:t>Zdroj údajov</w:t>
            </w:r>
          </w:p>
        </w:tc>
        <w:tc>
          <w:tcPr>
            <w:tcW w:w="1217" w:type="dxa"/>
            <w:shd w:val="clear" w:color="auto" w:fill="C6D9F1" w:themeFill="text2" w:themeFillTint="33"/>
          </w:tcPr>
          <w:p w:rsidR="00017B79" w:rsidRPr="008C1732" w:rsidRDefault="00017B79" w:rsidP="00017B79">
            <w:pPr>
              <w:ind w:left="0"/>
              <w:rPr>
                <w:b/>
                <w:sz w:val="18"/>
                <w:szCs w:val="18"/>
              </w:rPr>
            </w:pPr>
            <w:r w:rsidRPr="008C1732">
              <w:rPr>
                <w:b/>
                <w:sz w:val="18"/>
                <w:szCs w:val="18"/>
              </w:rPr>
              <w:t>Zdôvodnenie výberu ukazovateľa</w:t>
            </w:r>
          </w:p>
        </w:tc>
      </w:tr>
      <w:tr w:rsidR="00017B79" w:rsidTr="00395D81">
        <w:trPr>
          <w:trHeight w:val="454"/>
          <w:jc w:val="center"/>
        </w:trPr>
        <w:tc>
          <w:tcPr>
            <w:tcW w:w="1476" w:type="dxa"/>
            <w:vAlign w:val="center"/>
          </w:tcPr>
          <w:p w:rsidR="00017B79" w:rsidRPr="00D9570C" w:rsidRDefault="00017B79" w:rsidP="00E41E26">
            <w:pPr>
              <w:ind w:left="0"/>
              <w:rPr>
                <w:i/>
                <w:sz w:val="18"/>
                <w:szCs w:val="18"/>
              </w:rPr>
            </w:pPr>
            <w:r w:rsidRPr="00D9570C">
              <w:rPr>
                <w:i/>
                <w:sz w:val="18"/>
                <w:szCs w:val="18"/>
              </w:rPr>
              <w:t>výstupový ukazovateľ</w:t>
            </w:r>
          </w:p>
        </w:tc>
        <w:tc>
          <w:tcPr>
            <w:tcW w:w="385" w:type="dxa"/>
          </w:tcPr>
          <w:p w:rsidR="00017B79" w:rsidRPr="00D9570C" w:rsidRDefault="00017B79" w:rsidP="00017B79">
            <w:pPr>
              <w:rPr>
                <w:sz w:val="18"/>
                <w:szCs w:val="18"/>
              </w:rPr>
            </w:pPr>
          </w:p>
        </w:tc>
        <w:tc>
          <w:tcPr>
            <w:tcW w:w="1579" w:type="dxa"/>
          </w:tcPr>
          <w:p w:rsidR="00017B79" w:rsidRPr="00D9570C" w:rsidRDefault="00E74D5D" w:rsidP="00E74D5D">
            <w:pPr>
              <w:ind w:left="0"/>
              <w:rPr>
                <w:sz w:val="18"/>
                <w:szCs w:val="18"/>
              </w:rPr>
            </w:pPr>
            <w:r w:rsidRPr="00DA54CE">
              <w:rPr>
                <w:sz w:val="18"/>
                <w:szCs w:val="18"/>
              </w:rPr>
              <w:t>Celková dĺžka rekonštruovanej alebo zrenovovanej železničnej trate</w:t>
            </w:r>
          </w:p>
        </w:tc>
        <w:tc>
          <w:tcPr>
            <w:tcW w:w="897" w:type="dxa"/>
            <w:vAlign w:val="center"/>
          </w:tcPr>
          <w:p w:rsidR="00017B79" w:rsidRPr="00D9570C" w:rsidRDefault="00E74D5D" w:rsidP="00E41E26">
            <w:pPr>
              <w:ind w:left="0"/>
              <w:jc w:val="center"/>
              <w:rPr>
                <w:i/>
                <w:sz w:val="18"/>
                <w:szCs w:val="18"/>
              </w:rPr>
            </w:pPr>
            <w:r>
              <w:rPr>
                <w:i/>
                <w:sz w:val="18"/>
                <w:szCs w:val="18"/>
              </w:rPr>
              <w:t>km</w:t>
            </w:r>
          </w:p>
        </w:tc>
        <w:tc>
          <w:tcPr>
            <w:tcW w:w="656" w:type="dxa"/>
            <w:vAlign w:val="center"/>
          </w:tcPr>
          <w:p w:rsidR="00017B79" w:rsidRPr="00D9570C" w:rsidRDefault="00E74D5D" w:rsidP="00E41E26">
            <w:pPr>
              <w:ind w:left="0"/>
              <w:jc w:val="center"/>
              <w:rPr>
                <w:i/>
                <w:sz w:val="18"/>
                <w:szCs w:val="18"/>
              </w:rPr>
            </w:pPr>
            <w:r>
              <w:rPr>
                <w:i/>
                <w:sz w:val="18"/>
                <w:szCs w:val="18"/>
              </w:rPr>
              <w:t>EFRR</w:t>
            </w:r>
          </w:p>
        </w:tc>
        <w:tc>
          <w:tcPr>
            <w:tcW w:w="986" w:type="dxa"/>
            <w:vAlign w:val="center"/>
          </w:tcPr>
          <w:p w:rsidR="00017B79" w:rsidRPr="00D9570C" w:rsidRDefault="00E74D5D" w:rsidP="00E41E26">
            <w:pPr>
              <w:ind w:left="0"/>
              <w:jc w:val="center"/>
              <w:rPr>
                <w:i/>
                <w:sz w:val="18"/>
                <w:szCs w:val="18"/>
              </w:rPr>
            </w:pPr>
            <w:r>
              <w:rPr>
                <w:i/>
                <w:sz w:val="18"/>
                <w:szCs w:val="18"/>
              </w:rPr>
              <w:t>Menej rozvinuté regióny</w:t>
            </w:r>
          </w:p>
        </w:tc>
        <w:tc>
          <w:tcPr>
            <w:tcW w:w="987" w:type="dxa"/>
            <w:vAlign w:val="center"/>
          </w:tcPr>
          <w:p w:rsidR="00017B79" w:rsidRPr="00D9570C" w:rsidRDefault="00017B79" w:rsidP="00E41E26">
            <w:pPr>
              <w:ind w:left="0"/>
              <w:jc w:val="center"/>
              <w:rPr>
                <w:i/>
                <w:sz w:val="18"/>
                <w:szCs w:val="18"/>
              </w:rPr>
            </w:pPr>
          </w:p>
        </w:tc>
        <w:tc>
          <w:tcPr>
            <w:tcW w:w="736" w:type="dxa"/>
            <w:vAlign w:val="center"/>
          </w:tcPr>
          <w:p w:rsidR="00017B79" w:rsidRPr="00D9570C" w:rsidRDefault="00017B79" w:rsidP="00E41E26">
            <w:pPr>
              <w:ind w:left="0"/>
              <w:jc w:val="center"/>
              <w:rPr>
                <w:i/>
                <w:sz w:val="18"/>
                <w:szCs w:val="18"/>
              </w:rPr>
            </w:pPr>
          </w:p>
        </w:tc>
        <w:tc>
          <w:tcPr>
            <w:tcW w:w="747" w:type="dxa"/>
            <w:vAlign w:val="center"/>
          </w:tcPr>
          <w:p w:rsidR="00017B79" w:rsidRPr="00D9570C" w:rsidRDefault="00017B79" w:rsidP="00E41E26">
            <w:pPr>
              <w:ind w:left="0"/>
              <w:jc w:val="center"/>
              <w:rPr>
                <w:i/>
                <w:sz w:val="18"/>
                <w:szCs w:val="18"/>
              </w:rPr>
            </w:pPr>
            <w:r w:rsidRPr="00D9570C">
              <w:rPr>
                <w:i/>
                <w:sz w:val="18"/>
                <w:szCs w:val="18"/>
              </w:rPr>
              <w:t>RO OPII</w:t>
            </w:r>
          </w:p>
        </w:tc>
        <w:tc>
          <w:tcPr>
            <w:tcW w:w="1217" w:type="dxa"/>
            <w:vAlign w:val="center"/>
          </w:tcPr>
          <w:p w:rsidR="00017B79" w:rsidRPr="00D9570C" w:rsidRDefault="00E74D5D" w:rsidP="00E41E26">
            <w:pPr>
              <w:ind w:left="0"/>
              <w:jc w:val="center"/>
              <w:rPr>
                <w:i/>
                <w:sz w:val="18"/>
                <w:szCs w:val="18"/>
              </w:rPr>
            </w:pPr>
            <w:r>
              <w:rPr>
                <w:i/>
                <w:sz w:val="18"/>
                <w:szCs w:val="18"/>
              </w:rPr>
              <w:t>Spoločný ukazovateľ</w:t>
            </w:r>
          </w:p>
        </w:tc>
      </w:tr>
      <w:tr w:rsidR="00017B79" w:rsidTr="00395D81">
        <w:trPr>
          <w:trHeight w:val="454"/>
          <w:jc w:val="center"/>
        </w:trPr>
        <w:tc>
          <w:tcPr>
            <w:tcW w:w="1476" w:type="dxa"/>
            <w:vAlign w:val="center"/>
          </w:tcPr>
          <w:p w:rsidR="00017B79" w:rsidRPr="00D9570C" w:rsidRDefault="00017B79" w:rsidP="00E41E26">
            <w:pPr>
              <w:ind w:left="0"/>
              <w:rPr>
                <w:sz w:val="18"/>
                <w:szCs w:val="18"/>
              </w:rPr>
            </w:pPr>
            <w:r w:rsidRPr="00D9570C">
              <w:rPr>
                <w:i/>
                <w:sz w:val="18"/>
                <w:szCs w:val="18"/>
              </w:rPr>
              <w:t xml:space="preserve"> finančný ukazovateľ</w:t>
            </w:r>
          </w:p>
        </w:tc>
        <w:tc>
          <w:tcPr>
            <w:tcW w:w="385" w:type="dxa"/>
          </w:tcPr>
          <w:p w:rsidR="00017B79" w:rsidRPr="00D9570C" w:rsidRDefault="00017B79" w:rsidP="00017B79">
            <w:pPr>
              <w:rPr>
                <w:sz w:val="18"/>
                <w:szCs w:val="18"/>
              </w:rPr>
            </w:pPr>
          </w:p>
        </w:tc>
        <w:tc>
          <w:tcPr>
            <w:tcW w:w="1579" w:type="dxa"/>
          </w:tcPr>
          <w:p w:rsidR="00017B79" w:rsidRPr="00D9570C" w:rsidRDefault="00017B79" w:rsidP="00E74D5D">
            <w:pPr>
              <w:ind w:left="0"/>
              <w:rPr>
                <w:sz w:val="18"/>
                <w:szCs w:val="18"/>
              </w:rPr>
            </w:pPr>
            <w:r w:rsidRPr="00D9570C">
              <w:rPr>
                <w:sz w:val="18"/>
                <w:szCs w:val="18"/>
              </w:rPr>
              <w:t>Celková suma oprávnených výdavkov po ich certifikácii zo strany Certifikačného orgánu</w:t>
            </w:r>
          </w:p>
        </w:tc>
        <w:tc>
          <w:tcPr>
            <w:tcW w:w="897" w:type="dxa"/>
            <w:vAlign w:val="center"/>
          </w:tcPr>
          <w:p w:rsidR="00017B79" w:rsidRPr="00D9570C" w:rsidRDefault="00017B79" w:rsidP="00E41E26">
            <w:pPr>
              <w:ind w:left="0"/>
              <w:jc w:val="center"/>
              <w:rPr>
                <w:i/>
                <w:sz w:val="18"/>
                <w:szCs w:val="18"/>
              </w:rPr>
            </w:pPr>
            <w:r w:rsidRPr="00D9570C">
              <w:rPr>
                <w:i/>
                <w:sz w:val="18"/>
                <w:szCs w:val="18"/>
              </w:rPr>
              <w:t>%</w:t>
            </w:r>
          </w:p>
        </w:tc>
        <w:tc>
          <w:tcPr>
            <w:tcW w:w="656" w:type="dxa"/>
            <w:vAlign w:val="center"/>
          </w:tcPr>
          <w:p w:rsidR="00017B79" w:rsidRPr="00D9570C" w:rsidRDefault="00E42497" w:rsidP="00E41E26">
            <w:pPr>
              <w:ind w:left="0"/>
              <w:jc w:val="center"/>
              <w:rPr>
                <w:i/>
                <w:sz w:val="18"/>
                <w:szCs w:val="18"/>
              </w:rPr>
            </w:pPr>
            <w:r>
              <w:rPr>
                <w:i/>
                <w:sz w:val="18"/>
                <w:szCs w:val="18"/>
              </w:rPr>
              <w:t>EFRR</w:t>
            </w:r>
          </w:p>
        </w:tc>
        <w:tc>
          <w:tcPr>
            <w:tcW w:w="986" w:type="dxa"/>
            <w:vAlign w:val="center"/>
          </w:tcPr>
          <w:p w:rsidR="00017B79" w:rsidRPr="00D9570C" w:rsidRDefault="00E74D5D" w:rsidP="00E41E26">
            <w:pPr>
              <w:ind w:left="0"/>
              <w:jc w:val="center"/>
              <w:rPr>
                <w:i/>
                <w:sz w:val="18"/>
                <w:szCs w:val="18"/>
              </w:rPr>
            </w:pPr>
            <w:r>
              <w:rPr>
                <w:i/>
                <w:sz w:val="18"/>
                <w:szCs w:val="18"/>
              </w:rPr>
              <w:t>Menej rozvinuté regióny</w:t>
            </w:r>
          </w:p>
        </w:tc>
        <w:tc>
          <w:tcPr>
            <w:tcW w:w="987" w:type="dxa"/>
            <w:vAlign w:val="center"/>
          </w:tcPr>
          <w:p w:rsidR="00017B79" w:rsidRPr="00D9570C" w:rsidRDefault="00017B79" w:rsidP="00E41E26">
            <w:pPr>
              <w:ind w:left="0"/>
              <w:jc w:val="center"/>
              <w:rPr>
                <w:i/>
                <w:sz w:val="18"/>
                <w:szCs w:val="18"/>
              </w:rPr>
            </w:pPr>
          </w:p>
        </w:tc>
        <w:tc>
          <w:tcPr>
            <w:tcW w:w="736" w:type="dxa"/>
            <w:vAlign w:val="center"/>
          </w:tcPr>
          <w:p w:rsidR="00017B79" w:rsidRPr="00D9570C" w:rsidRDefault="00017B79" w:rsidP="00E41E26">
            <w:pPr>
              <w:ind w:left="0"/>
              <w:jc w:val="center"/>
              <w:rPr>
                <w:i/>
                <w:sz w:val="18"/>
                <w:szCs w:val="18"/>
              </w:rPr>
            </w:pPr>
          </w:p>
        </w:tc>
        <w:tc>
          <w:tcPr>
            <w:tcW w:w="747" w:type="dxa"/>
            <w:vAlign w:val="center"/>
          </w:tcPr>
          <w:p w:rsidR="00017B79" w:rsidRPr="00D9570C" w:rsidRDefault="00017B79" w:rsidP="00E41E26">
            <w:pPr>
              <w:ind w:left="0"/>
              <w:jc w:val="center"/>
              <w:rPr>
                <w:i/>
                <w:sz w:val="18"/>
                <w:szCs w:val="18"/>
              </w:rPr>
            </w:pPr>
            <w:r w:rsidRPr="00D9570C">
              <w:rPr>
                <w:i/>
                <w:sz w:val="18"/>
                <w:szCs w:val="18"/>
              </w:rPr>
              <w:t>RO OPII</w:t>
            </w:r>
          </w:p>
        </w:tc>
        <w:tc>
          <w:tcPr>
            <w:tcW w:w="1217" w:type="dxa"/>
            <w:vAlign w:val="center"/>
          </w:tcPr>
          <w:p w:rsidR="00017B79" w:rsidRPr="00D9570C" w:rsidRDefault="00017B79" w:rsidP="00E41E26">
            <w:pPr>
              <w:ind w:left="0"/>
              <w:jc w:val="center"/>
              <w:rPr>
                <w:i/>
                <w:sz w:val="18"/>
                <w:szCs w:val="18"/>
              </w:rPr>
            </w:pPr>
            <w:r w:rsidRPr="00D9570C">
              <w:rPr>
                <w:i/>
                <w:sz w:val="18"/>
                <w:szCs w:val="18"/>
              </w:rPr>
              <w:t>Základný finančný ukazovateľ</w:t>
            </w:r>
          </w:p>
        </w:tc>
      </w:tr>
    </w:tbl>
    <w:p w:rsidR="00395D81" w:rsidRPr="00E3616E" w:rsidRDefault="00395D81" w:rsidP="00E3616E">
      <w:pPr>
        <w:rPr>
          <w:sz w:val="20"/>
          <w:szCs w:val="20"/>
        </w:rPr>
      </w:pPr>
      <w:bookmarkStart w:id="57" w:name="_Toc384029134"/>
      <w:r w:rsidRPr="008F243C">
        <w:rPr>
          <w:sz w:val="20"/>
          <w:szCs w:val="20"/>
          <w:u w:val="single"/>
        </w:rPr>
        <w:t>Pozn.</w:t>
      </w:r>
      <w:r w:rsidRPr="00E3616E">
        <w:rPr>
          <w:sz w:val="20"/>
          <w:szCs w:val="20"/>
        </w:rPr>
        <w:t>: Hodnoty ukazovateľov budú doplnené v ďalšom štádiu prípravy dokumentu.</w:t>
      </w:r>
      <w:bookmarkEnd w:id="57"/>
      <w:r w:rsidRPr="00E3616E">
        <w:rPr>
          <w:sz w:val="20"/>
          <w:szCs w:val="20"/>
        </w:rPr>
        <w:t xml:space="preserve"> </w:t>
      </w:r>
    </w:p>
    <w:p w:rsidR="002F2B02" w:rsidRDefault="002F2B02">
      <w:pPr>
        <w:rPr>
          <w:rFonts w:ascii="Arial Narrow" w:hAnsi="Arial Narrow" w:cs="Arial"/>
          <w:b/>
          <w:bCs/>
          <w:color w:val="1F497D" w:themeColor="text2"/>
          <w:sz w:val="22"/>
          <w:szCs w:val="26"/>
        </w:rPr>
      </w:pPr>
      <w:bookmarkStart w:id="58" w:name="_Toc385310712"/>
      <w:r>
        <w:br w:type="page"/>
      </w:r>
    </w:p>
    <w:p w:rsidR="00017B79" w:rsidRDefault="00017B79" w:rsidP="00017B79">
      <w:pPr>
        <w:pStyle w:val="Nadpis3"/>
      </w:pPr>
      <w:r>
        <w:lastRenderedPageBreak/>
        <w:t>Kategórie intervencií</w:t>
      </w:r>
      <w:bookmarkEnd w:id="58"/>
    </w:p>
    <w:p w:rsidR="00017B79" w:rsidRPr="006579CE" w:rsidRDefault="00017B79" w:rsidP="00017B79">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017B79" w:rsidTr="00017B79">
        <w:trPr>
          <w:trHeight w:val="284"/>
          <w:jc w:val="center"/>
        </w:trPr>
        <w:tc>
          <w:tcPr>
            <w:tcW w:w="9072" w:type="dxa"/>
            <w:gridSpan w:val="3"/>
            <w:shd w:val="clear" w:color="auto" w:fill="DBE5F1" w:themeFill="accent1" w:themeFillTint="33"/>
            <w:vAlign w:val="center"/>
          </w:tcPr>
          <w:p w:rsidR="00017B79" w:rsidRPr="006579CE" w:rsidRDefault="00017B79" w:rsidP="00017B79">
            <w:pPr>
              <w:pStyle w:val="Default"/>
              <w:autoSpaceDE/>
              <w:autoSpaceDN/>
              <w:adjustRightInd/>
              <w:ind w:left="0"/>
              <w:rPr>
                <w:sz w:val="20"/>
                <w:szCs w:val="20"/>
              </w:rPr>
            </w:pPr>
            <w:r>
              <w:rPr>
                <w:b/>
                <w:bCs/>
                <w:sz w:val="20"/>
                <w:szCs w:val="20"/>
              </w:rPr>
              <w:t xml:space="preserve">Rozmer 1 – Oblasť intervencie </w:t>
            </w:r>
          </w:p>
        </w:tc>
      </w:tr>
      <w:tr w:rsidR="00017B79" w:rsidTr="00017B79">
        <w:trPr>
          <w:trHeight w:val="284"/>
          <w:jc w:val="center"/>
        </w:trPr>
        <w:tc>
          <w:tcPr>
            <w:tcW w:w="4913" w:type="dxa"/>
            <w:shd w:val="clear" w:color="auto" w:fill="DBE5F1" w:themeFill="accent1" w:themeFillTint="33"/>
            <w:vAlign w:val="center"/>
          </w:tcPr>
          <w:p w:rsidR="00017B79" w:rsidRPr="006579CE" w:rsidRDefault="00017B79" w:rsidP="00017B79">
            <w:pPr>
              <w:pStyle w:val="Default"/>
              <w:autoSpaceDE/>
              <w:autoSpaceDN/>
              <w:adjustRightInd/>
              <w:ind w:left="0"/>
              <w:rPr>
                <w:b/>
                <w:bCs/>
                <w:sz w:val="20"/>
                <w:szCs w:val="20"/>
              </w:rPr>
            </w:pPr>
            <w:r w:rsidRPr="006579CE">
              <w:rPr>
                <w:b/>
                <w:bCs/>
                <w:sz w:val="20"/>
                <w:szCs w:val="20"/>
              </w:rPr>
              <w:t>Fond</w:t>
            </w:r>
          </w:p>
        </w:tc>
        <w:tc>
          <w:tcPr>
            <w:tcW w:w="4159" w:type="dxa"/>
            <w:gridSpan w:val="2"/>
            <w:shd w:val="clear" w:color="auto" w:fill="DBE5F1" w:themeFill="accent1" w:themeFillTint="33"/>
            <w:vAlign w:val="center"/>
          </w:tcPr>
          <w:p w:rsidR="00017B79" w:rsidRPr="006579CE" w:rsidRDefault="002E2353" w:rsidP="00017B79">
            <w:pPr>
              <w:pStyle w:val="Default"/>
              <w:autoSpaceDE/>
              <w:autoSpaceDN/>
              <w:adjustRightInd/>
              <w:ind w:left="0"/>
              <w:rPr>
                <w:bCs/>
                <w:sz w:val="20"/>
                <w:szCs w:val="20"/>
              </w:rPr>
            </w:pPr>
            <w:r>
              <w:rPr>
                <w:bCs/>
                <w:sz w:val="20"/>
                <w:szCs w:val="20"/>
              </w:rPr>
              <w:t>EFRR</w:t>
            </w:r>
          </w:p>
        </w:tc>
      </w:tr>
      <w:tr w:rsidR="00017B79" w:rsidTr="00017B79">
        <w:trPr>
          <w:trHeight w:val="284"/>
          <w:jc w:val="center"/>
        </w:trPr>
        <w:tc>
          <w:tcPr>
            <w:tcW w:w="4913" w:type="dxa"/>
            <w:shd w:val="clear" w:color="auto" w:fill="DBE5F1" w:themeFill="accent1" w:themeFillTint="33"/>
            <w:vAlign w:val="center"/>
          </w:tcPr>
          <w:p w:rsidR="00017B79" w:rsidRPr="006579CE" w:rsidRDefault="00017B79" w:rsidP="00017B79">
            <w:pPr>
              <w:ind w:left="0"/>
              <w:rPr>
                <w:sz w:val="20"/>
                <w:szCs w:val="20"/>
              </w:rPr>
            </w:pPr>
            <w:r w:rsidRPr="006579CE">
              <w:rPr>
                <w:b/>
                <w:bCs/>
                <w:color w:val="000000"/>
                <w:sz w:val="20"/>
                <w:szCs w:val="20"/>
              </w:rPr>
              <w:t>Kategória regiónu</w:t>
            </w:r>
          </w:p>
        </w:tc>
        <w:tc>
          <w:tcPr>
            <w:tcW w:w="4159" w:type="dxa"/>
            <w:gridSpan w:val="2"/>
            <w:shd w:val="clear" w:color="auto" w:fill="DBE5F1" w:themeFill="accent1" w:themeFillTint="33"/>
            <w:vAlign w:val="center"/>
          </w:tcPr>
          <w:p w:rsidR="00017B79" w:rsidRPr="006579CE" w:rsidRDefault="002E2353" w:rsidP="00017B79">
            <w:pPr>
              <w:ind w:left="0"/>
              <w:rPr>
                <w:sz w:val="20"/>
                <w:szCs w:val="20"/>
              </w:rPr>
            </w:pPr>
            <w:r>
              <w:rPr>
                <w:sz w:val="20"/>
                <w:szCs w:val="20"/>
              </w:rPr>
              <w:t>Menej rozvinuté regióny</w:t>
            </w:r>
          </w:p>
        </w:tc>
      </w:tr>
      <w:tr w:rsidR="00017B79" w:rsidTr="00017B79">
        <w:trPr>
          <w:trHeight w:val="284"/>
          <w:jc w:val="center"/>
        </w:trPr>
        <w:tc>
          <w:tcPr>
            <w:tcW w:w="4913" w:type="dxa"/>
            <w:vAlign w:val="center"/>
          </w:tcPr>
          <w:p w:rsidR="00017B79" w:rsidRPr="00D479A4" w:rsidRDefault="00017B79" w:rsidP="00017B79">
            <w:pPr>
              <w:ind w:left="0"/>
              <w:jc w:val="center"/>
              <w:rPr>
                <w:b/>
                <w:sz w:val="20"/>
                <w:szCs w:val="20"/>
              </w:rPr>
            </w:pPr>
            <w:r w:rsidRPr="00D479A4">
              <w:rPr>
                <w:b/>
                <w:sz w:val="20"/>
                <w:szCs w:val="20"/>
              </w:rPr>
              <w:t>Prioritná os</w:t>
            </w:r>
          </w:p>
        </w:tc>
        <w:tc>
          <w:tcPr>
            <w:tcW w:w="2120" w:type="dxa"/>
            <w:vAlign w:val="center"/>
          </w:tcPr>
          <w:p w:rsidR="00017B79" w:rsidRPr="00D479A4" w:rsidRDefault="00017B79" w:rsidP="00017B79">
            <w:pPr>
              <w:ind w:left="0"/>
              <w:jc w:val="center"/>
              <w:rPr>
                <w:b/>
                <w:sz w:val="20"/>
                <w:szCs w:val="20"/>
              </w:rPr>
            </w:pPr>
            <w:r w:rsidRPr="00D479A4">
              <w:rPr>
                <w:b/>
                <w:sz w:val="20"/>
                <w:szCs w:val="20"/>
              </w:rPr>
              <w:t>Kód</w:t>
            </w:r>
          </w:p>
        </w:tc>
        <w:tc>
          <w:tcPr>
            <w:tcW w:w="2039" w:type="dxa"/>
            <w:vAlign w:val="center"/>
          </w:tcPr>
          <w:p w:rsidR="00017B79" w:rsidRPr="00D479A4" w:rsidRDefault="00017B79" w:rsidP="00017B79">
            <w:pPr>
              <w:ind w:left="0"/>
              <w:jc w:val="center"/>
              <w:rPr>
                <w:b/>
                <w:sz w:val="20"/>
                <w:szCs w:val="20"/>
              </w:rPr>
            </w:pPr>
            <w:r w:rsidRPr="00D479A4">
              <w:rPr>
                <w:b/>
                <w:sz w:val="20"/>
                <w:szCs w:val="20"/>
              </w:rPr>
              <w:t>Suma (v EUR)</w:t>
            </w:r>
          </w:p>
        </w:tc>
      </w:tr>
      <w:tr w:rsidR="00E572D9" w:rsidTr="00017B79">
        <w:trPr>
          <w:trHeight w:val="284"/>
          <w:jc w:val="center"/>
        </w:trPr>
        <w:tc>
          <w:tcPr>
            <w:tcW w:w="4913" w:type="dxa"/>
            <w:vMerge w:val="restart"/>
            <w:vAlign w:val="center"/>
          </w:tcPr>
          <w:p w:rsidR="00E572D9" w:rsidRPr="00E572D9" w:rsidRDefault="00E572D9" w:rsidP="00017B79">
            <w:pPr>
              <w:ind w:left="0"/>
              <w:rPr>
                <w:sz w:val="20"/>
                <w:szCs w:val="20"/>
              </w:rPr>
            </w:pPr>
            <w:r w:rsidRPr="00E572D9">
              <w:rPr>
                <w:sz w:val="20"/>
                <w:szCs w:val="20"/>
              </w:rPr>
              <w:t>Prioritná os 5 – Železničná infraštruktúra (mimo TEN-T CORE)</w:t>
            </w:r>
          </w:p>
        </w:tc>
        <w:tc>
          <w:tcPr>
            <w:tcW w:w="2120" w:type="dxa"/>
            <w:vAlign w:val="center"/>
          </w:tcPr>
          <w:p w:rsidR="00E572D9" w:rsidRPr="00D479A4" w:rsidRDefault="00E572D9" w:rsidP="00017B79">
            <w:pPr>
              <w:ind w:left="0"/>
              <w:jc w:val="center"/>
              <w:rPr>
                <w:b/>
                <w:sz w:val="20"/>
                <w:szCs w:val="20"/>
              </w:rPr>
            </w:pPr>
            <w:r>
              <w:rPr>
                <w:sz w:val="20"/>
                <w:szCs w:val="20"/>
              </w:rPr>
              <w:t>025</w:t>
            </w:r>
          </w:p>
        </w:tc>
        <w:tc>
          <w:tcPr>
            <w:tcW w:w="2039" w:type="dxa"/>
            <w:vAlign w:val="center"/>
          </w:tcPr>
          <w:p w:rsidR="00E572D9" w:rsidRPr="00E572D9" w:rsidRDefault="00E572D9" w:rsidP="00017B79">
            <w:pPr>
              <w:ind w:left="0"/>
              <w:jc w:val="center"/>
              <w:rPr>
                <w:sz w:val="20"/>
                <w:szCs w:val="20"/>
              </w:rPr>
            </w:pPr>
            <w:r w:rsidRPr="00E572D9">
              <w:rPr>
                <w:sz w:val="20"/>
                <w:szCs w:val="20"/>
              </w:rPr>
              <w:t>200 000 000</w:t>
            </w:r>
          </w:p>
        </w:tc>
      </w:tr>
      <w:tr w:rsidR="00E572D9" w:rsidTr="00017B79">
        <w:trPr>
          <w:trHeight w:val="284"/>
          <w:jc w:val="center"/>
        </w:trPr>
        <w:tc>
          <w:tcPr>
            <w:tcW w:w="4913" w:type="dxa"/>
            <w:vMerge/>
            <w:vAlign w:val="center"/>
          </w:tcPr>
          <w:p w:rsidR="00E572D9" w:rsidRPr="00D479A4" w:rsidRDefault="00E572D9" w:rsidP="00E572D9">
            <w:pPr>
              <w:ind w:left="0"/>
              <w:rPr>
                <w:sz w:val="20"/>
                <w:szCs w:val="20"/>
              </w:rPr>
            </w:pPr>
          </w:p>
        </w:tc>
        <w:tc>
          <w:tcPr>
            <w:tcW w:w="2120" w:type="dxa"/>
            <w:vAlign w:val="center"/>
          </w:tcPr>
          <w:p w:rsidR="00E572D9" w:rsidRDefault="00E572D9" w:rsidP="00E572D9">
            <w:pPr>
              <w:ind w:left="0"/>
              <w:jc w:val="center"/>
              <w:rPr>
                <w:sz w:val="20"/>
                <w:szCs w:val="20"/>
              </w:rPr>
            </w:pPr>
            <w:r>
              <w:rPr>
                <w:sz w:val="20"/>
                <w:szCs w:val="20"/>
              </w:rPr>
              <w:t>026</w:t>
            </w:r>
          </w:p>
        </w:tc>
        <w:tc>
          <w:tcPr>
            <w:tcW w:w="2039" w:type="dxa"/>
            <w:vAlign w:val="center"/>
          </w:tcPr>
          <w:p w:rsidR="00E572D9" w:rsidRPr="00E572D9" w:rsidRDefault="00E572D9" w:rsidP="00E572D9">
            <w:pPr>
              <w:ind w:left="0"/>
              <w:jc w:val="center"/>
              <w:rPr>
                <w:sz w:val="20"/>
                <w:szCs w:val="20"/>
              </w:rPr>
            </w:pPr>
            <w:r w:rsidRPr="00E572D9">
              <w:rPr>
                <w:sz w:val="20"/>
                <w:szCs w:val="20"/>
              </w:rPr>
              <w:t>100 482 227</w:t>
            </w:r>
          </w:p>
        </w:tc>
      </w:tr>
    </w:tbl>
    <w:p w:rsidR="00395D81" w:rsidRPr="00395D81" w:rsidRDefault="00395D81" w:rsidP="00395D81">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017B79" w:rsidTr="002E2353">
        <w:trPr>
          <w:trHeight w:val="255"/>
          <w:jc w:val="center"/>
        </w:trPr>
        <w:tc>
          <w:tcPr>
            <w:tcW w:w="9072" w:type="dxa"/>
            <w:gridSpan w:val="3"/>
            <w:shd w:val="clear" w:color="auto" w:fill="DBE5F1" w:themeFill="accent1" w:themeFillTint="33"/>
            <w:vAlign w:val="center"/>
          </w:tcPr>
          <w:p w:rsidR="00017B79" w:rsidRPr="00304255" w:rsidRDefault="00017B79" w:rsidP="00017B79">
            <w:pPr>
              <w:pStyle w:val="Default"/>
              <w:autoSpaceDE/>
              <w:autoSpaceDN/>
              <w:adjustRightInd/>
              <w:ind w:left="0"/>
              <w:rPr>
                <w:sz w:val="20"/>
                <w:szCs w:val="20"/>
              </w:rPr>
            </w:pPr>
            <w:r w:rsidRPr="00304255">
              <w:rPr>
                <w:b/>
                <w:bCs/>
                <w:sz w:val="20"/>
                <w:szCs w:val="20"/>
              </w:rPr>
              <w:t xml:space="preserve">Rozmer 2 – Forma financovania </w:t>
            </w:r>
          </w:p>
        </w:tc>
      </w:tr>
      <w:tr w:rsidR="002E2353" w:rsidTr="002E2353">
        <w:trPr>
          <w:trHeight w:val="255"/>
          <w:jc w:val="center"/>
        </w:trPr>
        <w:tc>
          <w:tcPr>
            <w:tcW w:w="4913" w:type="dxa"/>
            <w:shd w:val="clear" w:color="auto" w:fill="DBE5F1" w:themeFill="accent1" w:themeFillTint="33"/>
            <w:vAlign w:val="center"/>
          </w:tcPr>
          <w:p w:rsidR="002E2353" w:rsidRPr="00304255" w:rsidRDefault="002E2353" w:rsidP="00017B79">
            <w:pPr>
              <w:pStyle w:val="Default"/>
              <w:autoSpaceDE/>
              <w:autoSpaceDN/>
              <w:adjustRightInd/>
              <w:ind w:left="0"/>
              <w:rPr>
                <w:b/>
                <w:bCs/>
                <w:sz w:val="20"/>
                <w:szCs w:val="20"/>
              </w:rPr>
            </w:pPr>
            <w:r w:rsidRPr="00304255">
              <w:rPr>
                <w:b/>
                <w:bCs/>
                <w:sz w:val="20"/>
                <w:szCs w:val="20"/>
              </w:rPr>
              <w:t>Fond</w:t>
            </w:r>
          </w:p>
        </w:tc>
        <w:tc>
          <w:tcPr>
            <w:tcW w:w="4159" w:type="dxa"/>
            <w:gridSpan w:val="2"/>
            <w:shd w:val="clear" w:color="auto" w:fill="DBE5F1" w:themeFill="accent1" w:themeFillTint="33"/>
            <w:vAlign w:val="center"/>
          </w:tcPr>
          <w:p w:rsidR="002E2353" w:rsidRPr="006579CE" w:rsidRDefault="002E2353" w:rsidP="00717C03">
            <w:pPr>
              <w:pStyle w:val="Default"/>
              <w:autoSpaceDE/>
              <w:autoSpaceDN/>
              <w:adjustRightInd/>
              <w:ind w:left="0"/>
              <w:rPr>
                <w:bCs/>
                <w:sz w:val="20"/>
                <w:szCs w:val="20"/>
              </w:rPr>
            </w:pPr>
            <w:r>
              <w:rPr>
                <w:bCs/>
                <w:sz w:val="20"/>
                <w:szCs w:val="20"/>
              </w:rPr>
              <w:t>EFRR</w:t>
            </w:r>
          </w:p>
        </w:tc>
      </w:tr>
      <w:tr w:rsidR="002E2353" w:rsidTr="002E2353">
        <w:trPr>
          <w:trHeight w:val="255"/>
          <w:jc w:val="center"/>
        </w:trPr>
        <w:tc>
          <w:tcPr>
            <w:tcW w:w="4913" w:type="dxa"/>
            <w:shd w:val="clear" w:color="auto" w:fill="DBE5F1" w:themeFill="accent1" w:themeFillTint="33"/>
            <w:vAlign w:val="center"/>
          </w:tcPr>
          <w:p w:rsidR="002E2353" w:rsidRPr="00304255" w:rsidRDefault="002E2353" w:rsidP="00017B79">
            <w:pPr>
              <w:ind w:left="0"/>
              <w:rPr>
                <w:sz w:val="20"/>
                <w:szCs w:val="20"/>
              </w:rPr>
            </w:pPr>
            <w:r w:rsidRPr="00304255">
              <w:rPr>
                <w:b/>
                <w:bCs/>
                <w:color w:val="000000"/>
                <w:sz w:val="20"/>
                <w:szCs w:val="20"/>
              </w:rPr>
              <w:t>Kategória regiónu</w:t>
            </w:r>
          </w:p>
        </w:tc>
        <w:tc>
          <w:tcPr>
            <w:tcW w:w="4159" w:type="dxa"/>
            <w:gridSpan w:val="2"/>
            <w:shd w:val="clear" w:color="auto" w:fill="DBE5F1" w:themeFill="accent1" w:themeFillTint="33"/>
            <w:vAlign w:val="center"/>
          </w:tcPr>
          <w:p w:rsidR="002E2353" w:rsidRPr="006579CE" w:rsidRDefault="002E2353" w:rsidP="00717C03">
            <w:pPr>
              <w:ind w:left="0"/>
              <w:rPr>
                <w:sz w:val="20"/>
                <w:szCs w:val="20"/>
              </w:rPr>
            </w:pPr>
            <w:r>
              <w:rPr>
                <w:sz w:val="20"/>
                <w:szCs w:val="20"/>
              </w:rPr>
              <w:t>Menej rozvinuté regióny</w:t>
            </w:r>
          </w:p>
        </w:tc>
      </w:tr>
      <w:tr w:rsidR="00017B79" w:rsidTr="002E2353">
        <w:trPr>
          <w:trHeight w:val="255"/>
          <w:jc w:val="center"/>
        </w:trPr>
        <w:tc>
          <w:tcPr>
            <w:tcW w:w="4913" w:type="dxa"/>
            <w:vAlign w:val="center"/>
          </w:tcPr>
          <w:p w:rsidR="00017B79" w:rsidRPr="00304255" w:rsidRDefault="00017B79" w:rsidP="00017B79">
            <w:pPr>
              <w:ind w:left="0"/>
              <w:jc w:val="center"/>
              <w:rPr>
                <w:b/>
                <w:sz w:val="20"/>
                <w:szCs w:val="20"/>
              </w:rPr>
            </w:pPr>
            <w:r w:rsidRPr="00304255">
              <w:rPr>
                <w:b/>
                <w:sz w:val="20"/>
                <w:szCs w:val="20"/>
              </w:rPr>
              <w:t>Prioritná os</w:t>
            </w:r>
          </w:p>
        </w:tc>
        <w:tc>
          <w:tcPr>
            <w:tcW w:w="2120" w:type="dxa"/>
            <w:vAlign w:val="center"/>
          </w:tcPr>
          <w:p w:rsidR="00017B79" w:rsidRPr="00304255" w:rsidRDefault="00017B79" w:rsidP="00017B79">
            <w:pPr>
              <w:ind w:left="0"/>
              <w:jc w:val="center"/>
              <w:rPr>
                <w:b/>
                <w:sz w:val="20"/>
                <w:szCs w:val="20"/>
              </w:rPr>
            </w:pPr>
            <w:r w:rsidRPr="00304255">
              <w:rPr>
                <w:b/>
                <w:sz w:val="20"/>
                <w:szCs w:val="20"/>
              </w:rPr>
              <w:t>Kód</w:t>
            </w:r>
          </w:p>
        </w:tc>
        <w:tc>
          <w:tcPr>
            <w:tcW w:w="2039" w:type="dxa"/>
            <w:vAlign w:val="center"/>
          </w:tcPr>
          <w:p w:rsidR="00017B79" w:rsidRPr="00304255" w:rsidRDefault="00017B79" w:rsidP="00017B79">
            <w:pPr>
              <w:ind w:left="0"/>
              <w:jc w:val="center"/>
              <w:rPr>
                <w:b/>
                <w:sz w:val="20"/>
                <w:szCs w:val="20"/>
              </w:rPr>
            </w:pPr>
            <w:r w:rsidRPr="00304255">
              <w:rPr>
                <w:b/>
                <w:sz w:val="20"/>
                <w:szCs w:val="20"/>
              </w:rPr>
              <w:t>Suma (v EUR)</w:t>
            </w:r>
          </w:p>
        </w:tc>
      </w:tr>
      <w:tr w:rsidR="00017B79" w:rsidTr="002E2353">
        <w:trPr>
          <w:trHeight w:val="255"/>
          <w:jc w:val="center"/>
        </w:trPr>
        <w:tc>
          <w:tcPr>
            <w:tcW w:w="4913" w:type="dxa"/>
            <w:vMerge w:val="restart"/>
            <w:vAlign w:val="center"/>
          </w:tcPr>
          <w:p w:rsidR="00017B79" w:rsidRPr="00304255" w:rsidRDefault="00304255" w:rsidP="00304255">
            <w:pPr>
              <w:ind w:left="0"/>
              <w:rPr>
                <w:sz w:val="20"/>
                <w:szCs w:val="20"/>
              </w:rPr>
            </w:pPr>
            <w:r w:rsidRPr="00304255">
              <w:rPr>
                <w:sz w:val="20"/>
                <w:szCs w:val="20"/>
              </w:rPr>
              <w:t>Prioritná os 5 – Železničná infraštruktúra (mimo TEN-T CORE)</w:t>
            </w:r>
          </w:p>
        </w:tc>
        <w:tc>
          <w:tcPr>
            <w:tcW w:w="2120" w:type="dxa"/>
            <w:vAlign w:val="center"/>
          </w:tcPr>
          <w:p w:rsidR="00017B79" w:rsidRPr="00304255" w:rsidRDefault="00017B79" w:rsidP="00017B79">
            <w:pPr>
              <w:ind w:left="0"/>
              <w:jc w:val="center"/>
              <w:rPr>
                <w:sz w:val="20"/>
                <w:szCs w:val="20"/>
              </w:rPr>
            </w:pPr>
            <w:r w:rsidRPr="00304255">
              <w:rPr>
                <w:sz w:val="20"/>
                <w:szCs w:val="20"/>
              </w:rPr>
              <w:t>01</w:t>
            </w:r>
          </w:p>
        </w:tc>
        <w:tc>
          <w:tcPr>
            <w:tcW w:w="2039" w:type="dxa"/>
            <w:vAlign w:val="center"/>
          </w:tcPr>
          <w:p w:rsidR="00017B79" w:rsidRPr="00304255" w:rsidRDefault="00304255" w:rsidP="00017B79">
            <w:pPr>
              <w:ind w:left="0"/>
              <w:jc w:val="center"/>
              <w:rPr>
                <w:sz w:val="20"/>
                <w:szCs w:val="20"/>
              </w:rPr>
            </w:pPr>
            <w:r w:rsidRPr="00304255">
              <w:rPr>
                <w:sz w:val="20"/>
                <w:szCs w:val="20"/>
              </w:rPr>
              <w:t>291 467 760</w:t>
            </w:r>
          </w:p>
        </w:tc>
      </w:tr>
      <w:tr w:rsidR="00017B79" w:rsidTr="002E2353">
        <w:trPr>
          <w:trHeight w:val="255"/>
          <w:jc w:val="center"/>
        </w:trPr>
        <w:tc>
          <w:tcPr>
            <w:tcW w:w="4913" w:type="dxa"/>
            <w:vMerge/>
            <w:vAlign w:val="center"/>
          </w:tcPr>
          <w:p w:rsidR="00017B79" w:rsidRPr="00304255" w:rsidRDefault="00017B79" w:rsidP="00017B79">
            <w:pPr>
              <w:ind w:left="0"/>
              <w:rPr>
                <w:sz w:val="20"/>
                <w:szCs w:val="20"/>
              </w:rPr>
            </w:pPr>
          </w:p>
        </w:tc>
        <w:tc>
          <w:tcPr>
            <w:tcW w:w="2120" w:type="dxa"/>
            <w:vAlign w:val="center"/>
          </w:tcPr>
          <w:p w:rsidR="00017B79" w:rsidRPr="00304255" w:rsidRDefault="00017B79" w:rsidP="00017B79">
            <w:pPr>
              <w:ind w:left="0"/>
              <w:jc w:val="center"/>
              <w:rPr>
                <w:sz w:val="20"/>
                <w:szCs w:val="20"/>
              </w:rPr>
            </w:pPr>
            <w:r w:rsidRPr="00304255">
              <w:rPr>
                <w:sz w:val="20"/>
                <w:szCs w:val="20"/>
              </w:rPr>
              <w:t>02</w:t>
            </w:r>
          </w:p>
        </w:tc>
        <w:tc>
          <w:tcPr>
            <w:tcW w:w="2039" w:type="dxa"/>
            <w:vAlign w:val="center"/>
          </w:tcPr>
          <w:p w:rsidR="00017B79" w:rsidRPr="00304255" w:rsidRDefault="00304255" w:rsidP="00017B79">
            <w:pPr>
              <w:ind w:left="0"/>
              <w:jc w:val="center"/>
              <w:rPr>
                <w:sz w:val="20"/>
                <w:szCs w:val="20"/>
              </w:rPr>
            </w:pPr>
            <w:r w:rsidRPr="00304255">
              <w:rPr>
                <w:sz w:val="20"/>
                <w:szCs w:val="20"/>
              </w:rPr>
              <w:t>9 014 467</w:t>
            </w:r>
          </w:p>
        </w:tc>
      </w:tr>
    </w:tbl>
    <w:p w:rsidR="00017B79" w:rsidRPr="006579CE" w:rsidRDefault="00017B79" w:rsidP="00017B79">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017B79" w:rsidTr="00304255">
        <w:trPr>
          <w:trHeight w:val="255"/>
          <w:jc w:val="center"/>
        </w:trPr>
        <w:tc>
          <w:tcPr>
            <w:tcW w:w="9072" w:type="dxa"/>
            <w:gridSpan w:val="3"/>
            <w:shd w:val="clear" w:color="auto" w:fill="DBE5F1" w:themeFill="accent1" w:themeFillTint="33"/>
            <w:vAlign w:val="center"/>
          </w:tcPr>
          <w:p w:rsidR="00017B79" w:rsidRPr="00304255" w:rsidRDefault="00017B79" w:rsidP="00017B79">
            <w:pPr>
              <w:pStyle w:val="Default"/>
              <w:autoSpaceDE/>
              <w:autoSpaceDN/>
              <w:adjustRightInd/>
              <w:ind w:left="0"/>
              <w:rPr>
                <w:sz w:val="20"/>
                <w:szCs w:val="20"/>
              </w:rPr>
            </w:pPr>
            <w:r w:rsidRPr="00304255">
              <w:rPr>
                <w:b/>
                <w:bCs/>
                <w:sz w:val="20"/>
                <w:szCs w:val="20"/>
              </w:rPr>
              <w:t xml:space="preserve">Rozmer 3 – Druh územia </w:t>
            </w:r>
          </w:p>
        </w:tc>
      </w:tr>
      <w:tr w:rsidR="002E2353" w:rsidTr="00304255">
        <w:trPr>
          <w:trHeight w:val="255"/>
          <w:jc w:val="center"/>
        </w:trPr>
        <w:tc>
          <w:tcPr>
            <w:tcW w:w="4913" w:type="dxa"/>
            <w:shd w:val="clear" w:color="auto" w:fill="DBE5F1" w:themeFill="accent1" w:themeFillTint="33"/>
            <w:vAlign w:val="center"/>
          </w:tcPr>
          <w:p w:rsidR="002E2353" w:rsidRPr="00304255" w:rsidRDefault="002E2353" w:rsidP="00017B79">
            <w:pPr>
              <w:pStyle w:val="Default"/>
              <w:autoSpaceDE/>
              <w:autoSpaceDN/>
              <w:adjustRightInd/>
              <w:ind w:left="0"/>
              <w:rPr>
                <w:b/>
                <w:bCs/>
                <w:sz w:val="20"/>
                <w:szCs w:val="20"/>
              </w:rPr>
            </w:pPr>
            <w:r w:rsidRPr="00304255">
              <w:rPr>
                <w:b/>
                <w:bCs/>
                <w:sz w:val="20"/>
                <w:szCs w:val="20"/>
              </w:rPr>
              <w:t>Fond</w:t>
            </w:r>
          </w:p>
        </w:tc>
        <w:tc>
          <w:tcPr>
            <w:tcW w:w="4159" w:type="dxa"/>
            <w:gridSpan w:val="2"/>
            <w:shd w:val="clear" w:color="auto" w:fill="DBE5F1" w:themeFill="accent1" w:themeFillTint="33"/>
            <w:vAlign w:val="center"/>
          </w:tcPr>
          <w:p w:rsidR="002E2353" w:rsidRPr="006579CE" w:rsidRDefault="002E2353" w:rsidP="00717C03">
            <w:pPr>
              <w:pStyle w:val="Default"/>
              <w:autoSpaceDE/>
              <w:autoSpaceDN/>
              <w:adjustRightInd/>
              <w:ind w:left="0"/>
              <w:rPr>
                <w:bCs/>
                <w:sz w:val="20"/>
                <w:szCs w:val="20"/>
              </w:rPr>
            </w:pPr>
            <w:r>
              <w:rPr>
                <w:bCs/>
                <w:sz w:val="20"/>
                <w:szCs w:val="20"/>
              </w:rPr>
              <w:t>EFRR</w:t>
            </w:r>
          </w:p>
        </w:tc>
      </w:tr>
      <w:tr w:rsidR="002E2353" w:rsidTr="00304255">
        <w:trPr>
          <w:trHeight w:val="255"/>
          <w:jc w:val="center"/>
        </w:trPr>
        <w:tc>
          <w:tcPr>
            <w:tcW w:w="4913" w:type="dxa"/>
            <w:shd w:val="clear" w:color="auto" w:fill="DBE5F1" w:themeFill="accent1" w:themeFillTint="33"/>
            <w:vAlign w:val="center"/>
          </w:tcPr>
          <w:p w:rsidR="002E2353" w:rsidRPr="00304255" w:rsidRDefault="002E2353" w:rsidP="00017B79">
            <w:pPr>
              <w:ind w:left="0"/>
              <w:rPr>
                <w:sz w:val="20"/>
                <w:szCs w:val="20"/>
              </w:rPr>
            </w:pPr>
            <w:r w:rsidRPr="00304255">
              <w:rPr>
                <w:b/>
                <w:bCs/>
                <w:color w:val="000000"/>
                <w:sz w:val="20"/>
                <w:szCs w:val="20"/>
              </w:rPr>
              <w:t>Kategória regiónu</w:t>
            </w:r>
          </w:p>
        </w:tc>
        <w:tc>
          <w:tcPr>
            <w:tcW w:w="4159" w:type="dxa"/>
            <w:gridSpan w:val="2"/>
            <w:shd w:val="clear" w:color="auto" w:fill="DBE5F1" w:themeFill="accent1" w:themeFillTint="33"/>
            <w:vAlign w:val="center"/>
          </w:tcPr>
          <w:p w:rsidR="002E2353" w:rsidRPr="006579CE" w:rsidRDefault="002E2353" w:rsidP="00717C03">
            <w:pPr>
              <w:ind w:left="0"/>
              <w:rPr>
                <w:sz w:val="20"/>
                <w:szCs w:val="20"/>
              </w:rPr>
            </w:pPr>
            <w:r>
              <w:rPr>
                <w:sz w:val="20"/>
                <w:szCs w:val="20"/>
              </w:rPr>
              <w:t>Menej rozvinuté regióny</w:t>
            </w:r>
          </w:p>
        </w:tc>
      </w:tr>
      <w:tr w:rsidR="00017B79" w:rsidTr="00304255">
        <w:trPr>
          <w:trHeight w:val="255"/>
          <w:jc w:val="center"/>
        </w:trPr>
        <w:tc>
          <w:tcPr>
            <w:tcW w:w="4913" w:type="dxa"/>
            <w:vAlign w:val="center"/>
          </w:tcPr>
          <w:p w:rsidR="00017B79" w:rsidRPr="00304255" w:rsidRDefault="00017B79" w:rsidP="00017B79">
            <w:pPr>
              <w:ind w:left="0"/>
              <w:jc w:val="center"/>
              <w:rPr>
                <w:b/>
                <w:sz w:val="20"/>
                <w:szCs w:val="20"/>
              </w:rPr>
            </w:pPr>
            <w:r w:rsidRPr="00304255">
              <w:rPr>
                <w:b/>
                <w:sz w:val="20"/>
                <w:szCs w:val="20"/>
              </w:rPr>
              <w:t>Prioritná os</w:t>
            </w:r>
          </w:p>
        </w:tc>
        <w:tc>
          <w:tcPr>
            <w:tcW w:w="2120" w:type="dxa"/>
            <w:vAlign w:val="center"/>
          </w:tcPr>
          <w:p w:rsidR="00017B79" w:rsidRPr="00304255" w:rsidRDefault="00017B79" w:rsidP="00017B79">
            <w:pPr>
              <w:ind w:left="0"/>
              <w:jc w:val="center"/>
              <w:rPr>
                <w:b/>
                <w:sz w:val="20"/>
                <w:szCs w:val="20"/>
              </w:rPr>
            </w:pPr>
            <w:r w:rsidRPr="00304255">
              <w:rPr>
                <w:b/>
                <w:sz w:val="20"/>
                <w:szCs w:val="20"/>
              </w:rPr>
              <w:t>Kód</w:t>
            </w:r>
          </w:p>
        </w:tc>
        <w:tc>
          <w:tcPr>
            <w:tcW w:w="2039" w:type="dxa"/>
            <w:vAlign w:val="center"/>
          </w:tcPr>
          <w:p w:rsidR="00017B79" w:rsidRPr="00304255" w:rsidRDefault="00017B79" w:rsidP="00017B79">
            <w:pPr>
              <w:ind w:left="0"/>
              <w:jc w:val="center"/>
              <w:rPr>
                <w:b/>
                <w:sz w:val="20"/>
                <w:szCs w:val="20"/>
              </w:rPr>
            </w:pPr>
            <w:r w:rsidRPr="00304255">
              <w:rPr>
                <w:b/>
                <w:sz w:val="20"/>
                <w:szCs w:val="20"/>
              </w:rPr>
              <w:t>Suma (v EUR)</w:t>
            </w:r>
          </w:p>
        </w:tc>
      </w:tr>
      <w:tr w:rsidR="00017B79" w:rsidTr="00304255">
        <w:trPr>
          <w:trHeight w:val="255"/>
          <w:jc w:val="center"/>
        </w:trPr>
        <w:tc>
          <w:tcPr>
            <w:tcW w:w="4913" w:type="dxa"/>
            <w:vAlign w:val="center"/>
          </w:tcPr>
          <w:p w:rsidR="00017B79" w:rsidRPr="00304255" w:rsidRDefault="00304255" w:rsidP="00304255">
            <w:pPr>
              <w:ind w:left="0"/>
              <w:rPr>
                <w:sz w:val="20"/>
                <w:szCs w:val="20"/>
              </w:rPr>
            </w:pPr>
            <w:r w:rsidRPr="00304255">
              <w:rPr>
                <w:sz w:val="20"/>
                <w:szCs w:val="20"/>
              </w:rPr>
              <w:t>Prioritná os 5 – Železničná infraštruktúra (mimo TEN-T CORE)</w:t>
            </w:r>
          </w:p>
        </w:tc>
        <w:tc>
          <w:tcPr>
            <w:tcW w:w="2120" w:type="dxa"/>
            <w:vAlign w:val="center"/>
          </w:tcPr>
          <w:p w:rsidR="00017B79" w:rsidRPr="00304255" w:rsidRDefault="00017B79" w:rsidP="00017B79">
            <w:pPr>
              <w:ind w:left="0"/>
              <w:jc w:val="center"/>
              <w:rPr>
                <w:sz w:val="20"/>
                <w:szCs w:val="20"/>
              </w:rPr>
            </w:pPr>
            <w:r w:rsidRPr="00304255">
              <w:rPr>
                <w:sz w:val="20"/>
                <w:szCs w:val="20"/>
              </w:rPr>
              <w:t>0</w:t>
            </w:r>
            <w:r w:rsidR="00304255">
              <w:rPr>
                <w:sz w:val="20"/>
                <w:szCs w:val="20"/>
              </w:rPr>
              <w:t>7</w:t>
            </w:r>
          </w:p>
        </w:tc>
        <w:tc>
          <w:tcPr>
            <w:tcW w:w="2039" w:type="dxa"/>
            <w:vAlign w:val="center"/>
          </w:tcPr>
          <w:p w:rsidR="00017B79" w:rsidRPr="00304255" w:rsidRDefault="00304255" w:rsidP="00017B79">
            <w:pPr>
              <w:ind w:left="0"/>
              <w:jc w:val="center"/>
              <w:rPr>
                <w:sz w:val="20"/>
                <w:szCs w:val="20"/>
                <w:lang w:val="en-US"/>
              </w:rPr>
            </w:pPr>
            <w:r w:rsidRPr="00304255">
              <w:rPr>
                <w:sz w:val="20"/>
                <w:szCs w:val="20"/>
              </w:rPr>
              <w:t>300 482 227</w:t>
            </w:r>
          </w:p>
        </w:tc>
      </w:tr>
    </w:tbl>
    <w:p w:rsidR="00017B79" w:rsidRPr="006579CE" w:rsidRDefault="00017B79" w:rsidP="00017B79">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017B79" w:rsidTr="002E2353">
        <w:trPr>
          <w:trHeight w:val="255"/>
          <w:jc w:val="center"/>
        </w:trPr>
        <w:tc>
          <w:tcPr>
            <w:tcW w:w="9072" w:type="dxa"/>
            <w:gridSpan w:val="3"/>
            <w:shd w:val="clear" w:color="auto" w:fill="DBE5F1" w:themeFill="accent1" w:themeFillTint="33"/>
            <w:vAlign w:val="center"/>
          </w:tcPr>
          <w:p w:rsidR="00017B79" w:rsidRPr="00304255" w:rsidRDefault="00017B79" w:rsidP="00017B79">
            <w:pPr>
              <w:pStyle w:val="Default"/>
              <w:autoSpaceDE/>
              <w:autoSpaceDN/>
              <w:adjustRightInd/>
              <w:ind w:left="0"/>
              <w:rPr>
                <w:b/>
                <w:bCs/>
                <w:sz w:val="20"/>
                <w:szCs w:val="20"/>
              </w:rPr>
            </w:pPr>
            <w:r w:rsidRPr="00304255">
              <w:rPr>
                <w:b/>
                <w:bCs/>
                <w:sz w:val="20"/>
                <w:szCs w:val="20"/>
              </w:rPr>
              <w:t>Rozmer 4 – Územné mechanizmy realizácie</w:t>
            </w:r>
          </w:p>
        </w:tc>
      </w:tr>
      <w:tr w:rsidR="002E2353" w:rsidTr="002E2353">
        <w:trPr>
          <w:trHeight w:val="255"/>
          <w:jc w:val="center"/>
        </w:trPr>
        <w:tc>
          <w:tcPr>
            <w:tcW w:w="4913" w:type="dxa"/>
            <w:shd w:val="clear" w:color="auto" w:fill="DBE5F1" w:themeFill="accent1" w:themeFillTint="33"/>
            <w:vAlign w:val="center"/>
          </w:tcPr>
          <w:p w:rsidR="002E2353" w:rsidRPr="00304255" w:rsidRDefault="002E2353" w:rsidP="00017B79">
            <w:pPr>
              <w:pStyle w:val="Default"/>
              <w:autoSpaceDE/>
              <w:autoSpaceDN/>
              <w:adjustRightInd/>
              <w:ind w:left="0"/>
              <w:rPr>
                <w:b/>
                <w:bCs/>
                <w:sz w:val="20"/>
                <w:szCs w:val="20"/>
              </w:rPr>
            </w:pPr>
            <w:r w:rsidRPr="00304255">
              <w:rPr>
                <w:b/>
                <w:bCs/>
                <w:sz w:val="20"/>
                <w:szCs w:val="20"/>
              </w:rPr>
              <w:t>Fond</w:t>
            </w:r>
          </w:p>
        </w:tc>
        <w:tc>
          <w:tcPr>
            <w:tcW w:w="4159" w:type="dxa"/>
            <w:gridSpan w:val="2"/>
            <w:shd w:val="clear" w:color="auto" w:fill="DBE5F1" w:themeFill="accent1" w:themeFillTint="33"/>
            <w:vAlign w:val="center"/>
          </w:tcPr>
          <w:p w:rsidR="002E2353" w:rsidRPr="006579CE" w:rsidRDefault="002E2353" w:rsidP="00717C03">
            <w:pPr>
              <w:pStyle w:val="Default"/>
              <w:autoSpaceDE/>
              <w:autoSpaceDN/>
              <w:adjustRightInd/>
              <w:ind w:left="0"/>
              <w:rPr>
                <w:bCs/>
                <w:sz w:val="20"/>
                <w:szCs w:val="20"/>
              </w:rPr>
            </w:pPr>
            <w:r>
              <w:rPr>
                <w:bCs/>
                <w:sz w:val="20"/>
                <w:szCs w:val="20"/>
              </w:rPr>
              <w:t>EFRR</w:t>
            </w:r>
          </w:p>
        </w:tc>
      </w:tr>
      <w:tr w:rsidR="002E2353" w:rsidTr="002E2353">
        <w:trPr>
          <w:trHeight w:val="255"/>
          <w:jc w:val="center"/>
        </w:trPr>
        <w:tc>
          <w:tcPr>
            <w:tcW w:w="4913" w:type="dxa"/>
            <w:shd w:val="clear" w:color="auto" w:fill="DBE5F1" w:themeFill="accent1" w:themeFillTint="33"/>
            <w:vAlign w:val="center"/>
          </w:tcPr>
          <w:p w:rsidR="002E2353" w:rsidRPr="00304255" w:rsidRDefault="002E2353" w:rsidP="00017B79">
            <w:pPr>
              <w:ind w:left="0"/>
              <w:rPr>
                <w:sz w:val="20"/>
                <w:szCs w:val="20"/>
              </w:rPr>
            </w:pPr>
            <w:r w:rsidRPr="00304255">
              <w:rPr>
                <w:b/>
                <w:bCs/>
                <w:color w:val="000000"/>
                <w:sz w:val="20"/>
                <w:szCs w:val="20"/>
              </w:rPr>
              <w:t>Kategória regiónu</w:t>
            </w:r>
          </w:p>
        </w:tc>
        <w:tc>
          <w:tcPr>
            <w:tcW w:w="4159" w:type="dxa"/>
            <w:gridSpan w:val="2"/>
            <w:shd w:val="clear" w:color="auto" w:fill="DBE5F1" w:themeFill="accent1" w:themeFillTint="33"/>
            <w:vAlign w:val="center"/>
          </w:tcPr>
          <w:p w:rsidR="002E2353" w:rsidRPr="006579CE" w:rsidRDefault="002E2353" w:rsidP="00717C03">
            <w:pPr>
              <w:ind w:left="0"/>
              <w:rPr>
                <w:sz w:val="20"/>
                <w:szCs w:val="20"/>
              </w:rPr>
            </w:pPr>
            <w:r>
              <w:rPr>
                <w:sz w:val="20"/>
                <w:szCs w:val="20"/>
              </w:rPr>
              <w:t>Menej rozvinuté regióny</w:t>
            </w:r>
          </w:p>
        </w:tc>
      </w:tr>
      <w:tr w:rsidR="00017B79" w:rsidTr="002E2353">
        <w:trPr>
          <w:trHeight w:val="255"/>
          <w:jc w:val="center"/>
        </w:trPr>
        <w:tc>
          <w:tcPr>
            <w:tcW w:w="4913" w:type="dxa"/>
            <w:vAlign w:val="center"/>
          </w:tcPr>
          <w:p w:rsidR="00017B79" w:rsidRPr="00304255" w:rsidRDefault="00017B79" w:rsidP="00017B79">
            <w:pPr>
              <w:ind w:left="0"/>
              <w:jc w:val="center"/>
              <w:rPr>
                <w:b/>
                <w:sz w:val="20"/>
                <w:szCs w:val="20"/>
              </w:rPr>
            </w:pPr>
            <w:r w:rsidRPr="00304255">
              <w:rPr>
                <w:b/>
                <w:sz w:val="20"/>
                <w:szCs w:val="20"/>
              </w:rPr>
              <w:t>Prioritná os</w:t>
            </w:r>
          </w:p>
        </w:tc>
        <w:tc>
          <w:tcPr>
            <w:tcW w:w="2120" w:type="dxa"/>
            <w:vAlign w:val="center"/>
          </w:tcPr>
          <w:p w:rsidR="00017B79" w:rsidRPr="00304255" w:rsidRDefault="00017B79" w:rsidP="00017B79">
            <w:pPr>
              <w:ind w:left="0"/>
              <w:jc w:val="center"/>
              <w:rPr>
                <w:b/>
                <w:sz w:val="20"/>
                <w:szCs w:val="20"/>
              </w:rPr>
            </w:pPr>
            <w:r w:rsidRPr="00304255">
              <w:rPr>
                <w:b/>
                <w:sz w:val="20"/>
                <w:szCs w:val="20"/>
              </w:rPr>
              <w:t>Kód</w:t>
            </w:r>
          </w:p>
        </w:tc>
        <w:tc>
          <w:tcPr>
            <w:tcW w:w="2039" w:type="dxa"/>
            <w:vAlign w:val="center"/>
          </w:tcPr>
          <w:p w:rsidR="00017B79" w:rsidRPr="00304255" w:rsidRDefault="00017B79" w:rsidP="00017B79">
            <w:pPr>
              <w:ind w:left="0"/>
              <w:jc w:val="center"/>
              <w:rPr>
                <w:b/>
                <w:sz w:val="20"/>
                <w:szCs w:val="20"/>
              </w:rPr>
            </w:pPr>
            <w:r w:rsidRPr="00304255">
              <w:rPr>
                <w:b/>
                <w:sz w:val="20"/>
                <w:szCs w:val="20"/>
              </w:rPr>
              <w:t>Suma (v EUR)</w:t>
            </w:r>
          </w:p>
        </w:tc>
      </w:tr>
      <w:tr w:rsidR="00017B79" w:rsidTr="002E2353">
        <w:trPr>
          <w:trHeight w:val="255"/>
          <w:jc w:val="center"/>
        </w:trPr>
        <w:tc>
          <w:tcPr>
            <w:tcW w:w="4913" w:type="dxa"/>
            <w:vAlign w:val="center"/>
          </w:tcPr>
          <w:p w:rsidR="00017B79" w:rsidRPr="00304255" w:rsidRDefault="00304255" w:rsidP="00304255">
            <w:pPr>
              <w:ind w:left="0"/>
              <w:rPr>
                <w:sz w:val="20"/>
                <w:szCs w:val="20"/>
              </w:rPr>
            </w:pPr>
            <w:r w:rsidRPr="00304255">
              <w:rPr>
                <w:sz w:val="20"/>
                <w:szCs w:val="20"/>
              </w:rPr>
              <w:t>Prioritná os 5 – Železničná infraštruktúra (mimo TEN-T CORE)</w:t>
            </w:r>
          </w:p>
        </w:tc>
        <w:tc>
          <w:tcPr>
            <w:tcW w:w="2120" w:type="dxa"/>
            <w:vAlign w:val="center"/>
          </w:tcPr>
          <w:p w:rsidR="00017B79" w:rsidRPr="00304255" w:rsidRDefault="00017B79" w:rsidP="00017B79">
            <w:pPr>
              <w:ind w:left="0"/>
              <w:jc w:val="center"/>
              <w:rPr>
                <w:sz w:val="20"/>
                <w:szCs w:val="20"/>
              </w:rPr>
            </w:pPr>
            <w:r w:rsidRPr="00304255">
              <w:rPr>
                <w:sz w:val="20"/>
                <w:szCs w:val="20"/>
              </w:rPr>
              <w:t>0</w:t>
            </w:r>
            <w:r w:rsidR="00304255">
              <w:rPr>
                <w:sz w:val="20"/>
                <w:szCs w:val="20"/>
              </w:rPr>
              <w:t>7</w:t>
            </w:r>
          </w:p>
        </w:tc>
        <w:tc>
          <w:tcPr>
            <w:tcW w:w="2039" w:type="dxa"/>
            <w:vAlign w:val="center"/>
          </w:tcPr>
          <w:p w:rsidR="00017B79" w:rsidRPr="00304255" w:rsidRDefault="00966930" w:rsidP="00017B79">
            <w:pPr>
              <w:ind w:left="0"/>
              <w:jc w:val="center"/>
              <w:rPr>
                <w:sz w:val="20"/>
                <w:szCs w:val="20"/>
                <w:lang w:val="en-US"/>
              </w:rPr>
            </w:pPr>
            <w:r w:rsidRPr="00304255">
              <w:rPr>
                <w:sz w:val="20"/>
                <w:szCs w:val="20"/>
              </w:rPr>
              <w:t>300 482 227</w:t>
            </w:r>
          </w:p>
        </w:tc>
      </w:tr>
    </w:tbl>
    <w:p w:rsidR="00017B79" w:rsidRDefault="00017B79" w:rsidP="00017B79">
      <w:pPr>
        <w:pStyle w:val="Nadpis3"/>
        <w:jc w:val="both"/>
      </w:pPr>
      <w:bookmarkStart w:id="59" w:name="_Toc385310713"/>
      <w:r>
        <w:t>Súhrn plánovaného využitia technickej pomoci vrátane, ak je to vhodné, akcií na posilnenie administratívnej kapacity orgánov zapojených do riadenia a kontroly programu a prijímateľov (ak je to vhodné)</w:t>
      </w:r>
      <w:bookmarkEnd w:id="59"/>
    </w:p>
    <w:p w:rsidR="00017B79" w:rsidRDefault="00017B79" w:rsidP="00017B79">
      <w:pPr>
        <w:rPr>
          <w:sz w:val="22"/>
          <w:szCs w:val="22"/>
        </w:rPr>
      </w:pPr>
      <w:r w:rsidRPr="008C1732">
        <w:rPr>
          <w:sz w:val="22"/>
          <w:szCs w:val="22"/>
        </w:rPr>
        <w:t>N/A</w:t>
      </w:r>
    </w:p>
    <w:p w:rsidR="00E42497" w:rsidRDefault="00E42497" w:rsidP="00E42497">
      <w:pPr>
        <w:pStyle w:val="Nadpis2"/>
        <w:sectPr w:rsidR="00E42497" w:rsidSect="00D1658B">
          <w:headerReference w:type="default" r:id="rId25"/>
          <w:pgSz w:w="11906" w:h="16838"/>
          <w:pgMar w:top="1418" w:right="1361" w:bottom="1304" w:left="1474" w:header="709" w:footer="709" w:gutter="0"/>
          <w:cols w:space="708"/>
          <w:docGrid w:linePitch="360"/>
        </w:sectPr>
      </w:pPr>
    </w:p>
    <w:p w:rsidR="00E42497" w:rsidRDefault="00E42497" w:rsidP="00E41E26">
      <w:pPr>
        <w:pStyle w:val="Nadpis2"/>
      </w:pPr>
      <w:bookmarkStart w:id="60" w:name="_Toc385310714"/>
      <w:r>
        <w:lastRenderedPageBreak/>
        <w:t>PRIORITNÁ OS 6: CESTNÁ INFRAŠTRUKTÚTA</w:t>
      </w:r>
      <w:r w:rsidR="00ED4FB3">
        <w:t xml:space="preserve"> (mimo TEN-T CORE)</w:t>
      </w:r>
      <w:bookmarkEnd w:id="60"/>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033"/>
        <w:gridCol w:w="4039"/>
      </w:tblGrid>
      <w:tr w:rsidR="00E41E26" w:rsidTr="002E1021">
        <w:trPr>
          <w:trHeight w:val="284"/>
          <w:jc w:val="center"/>
        </w:trPr>
        <w:tc>
          <w:tcPr>
            <w:tcW w:w="4404" w:type="dxa"/>
            <w:shd w:val="clear" w:color="auto" w:fill="DBE5F1" w:themeFill="accent1" w:themeFillTint="33"/>
            <w:vAlign w:val="center"/>
          </w:tcPr>
          <w:p w:rsidR="00E41E26" w:rsidRDefault="00E41E26" w:rsidP="005139F6">
            <w:pPr>
              <w:ind w:left="0"/>
            </w:pPr>
            <w:r w:rsidRPr="00863337">
              <w:rPr>
                <w:b/>
                <w:i/>
                <w:sz w:val="20"/>
                <w:szCs w:val="20"/>
              </w:rPr>
              <w:t>ID prioritnej osi</w:t>
            </w:r>
          </w:p>
        </w:tc>
        <w:tc>
          <w:tcPr>
            <w:tcW w:w="3534" w:type="dxa"/>
            <w:vAlign w:val="center"/>
          </w:tcPr>
          <w:p w:rsidR="00E41E26" w:rsidRDefault="00E41E26" w:rsidP="00514805">
            <w:pPr>
              <w:pStyle w:val="PRIORITNA"/>
              <w:numPr>
                <w:ilvl w:val="0"/>
                <w:numId w:val="0"/>
              </w:numPr>
              <w:spacing w:after="0"/>
              <w:jc w:val="left"/>
            </w:pPr>
          </w:p>
        </w:tc>
      </w:tr>
      <w:tr w:rsidR="00E41E26" w:rsidTr="002E1021">
        <w:trPr>
          <w:trHeight w:val="284"/>
          <w:jc w:val="center"/>
        </w:trPr>
        <w:tc>
          <w:tcPr>
            <w:tcW w:w="4404" w:type="dxa"/>
            <w:shd w:val="clear" w:color="auto" w:fill="DBE5F1" w:themeFill="accent1" w:themeFillTint="33"/>
            <w:vAlign w:val="center"/>
          </w:tcPr>
          <w:p w:rsidR="00E41E26" w:rsidRPr="003D6170" w:rsidRDefault="00E41E26" w:rsidP="003D6170">
            <w:pPr>
              <w:ind w:left="0"/>
            </w:pPr>
            <w:r w:rsidRPr="003D6170">
              <w:rPr>
                <w:b/>
                <w:i/>
                <w:sz w:val="20"/>
                <w:szCs w:val="20"/>
              </w:rPr>
              <w:t>Názov prioritnej osi</w:t>
            </w:r>
          </w:p>
        </w:tc>
        <w:tc>
          <w:tcPr>
            <w:tcW w:w="3534" w:type="dxa"/>
            <w:vAlign w:val="center"/>
          </w:tcPr>
          <w:p w:rsidR="00E41E26" w:rsidRPr="00750A42" w:rsidRDefault="00E41E26" w:rsidP="00514805">
            <w:pPr>
              <w:ind w:left="0"/>
              <w:rPr>
                <w:sz w:val="20"/>
                <w:szCs w:val="20"/>
              </w:rPr>
            </w:pPr>
            <w:r>
              <w:rPr>
                <w:sz w:val="20"/>
                <w:szCs w:val="20"/>
              </w:rPr>
              <w:t>Cestná infraštruktúra</w:t>
            </w:r>
            <w:r w:rsidR="00ED4FB3">
              <w:rPr>
                <w:sz w:val="20"/>
                <w:szCs w:val="20"/>
              </w:rPr>
              <w:t xml:space="preserve"> (mimo TEN-T CORE)</w:t>
            </w:r>
          </w:p>
        </w:tc>
      </w:tr>
    </w:tbl>
    <w:p w:rsidR="00E41E26" w:rsidRDefault="00E41E26" w:rsidP="00E41E26">
      <w:pPr>
        <w:pStyle w:val="PRIORITNA"/>
        <w:numPr>
          <w:ilvl w:val="0"/>
          <w:numId w:val="0"/>
        </w:numPr>
        <w:spacing w:after="0"/>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024"/>
        <w:gridCol w:w="4048"/>
      </w:tblGrid>
      <w:tr w:rsidR="00E41E26" w:rsidRPr="00765DFA" w:rsidTr="002E1021">
        <w:trPr>
          <w:trHeight w:val="255"/>
          <w:jc w:val="center"/>
        </w:trPr>
        <w:tc>
          <w:tcPr>
            <w:tcW w:w="4396" w:type="dxa"/>
            <w:shd w:val="clear" w:color="auto" w:fill="DBE5F1" w:themeFill="accent1" w:themeFillTint="33"/>
            <w:vAlign w:val="center"/>
          </w:tcPr>
          <w:p w:rsidR="00E41E26" w:rsidRPr="00765DFA" w:rsidRDefault="00E41E26" w:rsidP="005139F6">
            <w:pPr>
              <w:ind w:left="0"/>
              <w:rPr>
                <w:b/>
                <w:i/>
                <w:sz w:val="20"/>
                <w:szCs w:val="20"/>
              </w:rPr>
            </w:pPr>
            <w:r>
              <w:rPr>
                <w:b/>
                <w:i/>
                <w:sz w:val="20"/>
                <w:szCs w:val="20"/>
              </w:rPr>
              <w:t xml:space="preserve">Celá prioritná os bude realizovaná výhradne prostredníctvom finančných nástrojov </w:t>
            </w:r>
          </w:p>
        </w:tc>
        <w:tc>
          <w:tcPr>
            <w:tcW w:w="3542" w:type="dxa"/>
            <w:vAlign w:val="center"/>
          </w:tcPr>
          <w:p w:rsidR="00E41E26" w:rsidRPr="00765DFA" w:rsidRDefault="00E41E26" w:rsidP="005139F6">
            <w:pPr>
              <w:ind w:left="0"/>
              <w:rPr>
                <w:sz w:val="20"/>
                <w:szCs w:val="20"/>
              </w:rPr>
            </w:pPr>
            <w:r>
              <w:rPr>
                <w:sz w:val="20"/>
                <w:szCs w:val="20"/>
              </w:rPr>
              <w:t>Nie</w:t>
            </w:r>
          </w:p>
        </w:tc>
      </w:tr>
      <w:tr w:rsidR="00E41E26" w:rsidRPr="00765DFA" w:rsidTr="002E1021">
        <w:trPr>
          <w:trHeight w:val="255"/>
          <w:jc w:val="center"/>
        </w:trPr>
        <w:tc>
          <w:tcPr>
            <w:tcW w:w="4396" w:type="dxa"/>
            <w:shd w:val="clear" w:color="auto" w:fill="DBE5F1" w:themeFill="accent1" w:themeFillTint="33"/>
            <w:vAlign w:val="center"/>
          </w:tcPr>
          <w:p w:rsidR="00E41E26" w:rsidRPr="00765DFA" w:rsidRDefault="00E41E26" w:rsidP="005139F6">
            <w:pPr>
              <w:ind w:left="0"/>
              <w:rPr>
                <w:b/>
                <w:i/>
                <w:sz w:val="20"/>
                <w:szCs w:val="20"/>
              </w:rPr>
            </w:pPr>
            <w:r>
              <w:rPr>
                <w:b/>
                <w:i/>
                <w:sz w:val="20"/>
                <w:szCs w:val="20"/>
              </w:rPr>
              <w:t>Celá prioritná os bude realizovaná výhradne prostredníctvom finančných nástrojov vytvorených na úrovni Únie</w:t>
            </w:r>
          </w:p>
        </w:tc>
        <w:tc>
          <w:tcPr>
            <w:tcW w:w="3542" w:type="dxa"/>
            <w:vAlign w:val="center"/>
          </w:tcPr>
          <w:p w:rsidR="00E41E26" w:rsidRPr="00765DFA" w:rsidRDefault="00E41E26" w:rsidP="005139F6">
            <w:pPr>
              <w:ind w:left="0"/>
              <w:rPr>
                <w:sz w:val="20"/>
                <w:szCs w:val="20"/>
              </w:rPr>
            </w:pPr>
            <w:r>
              <w:rPr>
                <w:sz w:val="20"/>
                <w:szCs w:val="20"/>
              </w:rPr>
              <w:t>Nie</w:t>
            </w:r>
          </w:p>
        </w:tc>
      </w:tr>
      <w:tr w:rsidR="00E41E26" w:rsidRPr="00750A42" w:rsidTr="002E1021">
        <w:trPr>
          <w:trHeight w:val="70"/>
          <w:jc w:val="center"/>
        </w:trPr>
        <w:tc>
          <w:tcPr>
            <w:tcW w:w="4396" w:type="dxa"/>
            <w:shd w:val="clear" w:color="auto" w:fill="DBE5F1" w:themeFill="accent1" w:themeFillTint="33"/>
            <w:vAlign w:val="center"/>
          </w:tcPr>
          <w:p w:rsidR="00E41E26" w:rsidRPr="00765DFA" w:rsidRDefault="00E41E26" w:rsidP="005139F6">
            <w:pPr>
              <w:ind w:left="0"/>
              <w:rPr>
                <w:b/>
                <w:i/>
                <w:sz w:val="20"/>
                <w:szCs w:val="20"/>
              </w:rPr>
            </w:pPr>
            <w:r>
              <w:rPr>
                <w:b/>
                <w:i/>
                <w:sz w:val="20"/>
                <w:szCs w:val="20"/>
              </w:rPr>
              <w:t>Celá prioritná os bude realizovaná prostredníctvom komunitne vedeného miestneho rozvoja</w:t>
            </w:r>
          </w:p>
        </w:tc>
        <w:tc>
          <w:tcPr>
            <w:tcW w:w="3542" w:type="dxa"/>
            <w:vAlign w:val="center"/>
          </w:tcPr>
          <w:p w:rsidR="00E41E26" w:rsidRPr="00750A42" w:rsidRDefault="00E41E26" w:rsidP="005139F6">
            <w:pPr>
              <w:ind w:left="0"/>
              <w:rPr>
                <w:sz w:val="20"/>
                <w:szCs w:val="20"/>
              </w:rPr>
            </w:pPr>
            <w:r>
              <w:rPr>
                <w:sz w:val="20"/>
                <w:szCs w:val="20"/>
              </w:rPr>
              <w:t>Nie</w:t>
            </w:r>
          </w:p>
        </w:tc>
      </w:tr>
      <w:tr w:rsidR="00E41E26" w:rsidRPr="00765DFA" w:rsidTr="002E1021">
        <w:trPr>
          <w:jc w:val="center"/>
        </w:trPr>
        <w:tc>
          <w:tcPr>
            <w:tcW w:w="4396" w:type="dxa"/>
            <w:shd w:val="clear" w:color="auto" w:fill="DBE5F1" w:themeFill="accent1" w:themeFillTint="33"/>
          </w:tcPr>
          <w:p w:rsidR="00E41E26" w:rsidRPr="00765DFA" w:rsidRDefault="00E41E26" w:rsidP="005139F6">
            <w:pPr>
              <w:ind w:left="0"/>
              <w:rPr>
                <w:b/>
                <w:i/>
                <w:sz w:val="20"/>
                <w:szCs w:val="20"/>
              </w:rPr>
            </w:pPr>
            <w:r>
              <w:rPr>
                <w:b/>
                <w:i/>
                <w:sz w:val="20"/>
                <w:szCs w:val="20"/>
              </w:rPr>
              <w:t>Pre ESF: Celá prioritná os je zameraná na sociálnu inováciu alebo nadnárodnú spoluprácu, alebo oboje</w:t>
            </w:r>
          </w:p>
        </w:tc>
        <w:tc>
          <w:tcPr>
            <w:tcW w:w="3542" w:type="dxa"/>
            <w:vAlign w:val="center"/>
          </w:tcPr>
          <w:p w:rsidR="00E41E26" w:rsidRPr="00765DFA" w:rsidRDefault="00E41E26" w:rsidP="005139F6">
            <w:pPr>
              <w:ind w:left="0"/>
              <w:rPr>
                <w:sz w:val="20"/>
                <w:szCs w:val="20"/>
              </w:rPr>
            </w:pPr>
            <w:r>
              <w:rPr>
                <w:sz w:val="20"/>
                <w:szCs w:val="20"/>
              </w:rPr>
              <w:t>N/A</w:t>
            </w:r>
          </w:p>
        </w:tc>
      </w:tr>
    </w:tbl>
    <w:p w:rsidR="00E42497" w:rsidRDefault="00E42497" w:rsidP="00E42497">
      <w:pPr>
        <w:pStyle w:val="Nadpis3"/>
      </w:pPr>
      <w:bookmarkStart w:id="61" w:name="_Toc385310715"/>
      <w:r>
        <w:t>Fond, kategória regiónu a základ pre výpočet podpory Únie</w:t>
      </w:r>
      <w:bookmarkEnd w:id="61"/>
    </w:p>
    <w:tbl>
      <w:tblPr>
        <w:tblStyle w:val="Mriekatabuky"/>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042"/>
        <w:gridCol w:w="3361"/>
      </w:tblGrid>
      <w:tr w:rsidR="00E42497" w:rsidTr="00D75844">
        <w:trPr>
          <w:trHeight w:val="255"/>
          <w:jc w:val="center"/>
        </w:trPr>
        <w:tc>
          <w:tcPr>
            <w:tcW w:w="4042" w:type="dxa"/>
            <w:shd w:val="clear" w:color="auto" w:fill="DBE5F1" w:themeFill="accent1" w:themeFillTint="33"/>
            <w:vAlign w:val="center"/>
          </w:tcPr>
          <w:p w:rsidR="00E42497" w:rsidRPr="00D75844" w:rsidRDefault="00E42497" w:rsidP="00D75844">
            <w:pPr>
              <w:ind w:left="0"/>
              <w:rPr>
                <w:b/>
                <w:i/>
                <w:sz w:val="20"/>
                <w:szCs w:val="20"/>
              </w:rPr>
            </w:pPr>
            <w:r w:rsidRPr="00D75844">
              <w:rPr>
                <w:b/>
                <w:i/>
                <w:sz w:val="20"/>
                <w:szCs w:val="20"/>
              </w:rPr>
              <w:t>Fond</w:t>
            </w:r>
          </w:p>
        </w:tc>
        <w:tc>
          <w:tcPr>
            <w:tcW w:w="3361" w:type="dxa"/>
            <w:vAlign w:val="center"/>
          </w:tcPr>
          <w:p w:rsidR="00E42497" w:rsidRPr="00D75844" w:rsidRDefault="007F7347" w:rsidP="00D75844">
            <w:pPr>
              <w:ind w:left="0"/>
              <w:rPr>
                <w:sz w:val="20"/>
                <w:szCs w:val="20"/>
              </w:rPr>
            </w:pPr>
            <w:r w:rsidRPr="00D75844">
              <w:rPr>
                <w:sz w:val="20"/>
                <w:szCs w:val="20"/>
              </w:rPr>
              <w:t>EFRR</w:t>
            </w:r>
          </w:p>
        </w:tc>
      </w:tr>
      <w:tr w:rsidR="00E42497" w:rsidTr="00D75844">
        <w:trPr>
          <w:trHeight w:val="255"/>
          <w:jc w:val="center"/>
        </w:trPr>
        <w:tc>
          <w:tcPr>
            <w:tcW w:w="4042" w:type="dxa"/>
            <w:shd w:val="clear" w:color="auto" w:fill="DBE5F1" w:themeFill="accent1" w:themeFillTint="33"/>
            <w:vAlign w:val="center"/>
          </w:tcPr>
          <w:p w:rsidR="00E42497" w:rsidRPr="00D75844" w:rsidRDefault="00E42497" w:rsidP="00D75844">
            <w:pPr>
              <w:ind w:left="0"/>
              <w:rPr>
                <w:b/>
                <w:i/>
                <w:sz w:val="20"/>
                <w:szCs w:val="20"/>
              </w:rPr>
            </w:pPr>
            <w:r w:rsidRPr="00D75844">
              <w:rPr>
                <w:b/>
                <w:i/>
                <w:sz w:val="20"/>
                <w:szCs w:val="20"/>
              </w:rPr>
              <w:t>Kategória regiónu</w:t>
            </w:r>
          </w:p>
        </w:tc>
        <w:tc>
          <w:tcPr>
            <w:tcW w:w="3361" w:type="dxa"/>
            <w:vAlign w:val="center"/>
          </w:tcPr>
          <w:p w:rsidR="00E42497" w:rsidRPr="00D75844" w:rsidRDefault="009011DB" w:rsidP="00D75844">
            <w:pPr>
              <w:ind w:left="0"/>
              <w:rPr>
                <w:sz w:val="20"/>
                <w:szCs w:val="20"/>
              </w:rPr>
            </w:pPr>
            <w:r>
              <w:rPr>
                <w:sz w:val="20"/>
                <w:szCs w:val="20"/>
              </w:rPr>
              <w:t>Menej rozvinutý</w:t>
            </w:r>
          </w:p>
        </w:tc>
      </w:tr>
      <w:tr w:rsidR="00E42497" w:rsidTr="00D75844">
        <w:trPr>
          <w:trHeight w:val="255"/>
          <w:jc w:val="center"/>
        </w:trPr>
        <w:tc>
          <w:tcPr>
            <w:tcW w:w="4042" w:type="dxa"/>
            <w:shd w:val="clear" w:color="auto" w:fill="DBE5F1" w:themeFill="accent1" w:themeFillTint="33"/>
            <w:vAlign w:val="center"/>
          </w:tcPr>
          <w:p w:rsidR="00E42497" w:rsidRPr="00D75844" w:rsidRDefault="00E42497" w:rsidP="00D75844">
            <w:pPr>
              <w:ind w:left="0"/>
              <w:rPr>
                <w:b/>
                <w:i/>
                <w:sz w:val="20"/>
                <w:szCs w:val="20"/>
              </w:rPr>
            </w:pPr>
            <w:r w:rsidRPr="00D75844">
              <w:rPr>
                <w:b/>
                <w:i/>
                <w:sz w:val="20"/>
                <w:szCs w:val="20"/>
              </w:rPr>
              <w:t>Základ pre výpočet (celkový príspevok)</w:t>
            </w:r>
          </w:p>
        </w:tc>
        <w:tc>
          <w:tcPr>
            <w:tcW w:w="3361" w:type="dxa"/>
            <w:vAlign w:val="center"/>
          </w:tcPr>
          <w:p w:rsidR="00E42497" w:rsidRPr="00D75844" w:rsidRDefault="00E42497" w:rsidP="00D75844">
            <w:pPr>
              <w:ind w:left="0"/>
              <w:rPr>
                <w:sz w:val="20"/>
                <w:szCs w:val="20"/>
                <w:lang w:val="en-US"/>
              </w:rPr>
            </w:pPr>
            <w:r w:rsidRPr="00D75844">
              <w:rPr>
                <w:sz w:val="20"/>
                <w:szCs w:val="20"/>
                <w:lang w:val="en-US"/>
              </w:rPr>
              <w:t>591 773</w:t>
            </w:r>
            <w:r w:rsidR="00662EB4">
              <w:rPr>
                <w:sz w:val="20"/>
                <w:szCs w:val="20"/>
                <w:lang w:val="en-US"/>
              </w:rPr>
              <w:t> </w:t>
            </w:r>
            <w:r w:rsidRPr="00D75844">
              <w:rPr>
                <w:sz w:val="20"/>
                <w:szCs w:val="20"/>
                <w:lang w:val="en-US"/>
              </w:rPr>
              <w:t>210</w:t>
            </w:r>
            <w:r w:rsidR="00662EB4">
              <w:rPr>
                <w:sz w:val="20"/>
                <w:szCs w:val="20"/>
                <w:lang w:val="en-US"/>
              </w:rPr>
              <w:t xml:space="preserve"> EUR</w:t>
            </w:r>
          </w:p>
        </w:tc>
      </w:tr>
      <w:tr w:rsidR="00E42497" w:rsidTr="00D75844">
        <w:trPr>
          <w:trHeight w:val="255"/>
          <w:jc w:val="center"/>
        </w:trPr>
        <w:tc>
          <w:tcPr>
            <w:tcW w:w="4042" w:type="dxa"/>
            <w:shd w:val="clear" w:color="auto" w:fill="DBE5F1" w:themeFill="accent1" w:themeFillTint="33"/>
          </w:tcPr>
          <w:p w:rsidR="00E42497" w:rsidRPr="00D75844" w:rsidRDefault="00E42497" w:rsidP="007C1063">
            <w:pPr>
              <w:ind w:left="0"/>
              <w:rPr>
                <w:b/>
                <w:i/>
                <w:sz w:val="20"/>
                <w:szCs w:val="20"/>
              </w:rPr>
            </w:pPr>
            <w:r w:rsidRPr="00D75844">
              <w:rPr>
                <w:b/>
                <w:i/>
                <w:sz w:val="20"/>
                <w:szCs w:val="20"/>
              </w:rPr>
              <w:t>Kategória regiónu pre najvzdialenejšie a severné riedko osídlené regióny (ak je to vhodné)</w:t>
            </w:r>
          </w:p>
        </w:tc>
        <w:tc>
          <w:tcPr>
            <w:tcW w:w="3361" w:type="dxa"/>
          </w:tcPr>
          <w:p w:rsidR="00E42497" w:rsidRPr="00D75844" w:rsidRDefault="00E42497" w:rsidP="007C1063">
            <w:pPr>
              <w:ind w:left="0"/>
              <w:rPr>
                <w:sz w:val="20"/>
                <w:szCs w:val="20"/>
              </w:rPr>
            </w:pPr>
            <w:r w:rsidRPr="00D75844">
              <w:rPr>
                <w:sz w:val="20"/>
                <w:szCs w:val="20"/>
              </w:rPr>
              <w:t>N/A</w:t>
            </w:r>
          </w:p>
        </w:tc>
      </w:tr>
    </w:tbl>
    <w:p w:rsidR="00E42497" w:rsidRDefault="00E42497" w:rsidP="00E42497">
      <w:pPr>
        <w:pStyle w:val="Nadpis3"/>
        <w:jc w:val="both"/>
      </w:pPr>
      <w:bookmarkStart w:id="62" w:name="_Toc385310716"/>
      <w:r>
        <w:t xml:space="preserve">INVESTIČNÁ PRIORITA </w:t>
      </w:r>
      <w:r w:rsidR="00E41E26">
        <w:t>7a)</w:t>
      </w:r>
      <w:r>
        <w:t xml:space="preserve">: </w:t>
      </w:r>
      <w:r w:rsidR="00A837FB">
        <w:t>Podpora multimodálneho jednotného európskeho dopravného priestoru pomocou investícií do TEN-T</w:t>
      </w:r>
      <w:bookmarkEnd w:id="62"/>
    </w:p>
    <w:p w:rsidR="00E42497" w:rsidRDefault="00E42497" w:rsidP="00740654">
      <w:pPr>
        <w:pStyle w:val="Nadpis4"/>
      </w:pPr>
      <w:r>
        <w:t>Špecifické ciele investičnej priority a očakávané výsledky</w:t>
      </w:r>
    </w:p>
    <w:p w:rsidR="00E42497" w:rsidRPr="006B762B" w:rsidRDefault="00E42497" w:rsidP="002E1021">
      <w:pPr>
        <w:shd w:val="clear" w:color="auto" w:fill="FFFFCC"/>
        <w:jc w:val="both"/>
        <w:rPr>
          <w:b/>
          <w:i/>
        </w:rPr>
      </w:pPr>
      <w:r w:rsidRPr="004F0234">
        <w:rPr>
          <w:i/>
        </w:rPr>
        <w:t xml:space="preserve">ŠPECIFICKÝ CIEĽ </w:t>
      </w:r>
      <w:r w:rsidR="00A67013">
        <w:rPr>
          <w:i/>
        </w:rPr>
        <w:t>6.</w:t>
      </w:r>
      <w:r>
        <w:rPr>
          <w:i/>
        </w:rPr>
        <w:t>1</w:t>
      </w:r>
      <w:r w:rsidRPr="004F0234">
        <w:rPr>
          <w:i/>
        </w:rPr>
        <w:t>:</w:t>
      </w:r>
      <w:r>
        <w:rPr>
          <w:i/>
        </w:rPr>
        <w:t xml:space="preserve"> </w:t>
      </w:r>
      <w:r w:rsidR="00A837FB">
        <w:rPr>
          <w:b/>
          <w:i/>
        </w:rPr>
        <w:t>Odstránenie kľúčových úzkych miest na cestnej infraštruktúre TEN-T prostredníctvom výstavby nových rýchlostných ciest</w:t>
      </w:r>
    </w:p>
    <w:p w:rsidR="00E42497" w:rsidRDefault="00D75844" w:rsidP="006C1D08">
      <w:pPr>
        <w:spacing w:before="180"/>
        <w:jc w:val="both"/>
        <w:rPr>
          <w:sz w:val="22"/>
          <w:szCs w:val="22"/>
        </w:rPr>
      </w:pPr>
      <w:r>
        <w:rPr>
          <w:sz w:val="22"/>
          <w:szCs w:val="22"/>
        </w:rPr>
        <w:t>Selektívnym d</w:t>
      </w:r>
      <w:r w:rsidR="007F7347" w:rsidRPr="007F7347">
        <w:rPr>
          <w:sz w:val="22"/>
          <w:szCs w:val="22"/>
        </w:rPr>
        <w:t xml:space="preserve">oplnením </w:t>
      </w:r>
      <w:r>
        <w:rPr>
          <w:sz w:val="22"/>
          <w:szCs w:val="22"/>
        </w:rPr>
        <w:t xml:space="preserve">siete </w:t>
      </w:r>
      <w:r w:rsidR="007F7347" w:rsidRPr="007F7347">
        <w:rPr>
          <w:sz w:val="22"/>
          <w:szCs w:val="22"/>
        </w:rPr>
        <w:t xml:space="preserve">diaľnic </w:t>
      </w:r>
      <w:r>
        <w:rPr>
          <w:sz w:val="22"/>
          <w:szCs w:val="22"/>
        </w:rPr>
        <w:t>o vybrané úseky</w:t>
      </w:r>
      <w:r w:rsidR="007F7347" w:rsidRPr="007F7347">
        <w:rPr>
          <w:sz w:val="22"/>
          <w:szCs w:val="22"/>
        </w:rPr>
        <w:t xml:space="preserve"> rýchlostných ciest </w:t>
      </w:r>
      <w:r>
        <w:rPr>
          <w:sz w:val="22"/>
          <w:szCs w:val="22"/>
        </w:rPr>
        <w:t>bude zabezpečené</w:t>
      </w:r>
      <w:r w:rsidR="007F7347" w:rsidRPr="007F7347">
        <w:rPr>
          <w:sz w:val="22"/>
          <w:szCs w:val="22"/>
        </w:rPr>
        <w:t xml:space="preserve"> kvalitné cestné spojenie medzi jednotlivými</w:t>
      </w:r>
      <w:r w:rsidR="007F7347">
        <w:rPr>
          <w:sz w:val="22"/>
          <w:szCs w:val="22"/>
        </w:rPr>
        <w:t xml:space="preserve"> </w:t>
      </w:r>
      <w:r w:rsidR="007F7347" w:rsidRPr="007F7347">
        <w:rPr>
          <w:sz w:val="22"/>
          <w:szCs w:val="22"/>
        </w:rPr>
        <w:t>regiónmi, a</w:t>
      </w:r>
      <w:r>
        <w:rPr>
          <w:sz w:val="22"/>
          <w:szCs w:val="22"/>
        </w:rPr>
        <w:t>ko aj krajskými sídlami.</w:t>
      </w:r>
      <w:r w:rsidR="00044C50">
        <w:rPr>
          <w:sz w:val="22"/>
          <w:szCs w:val="22"/>
        </w:rPr>
        <w:t xml:space="preserve"> Investície</w:t>
      </w:r>
      <w:r w:rsidR="001448ED">
        <w:rPr>
          <w:sz w:val="22"/>
          <w:szCs w:val="22"/>
        </w:rPr>
        <w:t xml:space="preserve"> v rámci tejto prioritnej osi</w:t>
      </w:r>
      <w:r w:rsidR="00044C50">
        <w:rPr>
          <w:sz w:val="22"/>
          <w:szCs w:val="22"/>
        </w:rPr>
        <w:t xml:space="preserve"> budú smerovať do výstavby nových úsekov rýchlostných ciest </w:t>
      </w:r>
      <w:r w:rsidR="007D3C25">
        <w:rPr>
          <w:sz w:val="22"/>
          <w:szCs w:val="22"/>
        </w:rPr>
        <w:t>mimo</w:t>
      </w:r>
      <w:r w:rsidR="00044C50">
        <w:rPr>
          <w:sz w:val="22"/>
          <w:szCs w:val="22"/>
        </w:rPr>
        <w:t xml:space="preserve"> TEN-T</w:t>
      </w:r>
      <w:r w:rsidR="007D3C25">
        <w:rPr>
          <w:sz w:val="22"/>
          <w:szCs w:val="22"/>
        </w:rPr>
        <w:t xml:space="preserve"> CORE</w:t>
      </w:r>
      <w:r w:rsidR="00044C50">
        <w:rPr>
          <w:sz w:val="22"/>
          <w:szCs w:val="22"/>
        </w:rPr>
        <w:t>.</w:t>
      </w:r>
      <w:r>
        <w:rPr>
          <w:sz w:val="22"/>
          <w:szCs w:val="22"/>
        </w:rPr>
        <w:t xml:space="preserve"> </w:t>
      </w:r>
      <w:r w:rsidR="00B9132E" w:rsidRPr="00B9132E">
        <w:rPr>
          <w:b/>
          <w:sz w:val="22"/>
          <w:szCs w:val="22"/>
        </w:rPr>
        <w:t>Zámerom je predov</w:t>
      </w:r>
      <w:r w:rsidR="001448ED">
        <w:rPr>
          <w:b/>
          <w:sz w:val="22"/>
          <w:szCs w:val="22"/>
        </w:rPr>
        <w:t>šetkým výstavba nových úsekov rýchlostných ciest</w:t>
      </w:r>
      <w:r w:rsidR="00B9132E" w:rsidRPr="00B9132E">
        <w:rPr>
          <w:b/>
          <w:sz w:val="22"/>
          <w:szCs w:val="22"/>
        </w:rPr>
        <w:t xml:space="preserve"> R2</w:t>
      </w:r>
      <w:r w:rsidR="00044C50">
        <w:rPr>
          <w:b/>
          <w:sz w:val="22"/>
          <w:szCs w:val="22"/>
        </w:rPr>
        <w:t xml:space="preserve"> a R5</w:t>
      </w:r>
      <w:r w:rsidR="00B9132E" w:rsidRPr="00B9132E">
        <w:rPr>
          <w:b/>
          <w:sz w:val="22"/>
          <w:szCs w:val="22"/>
        </w:rPr>
        <w:t>.</w:t>
      </w:r>
    </w:p>
    <w:p w:rsidR="00B9132E" w:rsidRDefault="00AA57CB" w:rsidP="006C1D08">
      <w:pPr>
        <w:spacing w:before="180"/>
        <w:jc w:val="both"/>
        <w:rPr>
          <w:sz w:val="22"/>
          <w:szCs w:val="22"/>
        </w:rPr>
      </w:pPr>
      <w:r w:rsidRPr="00AA57CB">
        <w:rPr>
          <w:sz w:val="22"/>
          <w:szCs w:val="22"/>
        </w:rPr>
        <w:t xml:space="preserve">Vybudovanie rýchlostnej cesty R2 významným spôsobom prispeje k </w:t>
      </w:r>
      <w:r>
        <w:rPr>
          <w:sz w:val="22"/>
          <w:szCs w:val="22"/>
        </w:rPr>
        <w:t xml:space="preserve">zlepšeniu vzájomného prepojenia na trase Trenčín – </w:t>
      </w:r>
      <w:r w:rsidRPr="00E545D5">
        <w:rPr>
          <w:sz w:val="22"/>
          <w:szCs w:val="22"/>
        </w:rPr>
        <w:t>Prievi</w:t>
      </w:r>
      <w:r>
        <w:rPr>
          <w:sz w:val="22"/>
          <w:szCs w:val="22"/>
        </w:rPr>
        <w:t>dza – Zvolen – Lučenec – Košice Šaca – Košické Oľšany</w:t>
      </w:r>
      <w:r w:rsidRPr="00AA57CB">
        <w:rPr>
          <w:sz w:val="22"/>
          <w:szCs w:val="22"/>
        </w:rPr>
        <w:t xml:space="preserve"> a taktiež medziľahlých regiónov postihnutých štrukturálnymi</w:t>
      </w:r>
      <w:r>
        <w:rPr>
          <w:sz w:val="22"/>
          <w:szCs w:val="22"/>
        </w:rPr>
        <w:t xml:space="preserve"> </w:t>
      </w:r>
      <w:r w:rsidRPr="00AA57CB">
        <w:rPr>
          <w:sz w:val="22"/>
          <w:szCs w:val="22"/>
        </w:rPr>
        <w:t>zmenami v ekonomike a vysokou mierou nezamestnanosti. Vybudovanie tejto cestnej osi poskytne</w:t>
      </w:r>
      <w:r>
        <w:rPr>
          <w:sz w:val="22"/>
          <w:szCs w:val="22"/>
        </w:rPr>
        <w:t xml:space="preserve"> </w:t>
      </w:r>
      <w:r w:rsidRPr="00AA57CB">
        <w:rPr>
          <w:sz w:val="22"/>
          <w:szCs w:val="22"/>
        </w:rPr>
        <w:t xml:space="preserve">potrebnú kapacitu a úroveň bezpečnosti, ktorá ja na súčasnej ceste I/50 </w:t>
      </w:r>
      <w:r w:rsidR="00B9132E">
        <w:rPr>
          <w:sz w:val="22"/>
          <w:szCs w:val="22"/>
        </w:rPr>
        <w:t xml:space="preserve">v mnohých prípadoch </w:t>
      </w:r>
      <w:r w:rsidRPr="00AA57CB">
        <w:rPr>
          <w:sz w:val="22"/>
          <w:szCs w:val="22"/>
        </w:rPr>
        <w:t xml:space="preserve">neúnosná. </w:t>
      </w:r>
    </w:p>
    <w:p w:rsidR="00852835" w:rsidRDefault="00AA57CB" w:rsidP="006C1D08">
      <w:pPr>
        <w:spacing w:before="180"/>
        <w:jc w:val="both"/>
        <w:rPr>
          <w:sz w:val="22"/>
          <w:szCs w:val="22"/>
        </w:rPr>
      </w:pPr>
      <w:r w:rsidRPr="00AA57CB">
        <w:rPr>
          <w:sz w:val="22"/>
          <w:szCs w:val="22"/>
        </w:rPr>
        <w:t>Trasa je súčasťou</w:t>
      </w:r>
      <w:r>
        <w:rPr>
          <w:sz w:val="22"/>
          <w:szCs w:val="22"/>
        </w:rPr>
        <w:t xml:space="preserve"> </w:t>
      </w:r>
      <w:r w:rsidR="009F007F">
        <w:rPr>
          <w:sz w:val="22"/>
          <w:szCs w:val="22"/>
        </w:rPr>
        <w:t>súhrnnej</w:t>
      </w:r>
      <w:r w:rsidRPr="00AA57CB">
        <w:rPr>
          <w:sz w:val="22"/>
          <w:szCs w:val="22"/>
        </w:rPr>
        <w:t xml:space="preserve"> siete TEN-T.</w:t>
      </w:r>
      <w:r>
        <w:rPr>
          <w:sz w:val="22"/>
          <w:szCs w:val="22"/>
        </w:rPr>
        <w:t xml:space="preserve"> </w:t>
      </w:r>
      <w:r w:rsidR="00E545D5" w:rsidRPr="00E545D5">
        <w:rPr>
          <w:sz w:val="22"/>
          <w:szCs w:val="22"/>
        </w:rPr>
        <w:t>Z</w:t>
      </w:r>
      <w:r>
        <w:rPr>
          <w:sz w:val="22"/>
          <w:szCs w:val="22"/>
        </w:rPr>
        <w:t xml:space="preserve"> celkového počtu </w:t>
      </w:r>
      <w:r w:rsidR="00E545D5" w:rsidRPr="00E545D5">
        <w:rPr>
          <w:sz w:val="22"/>
          <w:szCs w:val="22"/>
        </w:rPr>
        <w:t>2</w:t>
      </w:r>
      <w:r w:rsidR="00E545D5">
        <w:rPr>
          <w:sz w:val="22"/>
          <w:szCs w:val="22"/>
        </w:rPr>
        <w:t>5</w:t>
      </w:r>
      <w:r w:rsidR="00E545D5" w:rsidRPr="00E545D5">
        <w:rPr>
          <w:sz w:val="22"/>
          <w:szCs w:val="22"/>
        </w:rPr>
        <w:t xml:space="preserve"> úsekov R2 </w:t>
      </w:r>
      <w:r w:rsidR="00E545D5">
        <w:rPr>
          <w:sz w:val="22"/>
          <w:szCs w:val="22"/>
        </w:rPr>
        <w:t>o </w:t>
      </w:r>
      <w:r w:rsidR="00E545D5" w:rsidRPr="00E545D5">
        <w:rPr>
          <w:sz w:val="22"/>
          <w:szCs w:val="22"/>
        </w:rPr>
        <w:t xml:space="preserve">dĺžke </w:t>
      </w:r>
      <w:r w:rsidR="00E545D5">
        <w:rPr>
          <w:sz w:val="22"/>
          <w:szCs w:val="22"/>
        </w:rPr>
        <w:t>314</w:t>
      </w:r>
      <w:r w:rsidR="00E545D5" w:rsidRPr="00E545D5">
        <w:rPr>
          <w:sz w:val="22"/>
          <w:szCs w:val="22"/>
        </w:rPr>
        <w:t xml:space="preserve"> k</w:t>
      </w:r>
      <w:r>
        <w:rPr>
          <w:sz w:val="22"/>
          <w:szCs w:val="22"/>
        </w:rPr>
        <w:t>m</w:t>
      </w:r>
      <w:r w:rsidR="00E545D5" w:rsidRPr="00E545D5">
        <w:rPr>
          <w:sz w:val="22"/>
          <w:szCs w:val="22"/>
        </w:rPr>
        <w:t xml:space="preserve"> boli </w:t>
      </w:r>
      <w:r>
        <w:rPr>
          <w:sz w:val="22"/>
          <w:szCs w:val="22"/>
        </w:rPr>
        <w:t>k 31.12.2013</w:t>
      </w:r>
      <w:r w:rsidR="00E545D5" w:rsidRPr="00E545D5">
        <w:rPr>
          <w:sz w:val="22"/>
          <w:szCs w:val="22"/>
        </w:rPr>
        <w:t xml:space="preserve"> odovzdané do prevádzky</w:t>
      </w:r>
      <w:r w:rsidR="00B9132E">
        <w:rPr>
          <w:sz w:val="22"/>
          <w:szCs w:val="22"/>
        </w:rPr>
        <w:t xml:space="preserve"> len</w:t>
      </w:r>
      <w:r w:rsidR="00E545D5" w:rsidRPr="00E545D5">
        <w:rPr>
          <w:sz w:val="22"/>
          <w:szCs w:val="22"/>
        </w:rPr>
        <w:t xml:space="preserve"> </w:t>
      </w:r>
      <w:r>
        <w:rPr>
          <w:sz w:val="22"/>
          <w:szCs w:val="22"/>
        </w:rPr>
        <w:t>tri</w:t>
      </w:r>
      <w:r w:rsidR="00E545D5" w:rsidRPr="00E545D5">
        <w:rPr>
          <w:sz w:val="22"/>
          <w:szCs w:val="22"/>
        </w:rPr>
        <w:t xml:space="preserve"> úseky </w:t>
      </w:r>
      <w:r>
        <w:rPr>
          <w:sz w:val="22"/>
          <w:szCs w:val="22"/>
        </w:rPr>
        <w:t>o</w:t>
      </w:r>
      <w:r w:rsidR="00E545D5" w:rsidRPr="00E545D5">
        <w:rPr>
          <w:sz w:val="22"/>
          <w:szCs w:val="22"/>
        </w:rPr>
        <w:t xml:space="preserve"> dĺžke </w:t>
      </w:r>
      <w:r>
        <w:rPr>
          <w:sz w:val="22"/>
          <w:szCs w:val="22"/>
        </w:rPr>
        <w:t>18 </w:t>
      </w:r>
      <w:r w:rsidR="00E545D5" w:rsidRPr="00E545D5">
        <w:rPr>
          <w:sz w:val="22"/>
          <w:szCs w:val="22"/>
        </w:rPr>
        <w:t>km.</w:t>
      </w:r>
      <w:r>
        <w:rPr>
          <w:sz w:val="22"/>
          <w:szCs w:val="22"/>
        </w:rPr>
        <w:t xml:space="preserve"> Ďalších cca 35 km by malo byť dokončených spolufinancovaním z OPD 2007 – 2013.</w:t>
      </w:r>
    </w:p>
    <w:p w:rsidR="00E42497" w:rsidRPr="001B2070" w:rsidRDefault="00E42497" w:rsidP="001B2070">
      <w:pPr>
        <w:spacing w:before="180" w:after="120"/>
        <w:rPr>
          <w:rFonts w:ascii="Arial Narrow" w:hAnsi="Arial Narrow"/>
          <w:b/>
          <w:i/>
          <w:color w:val="548DD4" w:themeColor="text2" w:themeTint="99"/>
          <w:sz w:val="22"/>
          <w:szCs w:val="22"/>
        </w:rPr>
      </w:pPr>
      <w:r w:rsidRPr="001B2070">
        <w:rPr>
          <w:rFonts w:ascii="Arial Narrow" w:hAnsi="Arial Narrow"/>
          <w:b/>
          <w:i/>
          <w:color w:val="548DD4" w:themeColor="text2" w:themeTint="99"/>
          <w:sz w:val="22"/>
          <w:szCs w:val="22"/>
        </w:rPr>
        <w:t>VÝSLEDKY</w:t>
      </w:r>
    </w:p>
    <w:p w:rsidR="00D75844" w:rsidRDefault="00D75844" w:rsidP="00FE6025">
      <w:pPr>
        <w:pStyle w:val="Odsekzoznamu"/>
        <w:numPr>
          <w:ilvl w:val="0"/>
          <w:numId w:val="49"/>
        </w:numPr>
        <w:autoSpaceDE w:val="0"/>
        <w:autoSpaceDN w:val="0"/>
        <w:adjustRightInd w:val="0"/>
        <w:ind w:hanging="436"/>
        <w:jc w:val="both"/>
        <w:rPr>
          <w:sz w:val="22"/>
          <w:szCs w:val="22"/>
        </w:rPr>
      </w:pPr>
      <w:r w:rsidRPr="00186DB7">
        <w:rPr>
          <w:sz w:val="22"/>
          <w:szCs w:val="22"/>
        </w:rPr>
        <w:t xml:space="preserve">odstránenie kľúčových úzkych miest na </w:t>
      </w:r>
      <w:r w:rsidR="009F007F">
        <w:rPr>
          <w:sz w:val="22"/>
          <w:szCs w:val="22"/>
        </w:rPr>
        <w:t>súhrnnej</w:t>
      </w:r>
      <w:r w:rsidRPr="00186DB7">
        <w:rPr>
          <w:sz w:val="22"/>
          <w:szCs w:val="22"/>
        </w:rPr>
        <w:t xml:space="preserve"> sieti TEN-T</w:t>
      </w:r>
      <w:r>
        <w:rPr>
          <w:sz w:val="22"/>
          <w:szCs w:val="22"/>
        </w:rPr>
        <w:t>,</w:t>
      </w:r>
    </w:p>
    <w:p w:rsidR="00D75844" w:rsidRDefault="00D75844" w:rsidP="00FE6025">
      <w:pPr>
        <w:pStyle w:val="Odsekzoznamu"/>
        <w:numPr>
          <w:ilvl w:val="0"/>
          <w:numId w:val="49"/>
        </w:numPr>
        <w:autoSpaceDE w:val="0"/>
        <w:autoSpaceDN w:val="0"/>
        <w:adjustRightInd w:val="0"/>
        <w:ind w:left="709" w:hanging="425"/>
        <w:jc w:val="both"/>
        <w:rPr>
          <w:sz w:val="22"/>
          <w:szCs w:val="22"/>
        </w:rPr>
      </w:pPr>
      <w:r>
        <w:rPr>
          <w:sz w:val="22"/>
          <w:szCs w:val="22"/>
        </w:rPr>
        <w:t xml:space="preserve">zvýšenie bezpečnosti cestnej premávky a zníženie nehodovosti, </w:t>
      </w:r>
    </w:p>
    <w:p w:rsidR="00D75844" w:rsidRDefault="00D75844" w:rsidP="00FE6025">
      <w:pPr>
        <w:pStyle w:val="Odsekzoznamu"/>
        <w:numPr>
          <w:ilvl w:val="0"/>
          <w:numId w:val="49"/>
        </w:numPr>
        <w:autoSpaceDE w:val="0"/>
        <w:autoSpaceDN w:val="0"/>
        <w:adjustRightInd w:val="0"/>
        <w:ind w:left="709" w:hanging="425"/>
        <w:jc w:val="both"/>
        <w:rPr>
          <w:sz w:val="22"/>
          <w:szCs w:val="22"/>
        </w:rPr>
      </w:pPr>
      <w:r>
        <w:rPr>
          <w:sz w:val="22"/>
          <w:szCs w:val="22"/>
        </w:rPr>
        <w:t>zníženie negatívnych vplyvov na životné prostredie (zníženie hlukovej a emisnej záťaže v intraviláne miest a obcí),</w:t>
      </w:r>
    </w:p>
    <w:p w:rsidR="00D75844" w:rsidRDefault="00D75844" w:rsidP="00FE6025">
      <w:pPr>
        <w:pStyle w:val="Odsekzoznamu"/>
        <w:numPr>
          <w:ilvl w:val="0"/>
          <w:numId w:val="49"/>
        </w:numPr>
        <w:autoSpaceDE w:val="0"/>
        <w:autoSpaceDN w:val="0"/>
        <w:adjustRightInd w:val="0"/>
        <w:ind w:left="709" w:hanging="425"/>
        <w:jc w:val="both"/>
        <w:rPr>
          <w:sz w:val="22"/>
          <w:szCs w:val="22"/>
        </w:rPr>
      </w:pPr>
      <w:r>
        <w:rPr>
          <w:sz w:val="22"/>
          <w:szCs w:val="22"/>
        </w:rPr>
        <w:t>zníženie časových strát a prevádzkových nákladov,</w:t>
      </w:r>
    </w:p>
    <w:p w:rsidR="00D75844" w:rsidRDefault="00D75844" w:rsidP="00FE6025">
      <w:pPr>
        <w:pStyle w:val="Odsekzoznamu"/>
        <w:numPr>
          <w:ilvl w:val="0"/>
          <w:numId w:val="49"/>
        </w:numPr>
        <w:autoSpaceDE w:val="0"/>
        <w:autoSpaceDN w:val="0"/>
        <w:adjustRightInd w:val="0"/>
        <w:ind w:left="709" w:hanging="425"/>
        <w:jc w:val="both"/>
        <w:rPr>
          <w:sz w:val="22"/>
          <w:szCs w:val="22"/>
        </w:rPr>
      </w:pPr>
      <w:r w:rsidRPr="00186DB7">
        <w:rPr>
          <w:sz w:val="22"/>
          <w:szCs w:val="22"/>
        </w:rPr>
        <w:t>zabezpečenie bezpečnej migrácie zveri</w:t>
      </w:r>
      <w:r w:rsidR="00DF263C">
        <w:rPr>
          <w:sz w:val="22"/>
          <w:szCs w:val="22"/>
        </w:rPr>
        <w:t xml:space="preserve"> – </w:t>
      </w:r>
      <w:r w:rsidR="00DF263C" w:rsidRPr="00980699">
        <w:rPr>
          <w:sz w:val="22"/>
          <w:szCs w:val="22"/>
        </w:rPr>
        <w:t>budovanie bezpečných koridorov pre migrác</w:t>
      </w:r>
      <w:r w:rsidR="00DF263C">
        <w:rPr>
          <w:sz w:val="22"/>
          <w:szCs w:val="22"/>
        </w:rPr>
        <w:t>iu zveri (tzv. zelené prechody)</w:t>
      </w:r>
      <w:r w:rsidR="00DF263C" w:rsidRPr="00186DB7">
        <w:rPr>
          <w:sz w:val="22"/>
          <w:szCs w:val="22"/>
        </w:rPr>
        <w:t>,</w:t>
      </w:r>
    </w:p>
    <w:p w:rsidR="00B9132E" w:rsidRPr="00B9132E" w:rsidRDefault="00D75844" w:rsidP="00FE6025">
      <w:pPr>
        <w:pStyle w:val="Odsekzoznamu"/>
        <w:numPr>
          <w:ilvl w:val="0"/>
          <w:numId w:val="49"/>
        </w:numPr>
        <w:autoSpaceDE w:val="0"/>
        <w:autoSpaceDN w:val="0"/>
        <w:adjustRightInd w:val="0"/>
        <w:ind w:left="709" w:hanging="425"/>
        <w:jc w:val="both"/>
        <w:rPr>
          <w:snapToGrid w:val="0"/>
          <w:sz w:val="22"/>
          <w:szCs w:val="23"/>
          <w:lang w:eastAsia="cs-CZ"/>
        </w:rPr>
      </w:pPr>
      <w:r w:rsidRPr="00B715C0">
        <w:rPr>
          <w:sz w:val="22"/>
          <w:szCs w:val="22"/>
        </w:rPr>
        <w:t>vytváranie predpokladov pre zvýšenie konkurencieschopnosti regiónov</w:t>
      </w:r>
      <w:r>
        <w:rPr>
          <w:sz w:val="22"/>
          <w:szCs w:val="22"/>
        </w:rPr>
        <w:t>, zlepšenia mobility obyvateľstva</w:t>
      </w:r>
      <w:r w:rsidRPr="00B715C0">
        <w:rPr>
          <w:sz w:val="22"/>
          <w:szCs w:val="22"/>
        </w:rPr>
        <w:t xml:space="preserve"> a potenciálu </w:t>
      </w:r>
      <w:r>
        <w:rPr>
          <w:sz w:val="22"/>
          <w:szCs w:val="22"/>
        </w:rPr>
        <w:t xml:space="preserve">rastu zamestnanosti (napr. </w:t>
      </w:r>
      <w:r w:rsidRPr="00B715C0">
        <w:rPr>
          <w:sz w:val="22"/>
          <w:szCs w:val="22"/>
        </w:rPr>
        <w:t xml:space="preserve">v cestovnom </w:t>
      </w:r>
      <w:r>
        <w:rPr>
          <w:sz w:val="22"/>
          <w:szCs w:val="22"/>
        </w:rPr>
        <w:t>ruchu, stavebníctve).</w:t>
      </w:r>
    </w:p>
    <w:p w:rsidR="00B9132E" w:rsidRDefault="00B9132E" w:rsidP="00B9132E">
      <w:pPr>
        <w:autoSpaceDE w:val="0"/>
        <w:autoSpaceDN w:val="0"/>
        <w:adjustRightInd w:val="0"/>
        <w:jc w:val="both"/>
        <w:rPr>
          <w:snapToGrid w:val="0"/>
          <w:sz w:val="22"/>
          <w:szCs w:val="23"/>
          <w:lang w:eastAsia="cs-CZ"/>
        </w:rPr>
      </w:pPr>
    </w:p>
    <w:p w:rsidR="00A837FB" w:rsidRDefault="00E42497" w:rsidP="00A837FB">
      <w:pPr>
        <w:pStyle w:val="Tab"/>
      </w:pPr>
      <w:r w:rsidRPr="004F0234">
        <w:lastRenderedPageBreak/>
        <w:t>Výsledkové ukazovatele zodpovedajúce špecifickému cieľu</w:t>
      </w:r>
      <w:r w:rsidR="003D6170">
        <w:t xml:space="preserve"> 6.1</w:t>
      </w:r>
    </w:p>
    <w:tbl>
      <w:tblPr>
        <w:tblStyle w:val="Mriekatabuky"/>
        <w:tblW w:w="928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56"/>
        <w:gridCol w:w="1304"/>
        <w:gridCol w:w="898"/>
        <w:gridCol w:w="1025"/>
        <w:gridCol w:w="1297"/>
        <w:gridCol w:w="1297"/>
        <w:gridCol w:w="911"/>
        <w:gridCol w:w="789"/>
        <w:gridCol w:w="1210"/>
      </w:tblGrid>
      <w:tr w:rsidR="00A837FB" w:rsidRPr="008C1732" w:rsidTr="002E1021">
        <w:trPr>
          <w:trHeight w:val="487"/>
          <w:jc w:val="center"/>
        </w:trPr>
        <w:tc>
          <w:tcPr>
            <w:tcW w:w="556" w:type="dxa"/>
            <w:shd w:val="clear" w:color="auto" w:fill="C6D9F1" w:themeFill="text2" w:themeFillTint="33"/>
            <w:vAlign w:val="center"/>
          </w:tcPr>
          <w:p w:rsidR="00A837FB" w:rsidRPr="008C1732" w:rsidRDefault="00A837FB" w:rsidP="00816B1A">
            <w:pPr>
              <w:ind w:left="0"/>
              <w:jc w:val="center"/>
              <w:rPr>
                <w:b/>
                <w:sz w:val="18"/>
                <w:szCs w:val="18"/>
              </w:rPr>
            </w:pPr>
            <w:r>
              <w:rPr>
                <w:b/>
                <w:sz w:val="18"/>
                <w:szCs w:val="18"/>
              </w:rPr>
              <w:t>P. č.</w:t>
            </w:r>
          </w:p>
        </w:tc>
        <w:tc>
          <w:tcPr>
            <w:tcW w:w="1304"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Ukazovateľ</w:t>
            </w:r>
          </w:p>
        </w:tc>
        <w:tc>
          <w:tcPr>
            <w:tcW w:w="898"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Merná jednotka</w:t>
            </w:r>
          </w:p>
        </w:tc>
        <w:tc>
          <w:tcPr>
            <w:tcW w:w="1025"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Kategória regiónu</w:t>
            </w:r>
          </w:p>
        </w:tc>
        <w:tc>
          <w:tcPr>
            <w:tcW w:w="1297" w:type="dxa"/>
            <w:shd w:val="clear" w:color="auto" w:fill="C6D9F1" w:themeFill="text2" w:themeFillTint="33"/>
            <w:vAlign w:val="center"/>
          </w:tcPr>
          <w:p w:rsidR="00A837FB" w:rsidRPr="008C1732" w:rsidRDefault="00A837FB" w:rsidP="00816B1A">
            <w:pPr>
              <w:ind w:left="0"/>
              <w:jc w:val="center"/>
              <w:rPr>
                <w:b/>
                <w:sz w:val="18"/>
                <w:szCs w:val="18"/>
              </w:rPr>
            </w:pPr>
            <w:r>
              <w:rPr>
                <w:b/>
                <w:sz w:val="18"/>
                <w:szCs w:val="18"/>
              </w:rPr>
              <w:t>Východisková hodnota</w:t>
            </w:r>
          </w:p>
        </w:tc>
        <w:tc>
          <w:tcPr>
            <w:tcW w:w="1297" w:type="dxa"/>
            <w:shd w:val="clear" w:color="auto" w:fill="C6D9F1" w:themeFill="text2" w:themeFillTint="33"/>
            <w:vAlign w:val="center"/>
          </w:tcPr>
          <w:p w:rsidR="00A837FB" w:rsidRPr="008C1732" w:rsidRDefault="00A837FB" w:rsidP="00816B1A">
            <w:pPr>
              <w:ind w:left="0"/>
              <w:jc w:val="center"/>
              <w:rPr>
                <w:b/>
                <w:sz w:val="18"/>
                <w:szCs w:val="18"/>
              </w:rPr>
            </w:pPr>
            <w:r>
              <w:rPr>
                <w:b/>
                <w:sz w:val="18"/>
                <w:szCs w:val="18"/>
              </w:rPr>
              <w:t>Východiskový rok</w:t>
            </w:r>
          </w:p>
        </w:tc>
        <w:tc>
          <w:tcPr>
            <w:tcW w:w="911"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Cieľová hodnota (2023)</w:t>
            </w:r>
          </w:p>
        </w:tc>
        <w:tc>
          <w:tcPr>
            <w:tcW w:w="789"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Zdroj údajov</w:t>
            </w:r>
          </w:p>
        </w:tc>
        <w:tc>
          <w:tcPr>
            <w:tcW w:w="1210"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Frekvencia vykazovania</w:t>
            </w:r>
          </w:p>
        </w:tc>
      </w:tr>
      <w:tr w:rsidR="00A837FB" w:rsidRPr="00AB18C1" w:rsidTr="002E1021">
        <w:trPr>
          <w:trHeight w:val="680"/>
          <w:jc w:val="center"/>
        </w:trPr>
        <w:tc>
          <w:tcPr>
            <w:tcW w:w="556" w:type="dxa"/>
            <w:shd w:val="clear" w:color="auto" w:fill="auto"/>
            <w:vAlign w:val="center"/>
          </w:tcPr>
          <w:p w:rsidR="00A837FB" w:rsidRPr="00336C1F" w:rsidRDefault="00A837FB" w:rsidP="00816B1A">
            <w:pPr>
              <w:ind w:left="0"/>
              <w:jc w:val="center"/>
              <w:rPr>
                <w:sz w:val="20"/>
                <w:szCs w:val="20"/>
              </w:rPr>
            </w:pPr>
            <w:r>
              <w:rPr>
                <w:sz w:val="20"/>
                <w:szCs w:val="20"/>
              </w:rPr>
              <w:t>1.</w:t>
            </w:r>
          </w:p>
        </w:tc>
        <w:tc>
          <w:tcPr>
            <w:tcW w:w="1304" w:type="dxa"/>
            <w:shd w:val="clear" w:color="auto" w:fill="auto"/>
            <w:vAlign w:val="center"/>
          </w:tcPr>
          <w:p w:rsidR="00A837FB" w:rsidRPr="00AB18C1" w:rsidRDefault="00A837FB" w:rsidP="00816B1A">
            <w:pPr>
              <w:ind w:left="0"/>
              <w:rPr>
                <w:sz w:val="20"/>
                <w:szCs w:val="20"/>
              </w:rPr>
            </w:pPr>
            <w:r>
              <w:rPr>
                <w:sz w:val="20"/>
                <w:szCs w:val="20"/>
              </w:rPr>
              <w:t>Úspora č</w:t>
            </w:r>
            <w:r w:rsidR="00D65B44">
              <w:rPr>
                <w:sz w:val="20"/>
                <w:szCs w:val="20"/>
              </w:rPr>
              <w:t xml:space="preserve">asu v cestnej doprave na </w:t>
            </w:r>
            <w:r>
              <w:rPr>
                <w:sz w:val="20"/>
                <w:szCs w:val="20"/>
              </w:rPr>
              <w:t>rýchlostných cestách</w:t>
            </w:r>
          </w:p>
        </w:tc>
        <w:tc>
          <w:tcPr>
            <w:tcW w:w="898" w:type="dxa"/>
            <w:shd w:val="clear" w:color="auto" w:fill="auto"/>
            <w:vAlign w:val="center"/>
          </w:tcPr>
          <w:p w:rsidR="00A837FB" w:rsidRPr="00AB18C1" w:rsidRDefault="00A837FB" w:rsidP="00816B1A">
            <w:pPr>
              <w:ind w:left="0"/>
              <w:jc w:val="center"/>
              <w:rPr>
                <w:sz w:val="20"/>
                <w:szCs w:val="20"/>
              </w:rPr>
            </w:pPr>
            <w:r w:rsidRPr="00AB18C1">
              <w:rPr>
                <w:sz w:val="20"/>
                <w:szCs w:val="20"/>
              </w:rPr>
              <w:t>EUR</w:t>
            </w:r>
          </w:p>
        </w:tc>
        <w:tc>
          <w:tcPr>
            <w:tcW w:w="1025" w:type="dxa"/>
            <w:shd w:val="clear" w:color="auto" w:fill="auto"/>
            <w:vAlign w:val="center"/>
          </w:tcPr>
          <w:p w:rsidR="00A837FB" w:rsidRPr="00AB18C1" w:rsidRDefault="00A837FB" w:rsidP="00816B1A">
            <w:pPr>
              <w:ind w:left="0"/>
              <w:jc w:val="center"/>
              <w:rPr>
                <w:sz w:val="20"/>
                <w:szCs w:val="20"/>
              </w:rPr>
            </w:pPr>
            <w:r w:rsidRPr="00AB18C1">
              <w:rPr>
                <w:sz w:val="20"/>
                <w:szCs w:val="20"/>
              </w:rPr>
              <w:t>N/A</w:t>
            </w:r>
          </w:p>
        </w:tc>
        <w:tc>
          <w:tcPr>
            <w:tcW w:w="1297" w:type="dxa"/>
            <w:vAlign w:val="center"/>
          </w:tcPr>
          <w:p w:rsidR="00A837FB" w:rsidRPr="00AB18C1" w:rsidRDefault="00A837FB" w:rsidP="00816B1A">
            <w:pPr>
              <w:jc w:val="center"/>
              <w:rPr>
                <w:sz w:val="20"/>
                <w:szCs w:val="20"/>
              </w:rPr>
            </w:pPr>
          </w:p>
        </w:tc>
        <w:tc>
          <w:tcPr>
            <w:tcW w:w="1297" w:type="dxa"/>
            <w:vAlign w:val="center"/>
          </w:tcPr>
          <w:p w:rsidR="00A837FB" w:rsidRPr="00AB18C1" w:rsidRDefault="00A837FB" w:rsidP="00816B1A">
            <w:pPr>
              <w:ind w:left="0"/>
              <w:jc w:val="center"/>
              <w:rPr>
                <w:sz w:val="20"/>
                <w:szCs w:val="20"/>
              </w:rPr>
            </w:pPr>
            <w:r w:rsidRPr="00AB18C1">
              <w:rPr>
                <w:sz w:val="20"/>
                <w:szCs w:val="20"/>
              </w:rPr>
              <w:t>2013</w:t>
            </w:r>
          </w:p>
        </w:tc>
        <w:tc>
          <w:tcPr>
            <w:tcW w:w="911" w:type="dxa"/>
            <w:shd w:val="clear" w:color="auto" w:fill="auto"/>
            <w:vAlign w:val="center"/>
          </w:tcPr>
          <w:p w:rsidR="00A837FB" w:rsidRPr="00AB18C1" w:rsidRDefault="00A837FB" w:rsidP="00816B1A">
            <w:pPr>
              <w:ind w:left="0"/>
              <w:jc w:val="center"/>
              <w:rPr>
                <w:sz w:val="20"/>
                <w:szCs w:val="20"/>
              </w:rPr>
            </w:pPr>
          </w:p>
        </w:tc>
        <w:tc>
          <w:tcPr>
            <w:tcW w:w="789" w:type="dxa"/>
            <w:vAlign w:val="center"/>
          </w:tcPr>
          <w:p w:rsidR="00A837FB" w:rsidRPr="00AB18C1" w:rsidRDefault="00A837FB" w:rsidP="00816B1A">
            <w:pPr>
              <w:ind w:left="0"/>
              <w:jc w:val="center"/>
              <w:rPr>
                <w:sz w:val="20"/>
                <w:szCs w:val="20"/>
              </w:rPr>
            </w:pPr>
            <w:r w:rsidRPr="00AB18C1">
              <w:rPr>
                <w:sz w:val="20"/>
                <w:szCs w:val="20"/>
              </w:rPr>
              <w:t>RO OPII</w:t>
            </w:r>
          </w:p>
        </w:tc>
        <w:tc>
          <w:tcPr>
            <w:tcW w:w="1210" w:type="dxa"/>
            <w:vAlign w:val="center"/>
          </w:tcPr>
          <w:p w:rsidR="00A837FB" w:rsidRPr="00AB18C1" w:rsidRDefault="00A837FB" w:rsidP="00816B1A">
            <w:pPr>
              <w:ind w:left="0"/>
              <w:jc w:val="center"/>
              <w:rPr>
                <w:sz w:val="20"/>
                <w:szCs w:val="20"/>
              </w:rPr>
            </w:pPr>
            <w:r w:rsidRPr="00AB18C1">
              <w:rPr>
                <w:sz w:val="20"/>
                <w:szCs w:val="20"/>
              </w:rPr>
              <w:t>Ročne</w:t>
            </w:r>
          </w:p>
        </w:tc>
      </w:tr>
    </w:tbl>
    <w:p w:rsidR="00A837FB" w:rsidRPr="00E3616E" w:rsidRDefault="00395D81" w:rsidP="00E3616E">
      <w:pPr>
        <w:rPr>
          <w:sz w:val="20"/>
          <w:szCs w:val="20"/>
        </w:rPr>
      </w:pPr>
      <w:bookmarkStart w:id="63" w:name="_Toc384029140"/>
      <w:r w:rsidRPr="008F243C">
        <w:rPr>
          <w:sz w:val="20"/>
          <w:szCs w:val="20"/>
          <w:u w:val="single"/>
        </w:rPr>
        <w:t>Pozn.</w:t>
      </w:r>
      <w:r w:rsidRPr="00E3616E">
        <w:rPr>
          <w:sz w:val="20"/>
          <w:szCs w:val="20"/>
        </w:rPr>
        <w:t>: Hodnoty ukazovateľov budú doplnené v ďalšom štádiu prípravy dokumentu.</w:t>
      </w:r>
      <w:bookmarkEnd w:id="63"/>
    </w:p>
    <w:p w:rsidR="007F7347" w:rsidRDefault="007F7347" w:rsidP="007F7347">
      <w:pPr>
        <w:pStyle w:val="Nadpis3"/>
        <w:jc w:val="both"/>
      </w:pPr>
      <w:bookmarkStart w:id="64" w:name="_Toc385310717"/>
      <w:r>
        <w:t xml:space="preserve">INVESTIČNÁ PRIORITA </w:t>
      </w:r>
      <w:r w:rsidR="00E41E26">
        <w:t>7b):</w:t>
      </w:r>
      <w:r>
        <w:t xml:space="preserve"> </w:t>
      </w:r>
      <w:r w:rsidRPr="007F7347">
        <w:t>Posilnenie regionálnej mobility prepojením sek</w:t>
      </w:r>
      <w:r w:rsidR="00E41E26">
        <w:t>undárnych a </w:t>
      </w:r>
      <w:r w:rsidRPr="007F7347">
        <w:t>terciárny</w:t>
      </w:r>
      <w:r w:rsidR="004A1B95">
        <w:t>ch uzlov s infraštruktúrou TEN-</w:t>
      </w:r>
      <w:r w:rsidRPr="007F7347">
        <w:t>T vrátane multimodálnych uzlov</w:t>
      </w:r>
      <w:bookmarkEnd w:id="64"/>
    </w:p>
    <w:p w:rsidR="007F7347" w:rsidRDefault="007F7347" w:rsidP="00740654">
      <w:pPr>
        <w:pStyle w:val="Nadpis4"/>
      </w:pPr>
      <w:r>
        <w:t>Špecifické ciele investičnej priority a očakávané výsledky</w:t>
      </w:r>
    </w:p>
    <w:p w:rsidR="007F7347" w:rsidRPr="006B762B" w:rsidRDefault="007F7347" w:rsidP="002E1021">
      <w:pPr>
        <w:shd w:val="clear" w:color="auto" w:fill="FFFFCC"/>
        <w:jc w:val="both"/>
        <w:rPr>
          <w:b/>
          <w:i/>
        </w:rPr>
      </w:pPr>
      <w:r w:rsidRPr="004F0234">
        <w:rPr>
          <w:i/>
        </w:rPr>
        <w:t xml:space="preserve">ŠPECIFICKÝ CIEĽ </w:t>
      </w:r>
      <w:r w:rsidR="00A67013">
        <w:rPr>
          <w:i/>
        </w:rPr>
        <w:t>6.2</w:t>
      </w:r>
      <w:r w:rsidRPr="004F0234">
        <w:rPr>
          <w:i/>
        </w:rPr>
        <w:t>:</w:t>
      </w:r>
      <w:r>
        <w:rPr>
          <w:i/>
        </w:rPr>
        <w:t xml:space="preserve"> </w:t>
      </w:r>
      <w:r w:rsidR="00A837FB">
        <w:rPr>
          <w:b/>
          <w:i/>
        </w:rPr>
        <w:t>Zlepšenie dostupnosti cestnej infraštruktúry TEN-T a regionálnej mobility prostredníctvom výstavby a modernizácie ciest I. triedy</w:t>
      </w:r>
    </w:p>
    <w:p w:rsidR="00DF263C" w:rsidRDefault="00DF263C" w:rsidP="00DF263C">
      <w:pPr>
        <w:autoSpaceDE w:val="0"/>
        <w:autoSpaceDN w:val="0"/>
        <w:adjustRightInd w:val="0"/>
        <w:spacing w:before="180"/>
        <w:jc w:val="both"/>
        <w:rPr>
          <w:sz w:val="22"/>
          <w:szCs w:val="22"/>
        </w:rPr>
      </w:pPr>
      <w:r w:rsidRPr="006C1D08">
        <w:rPr>
          <w:sz w:val="22"/>
          <w:szCs w:val="22"/>
        </w:rPr>
        <w:t>Snahou MDVRR SR je zlepšovať</w:t>
      </w:r>
      <w:r>
        <w:rPr>
          <w:sz w:val="22"/>
          <w:szCs w:val="22"/>
        </w:rPr>
        <w:t xml:space="preserve"> stav všetkých kategórií ciest, nielen diaľnic a rýchlostných ciest. V</w:t>
      </w:r>
      <w:r w:rsidRPr="006C1D08">
        <w:rPr>
          <w:sz w:val="22"/>
          <w:szCs w:val="22"/>
        </w:rPr>
        <w:t xml:space="preserve">ytvorením prioritnej osi </w:t>
      </w:r>
      <w:r>
        <w:rPr>
          <w:sz w:val="22"/>
          <w:szCs w:val="22"/>
        </w:rPr>
        <w:t xml:space="preserve">a stanovením tohto špecifického cieľa </w:t>
      </w:r>
      <w:r w:rsidRPr="006C1D08">
        <w:rPr>
          <w:sz w:val="22"/>
          <w:szCs w:val="22"/>
        </w:rPr>
        <w:t>deklaruje záujem budovať na území SR kvalitný, nákladovo efektívny a vyvážený dopravný systém,</w:t>
      </w:r>
      <w:r>
        <w:rPr>
          <w:sz w:val="22"/>
          <w:szCs w:val="22"/>
        </w:rPr>
        <w:t xml:space="preserve"> ktorý bude schopný reagovať na </w:t>
      </w:r>
      <w:r w:rsidRPr="006C1D08">
        <w:rPr>
          <w:sz w:val="22"/>
          <w:szCs w:val="22"/>
        </w:rPr>
        <w:t>skuto</w:t>
      </w:r>
      <w:r>
        <w:rPr>
          <w:sz w:val="22"/>
          <w:szCs w:val="22"/>
        </w:rPr>
        <w:t>čné potreby cestnej dopravy s dôrazom na znižovanie nehodovosti prostredníctvom prevencie vzniku resp. odstraňovania tzv. kritických nehodových lokalít</w:t>
      </w:r>
      <w:r w:rsidR="00044C50">
        <w:rPr>
          <w:sz w:val="22"/>
          <w:szCs w:val="22"/>
        </w:rPr>
        <w:t>,</w:t>
      </w:r>
      <w:r>
        <w:rPr>
          <w:sz w:val="22"/>
          <w:szCs w:val="22"/>
        </w:rPr>
        <w:t xml:space="preserve"> ako aj redukciu negatívnych vplyvov (emisie, hluk) na obyvateľov. Rozvoj</w:t>
      </w:r>
      <w:r w:rsidRPr="006C1D08">
        <w:rPr>
          <w:sz w:val="22"/>
          <w:szCs w:val="22"/>
        </w:rPr>
        <w:t xml:space="preserve"> diaľnic a rýchlostných ciest </w:t>
      </w:r>
      <w:r>
        <w:rPr>
          <w:sz w:val="22"/>
          <w:szCs w:val="22"/>
        </w:rPr>
        <w:t xml:space="preserve">bude preto </w:t>
      </w:r>
      <w:r w:rsidRPr="006C1D08">
        <w:rPr>
          <w:sz w:val="22"/>
          <w:szCs w:val="22"/>
        </w:rPr>
        <w:t>komplementárne doplnený o investície na zlepšenie stavu ciest I. triedy</w:t>
      </w:r>
      <w:r>
        <w:rPr>
          <w:sz w:val="22"/>
          <w:szCs w:val="22"/>
        </w:rPr>
        <w:t xml:space="preserve"> s cieľom zvýšenia dostupnosti siete diaľnic a </w:t>
      </w:r>
      <w:r w:rsidRPr="006E6A0F">
        <w:rPr>
          <w:sz w:val="22"/>
          <w:szCs w:val="22"/>
        </w:rPr>
        <w:t>rýchlostných komunikácií</w:t>
      </w:r>
      <w:r w:rsidR="00044C50">
        <w:rPr>
          <w:sz w:val="22"/>
          <w:szCs w:val="22"/>
        </w:rPr>
        <w:t>.</w:t>
      </w:r>
      <w:r w:rsidRPr="006E6A0F">
        <w:rPr>
          <w:sz w:val="22"/>
          <w:szCs w:val="22"/>
        </w:rPr>
        <w:t xml:space="preserve"> </w:t>
      </w:r>
      <w:r w:rsidR="00044C50">
        <w:rPr>
          <w:sz w:val="22"/>
          <w:szCs w:val="22"/>
        </w:rPr>
        <w:t xml:space="preserve">Investície v rámci špecifického cieľa budú smerovať </w:t>
      </w:r>
      <w:r w:rsidR="00976C76">
        <w:rPr>
          <w:sz w:val="22"/>
          <w:szCs w:val="22"/>
        </w:rPr>
        <w:t>na</w:t>
      </w:r>
      <w:r w:rsidR="00044C50">
        <w:rPr>
          <w:sz w:val="22"/>
          <w:szCs w:val="22"/>
        </w:rPr>
        <w:t xml:space="preserve"> výstavb</w:t>
      </w:r>
      <w:r w:rsidR="00976C76">
        <w:rPr>
          <w:sz w:val="22"/>
          <w:szCs w:val="22"/>
        </w:rPr>
        <w:t>u</w:t>
      </w:r>
      <w:r w:rsidR="00044C50">
        <w:rPr>
          <w:sz w:val="22"/>
          <w:szCs w:val="22"/>
        </w:rPr>
        <w:t xml:space="preserve"> a modernizáci</w:t>
      </w:r>
      <w:r w:rsidR="00976C76">
        <w:rPr>
          <w:sz w:val="22"/>
          <w:szCs w:val="22"/>
        </w:rPr>
        <w:t>u</w:t>
      </w:r>
      <w:r w:rsidR="00044C50">
        <w:rPr>
          <w:sz w:val="22"/>
          <w:szCs w:val="22"/>
        </w:rPr>
        <w:t xml:space="preserve"> ciest </w:t>
      </w:r>
      <w:r w:rsidR="007D3C25">
        <w:rPr>
          <w:sz w:val="22"/>
          <w:szCs w:val="22"/>
        </w:rPr>
        <w:t>I. triedy spadajúcich mimo siete TEN-T CORE</w:t>
      </w:r>
      <w:r w:rsidR="00044C50">
        <w:rPr>
          <w:sz w:val="22"/>
          <w:szCs w:val="22"/>
        </w:rPr>
        <w:t xml:space="preserve">, ako aj ciest I. triedy mimo TEN-T, a to najmä </w:t>
      </w:r>
      <w:r w:rsidR="00976C76">
        <w:rPr>
          <w:sz w:val="22"/>
          <w:szCs w:val="22"/>
        </w:rPr>
        <w:t>s cieľom</w:t>
      </w:r>
      <w:r w:rsidR="00044C50">
        <w:rPr>
          <w:sz w:val="22"/>
          <w:szCs w:val="22"/>
        </w:rPr>
        <w:t xml:space="preserve"> zlepšenia prístup</w:t>
      </w:r>
      <w:r w:rsidR="00765170">
        <w:rPr>
          <w:sz w:val="22"/>
          <w:szCs w:val="22"/>
        </w:rPr>
        <w:t>u obyvateľstva SR k TEN-T sieti a jednotnému trhu.</w:t>
      </w:r>
    </w:p>
    <w:p w:rsidR="00DF263C" w:rsidRDefault="000E6C9D" w:rsidP="000E6C9D">
      <w:pPr>
        <w:autoSpaceDE w:val="0"/>
        <w:autoSpaceDN w:val="0"/>
        <w:adjustRightInd w:val="0"/>
        <w:spacing w:before="180"/>
        <w:jc w:val="both"/>
        <w:rPr>
          <w:sz w:val="22"/>
          <w:szCs w:val="22"/>
        </w:rPr>
      </w:pPr>
      <w:r w:rsidRPr="00774794">
        <w:rPr>
          <w:sz w:val="22"/>
          <w:szCs w:val="22"/>
        </w:rPr>
        <w:t>Cesty I. triedy sú dôležité pre medzinárodnú a</w:t>
      </w:r>
      <w:r>
        <w:rPr>
          <w:sz w:val="22"/>
          <w:szCs w:val="22"/>
        </w:rPr>
        <w:t> </w:t>
      </w:r>
      <w:r w:rsidRPr="00774794">
        <w:rPr>
          <w:sz w:val="22"/>
          <w:szCs w:val="22"/>
        </w:rPr>
        <w:t>celoštátnu cestnú dopravu, vzájomné prepojenia regiónov, sídiel samosprávnych krajov, okresov</w:t>
      </w:r>
      <w:r>
        <w:rPr>
          <w:sz w:val="22"/>
          <w:szCs w:val="22"/>
        </w:rPr>
        <w:t xml:space="preserve"> a </w:t>
      </w:r>
      <w:r w:rsidRPr="00774794">
        <w:rPr>
          <w:sz w:val="22"/>
          <w:szCs w:val="22"/>
        </w:rPr>
        <w:t>prepojenia s</w:t>
      </w:r>
      <w:r>
        <w:rPr>
          <w:sz w:val="22"/>
          <w:szCs w:val="22"/>
        </w:rPr>
        <w:t> </w:t>
      </w:r>
      <w:r w:rsidRPr="00774794">
        <w:rPr>
          <w:sz w:val="22"/>
          <w:szCs w:val="22"/>
        </w:rPr>
        <w:t>ce</w:t>
      </w:r>
      <w:r>
        <w:rPr>
          <w:sz w:val="22"/>
          <w:szCs w:val="22"/>
        </w:rPr>
        <w:t>stnou sieťou susedných krajín.</w:t>
      </w:r>
      <w:r w:rsidR="00C57196">
        <w:rPr>
          <w:sz w:val="22"/>
          <w:szCs w:val="22"/>
        </w:rPr>
        <w:t xml:space="preserve"> </w:t>
      </w:r>
      <w:r>
        <w:rPr>
          <w:sz w:val="22"/>
          <w:szCs w:val="22"/>
        </w:rPr>
        <w:t>Dopravný, hospodársky i </w:t>
      </w:r>
      <w:r w:rsidRPr="00774794">
        <w:rPr>
          <w:sz w:val="22"/>
          <w:szCs w:val="22"/>
        </w:rPr>
        <w:t>spoločenský význam ciest I. triedy deklarujú dosahované dopravné výkony, intenzity dopravy, skladba dopravného prúdu a</w:t>
      </w:r>
      <w:r>
        <w:rPr>
          <w:sz w:val="22"/>
          <w:szCs w:val="22"/>
        </w:rPr>
        <w:t> </w:t>
      </w:r>
      <w:r w:rsidRPr="00774794">
        <w:rPr>
          <w:sz w:val="22"/>
          <w:szCs w:val="22"/>
        </w:rPr>
        <w:t>ich podiel z</w:t>
      </w:r>
      <w:r>
        <w:rPr>
          <w:sz w:val="22"/>
          <w:szCs w:val="22"/>
        </w:rPr>
        <w:t> </w:t>
      </w:r>
      <w:r w:rsidRPr="00774794">
        <w:rPr>
          <w:sz w:val="22"/>
          <w:szCs w:val="22"/>
        </w:rPr>
        <w:t>celoštátnych ukazovateľov dosahovaných na celej cestnej sieti. Z</w:t>
      </w:r>
      <w:r>
        <w:rPr>
          <w:sz w:val="22"/>
          <w:szCs w:val="22"/>
        </w:rPr>
        <w:t> </w:t>
      </w:r>
      <w:r w:rsidRPr="00774794">
        <w:rPr>
          <w:sz w:val="22"/>
          <w:szCs w:val="22"/>
        </w:rPr>
        <w:t>doterajšieho vývoja je zrejmé, že cesty I. triedy majú a</w:t>
      </w:r>
      <w:r>
        <w:rPr>
          <w:sz w:val="22"/>
          <w:szCs w:val="22"/>
        </w:rPr>
        <w:t> </w:t>
      </w:r>
      <w:r w:rsidRPr="00774794">
        <w:rPr>
          <w:sz w:val="22"/>
          <w:szCs w:val="22"/>
        </w:rPr>
        <w:t>budú mať i</w:t>
      </w:r>
      <w:r w:rsidR="00DF263C">
        <w:rPr>
          <w:sz w:val="22"/>
          <w:szCs w:val="22"/>
        </w:rPr>
        <w:t> po </w:t>
      </w:r>
      <w:r w:rsidRPr="00774794">
        <w:rPr>
          <w:sz w:val="22"/>
          <w:szCs w:val="22"/>
        </w:rPr>
        <w:t xml:space="preserve">vybudovaní celej plánovanej sieti </w:t>
      </w:r>
      <w:r>
        <w:rPr>
          <w:sz w:val="22"/>
          <w:szCs w:val="22"/>
        </w:rPr>
        <w:t>diaľnic a rýchlostných ciest</w:t>
      </w:r>
      <w:r w:rsidRPr="00774794">
        <w:rPr>
          <w:sz w:val="22"/>
          <w:szCs w:val="22"/>
        </w:rPr>
        <w:t xml:space="preserve"> nezastupiteľnú dopravnú funkciu</w:t>
      </w:r>
      <w:r>
        <w:rPr>
          <w:sz w:val="22"/>
          <w:szCs w:val="22"/>
        </w:rPr>
        <w:t>.</w:t>
      </w:r>
      <w:r w:rsidR="00DF263C">
        <w:rPr>
          <w:sz w:val="22"/>
          <w:szCs w:val="22"/>
        </w:rPr>
        <w:t xml:space="preserve"> Potreba podpory výstavby a modernizácie ciest I. triedy vypl</w:t>
      </w:r>
      <w:r w:rsidR="007E69E9">
        <w:rPr>
          <w:sz w:val="22"/>
          <w:szCs w:val="22"/>
        </w:rPr>
        <w:t>ýva predovšetkým z nedostatočne</w:t>
      </w:r>
      <w:r w:rsidR="00DF263C">
        <w:rPr>
          <w:sz w:val="22"/>
          <w:szCs w:val="22"/>
        </w:rPr>
        <w:t xml:space="preserve">j </w:t>
      </w:r>
      <w:r w:rsidR="007E69E9">
        <w:rPr>
          <w:sz w:val="22"/>
          <w:szCs w:val="22"/>
        </w:rPr>
        <w:t>kapacity cestných ťahov vedúcej k</w:t>
      </w:r>
      <w:r w:rsidR="00DF263C">
        <w:rPr>
          <w:sz w:val="22"/>
          <w:szCs w:val="22"/>
        </w:rPr>
        <w:t xml:space="preserve"> </w:t>
      </w:r>
      <w:r w:rsidR="00DF263C" w:rsidRPr="008327A8">
        <w:rPr>
          <w:sz w:val="22"/>
          <w:szCs w:val="22"/>
        </w:rPr>
        <w:t>pre</w:t>
      </w:r>
      <w:r w:rsidR="007E69E9">
        <w:rPr>
          <w:sz w:val="22"/>
          <w:szCs w:val="22"/>
        </w:rPr>
        <w:t>kračovaniu</w:t>
      </w:r>
      <w:r w:rsidR="00DF263C">
        <w:rPr>
          <w:sz w:val="22"/>
          <w:szCs w:val="22"/>
        </w:rPr>
        <w:t xml:space="preserve"> prípustných intenzít</w:t>
      </w:r>
      <w:r w:rsidR="007E69E9">
        <w:rPr>
          <w:sz w:val="22"/>
          <w:szCs w:val="22"/>
        </w:rPr>
        <w:t>,</w:t>
      </w:r>
      <w:r w:rsidR="00DF263C">
        <w:rPr>
          <w:sz w:val="22"/>
          <w:szCs w:val="22"/>
        </w:rPr>
        <w:t xml:space="preserve"> čím dochádza k</w:t>
      </w:r>
      <w:r w:rsidR="007E69E9">
        <w:rPr>
          <w:sz w:val="22"/>
          <w:szCs w:val="22"/>
        </w:rPr>
        <w:t> </w:t>
      </w:r>
      <w:r w:rsidR="00DF263C">
        <w:rPr>
          <w:sz w:val="22"/>
          <w:szCs w:val="22"/>
        </w:rPr>
        <w:t>ich</w:t>
      </w:r>
      <w:r w:rsidR="007E69E9">
        <w:rPr>
          <w:sz w:val="22"/>
          <w:szCs w:val="22"/>
        </w:rPr>
        <w:t xml:space="preserve"> nadmernej</w:t>
      </w:r>
      <w:r w:rsidR="00DF263C">
        <w:rPr>
          <w:sz w:val="22"/>
          <w:szCs w:val="22"/>
        </w:rPr>
        <w:t xml:space="preserve"> degradácii</w:t>
      </w:r>
      <w:r w:rsidR="00DF263C" w:rsidRPr="008327A8">
        <w:rPr>
          <w:sz w:val="22"/>
          <w:szCs w:val="22"/>
        </w:rPr>
        <w:t xml:space="preserve"> </w:t>
      </w:r>
      <w:r w:rsidR="00DF263C">
        <w:rPr>
          <w:sz w:val="22"/>
          <w:szCs w:val="22"/>
        </w:rPr>
        <w:t>(v</w:t>
      </w:r>
      <w:r w:rsidR="00DF263C" w:rsidRPr="00EE1FCF">
        <w:rPr>
          <w:sz w:val="22"/>
          <w:szCs w:val="22"/>
        </w:rPr>
        <w:t xml:space="preserve"> roku 2012 bola prekročená prípustná intenzita na cestách I. triedy v e</w:t>
      </w:r>
      <w:r w:rsidR="00D57810">
        <w:rPr>
          <w:sz w:val="22"/>
          <w:szCs w:val="22"/>
        </w:rPr>
        <w:t>xtraviláne v </w:t>
      </w:r>
      <w:r w:rsidR="00DF263C">
        <w:rPr>
          <w:sz w:val="22"/>
          <w:szCs w:val="22"/>
        </w:rPr>
        <w:t>rozsahu 358 km, t. </w:t>
      </w:r>
      <w:r w:rsidR="00DF263C" w:rsidRPr="00EE1FCF">
        <w:rPr>
          <w:sz w:val="22"/>
          <w:szCs w:val="22"/>
        </w:rPr>
        <w:t>j. 12,67 % z celkovej sčítanej dĺžk</w:t>
      </w:r>
      <w:r w:rsidR="00DF263C">
        <w:rPr>
          <w:sz w:val="22"/>
          <w:szCs w:val="22"/>
        </w:rPr>
        <w:t xml:space="preserve">y ciest I. triedy v extraviláne) </w:t>
      </w:r>
      <w:r w:rsidR="00DF263C" w:rsidRPr="008327A8">
        <w:rPr>
          <w:sz w:val="22"/>
          <w:szCs w:val="22"/>
        </w:rPr>
        <w:t>a</w:t>
      </w:r>
      <w:r w:rsidR="00DF263C">
        <w:rPr>
          <w:sz w:val="22"/>
          <w:szCs w:val="22"/>
        </w:rPr>
        <w:t>ko aj</w:t>
      </w:r>
      <w:r w:rsidR="00DF263C" w:rsidRPr="008327A8">
        <w:rPr>
          <w:sz w:val="22"/>
          <w:szCs w:val="22"/>
        </w:rPr>
        <w:t xml:space="preserve"> nevyhovujúcich stavebno-technických parametrov</w:t>
      </w:r>
      <w:r w:rsidR="00DF263C">
        <w:rPr>
          <w:sz w:val="22"/>
          <w:szCs w:val="22"/>
        </w:rPr>
        <w:t xml:space="preserve">, ktoré spôsobujú zvýšené riziko v oblasti bezpečnosti cestnej premávky. </w:t>
      </w:r>
      <w:r w:rsidR="002F56BA">
        <w:rPr>
          <w:sz w:val="22"/>
          <w:szCs w:val="22"/>
        </w:rPr>
        <w:t>Na </w:t>
      </w:r>
      <w:r w:rsidR="00DF263C" w:rsidRPr="003F758D">
        <w:rPr>
          <w:sz w:val="22"/>
          <w:szCs w:val="22"/>
        </w:rPr>
        <w:t>cestách I. triedy tvorí počet dopravných nehôd 55,3 % zo všetkých dopravných nehôd na cestných komunikáciách. Aj počet usmrtených osôb je vyšší oproti počtu usmrtených osôb na ostatných cestách a tvorí 54,6 %.</w:t>
      </w:r>
    </w:p>
    <w:p w:rsidR="00A347B6" w:rsidRPr="00BD256B" w:rsidRDefault="00A347B6" w:rsidP="00BC7446">
      <w:pPr>
        <w:autoSpaceDE w:val="0"/>
        <w:autoSpaceDN w:val="0"/>
        <w:adjustRightInd w:val="0"/>
        <w:spacing w:before="180"/>
        <w:jc w:val="both"/>
        <w:rPr>
          <w:sz w:val="22"/>
          <w:szCs w:val="22"/>
        </w:rPr>
      </w:pPr>
      <w:r>
        <w:rPr>
          <w:sz w:val="22"/>
          <w:szCs w:val="22"/>
        </w:rPr>
        <w:t>Špecifický cieľ je potrebné chápať taktiež v kontexte snahy o zlepšenie regionálnej mobility a</w:t>
      </w:r>
      <w:r w:rsidR="00BC7446">
        <w:rPr>
          <w:sz w:val="22"/>
          <w:szCs w:val="22"/>
        </w:rPr>
        <w:t xml:space="preserve"> zabezpečenie </w:t>
      </w:r>
      <w:r>
        <w:rPr>
          <w:sz w:val="22"/>
          <w:szCs w:val="22"/>
        </w:rPr>
        <w:t xml:space="preserve">prístupu </w:t>
      </w:r>
      <w:r w:rsidR="002C1CFB">
        <w:rPr>
          <w:sz w:val="22"/>
          <w:szCs w:val="22"/>
        </w:rPr>
        <w:t xml:space="preserve">obyvateľov SR </w:t>
      </w:r>
      <w:r>
        <w:rPr>
          <w:sz w:val="22"/>
          <w:szCs w:val="22"/>
        </w:rPr>
        <w:t>k TEN-T</w:t>
      </w:r>
      <w:r w:rsidR="00765170">
        <w:rPr>
          <w:sz w:val="22"/>
          <w:szCs w:val="22"/>
        </w:rPr>
        <w:t xml:space="preserve"> a jednotnému trhu</w:t>
      </w:r>
      <w:r>
        <w:rPr>
          <w:sz w:val="22"/>
          <w:szCs w:val="22"/>
        </w:rPr>
        <w:t>.</w:t>
      </w:r>
      <w:r w:rsidR="00BC7446" w:rsidRPr="00BC7446">
        <w:t xml:space="preserve"> </w:t>
      </w:r>
      <w:r w:rsidR="00BC7446" w:rsidRPr="00BC7446">
        <w:rPr>
          <w:sz w:val="22"/>
          <w:szCs w:val="22"/>
        </w:rPr>
        <w:t>Na skrátenie vzájom</w:t>
      </w:r>
      <w:r w:rsidR="002C1CFB">
        <w:rPr>
          <w:sz w:val="22"/>
          <w:szCs w:val="22"/>
        </w:rPr>
        <w:t>nej časovej dostupnosti miest a </w:t>
      </w:r>
      <w:r w:rsidR="00BC7446" w:rsidRPr="00BC7446">
        <w:rPr>
          <w:sz w:val="22"/>
          <w:szCs w:val="22"/>
        </w:rPr>
        <w:t xml:space="preserve">regiónov </w:t>
      </w:r>
      <w:r w:rsidR="00BC7446">
        <w:rPr>
          <w:sz w:val="22"/>
          <w:szCs w:val="22"/>
        </w:rPr>
        <w:t>SR je </w:t>
      </w:r>
      <w:r w:rsidR="00BC7446" w:rsidRPr="00BC7446">
        <w:rPr>
          <w:sz w:val="22"/>
          <w:szCs w:val="22"/>
        </w:rPr>
        <w:t>potrebné</w:t>
      </w:r>
      <w:r w:rsidR="00BC7446">
        <w:rPr>
          <w:sz w:val="22"/>
          <w:szCs w:val="22"/>
        </w:rPr>
        <w:t xml:space="preserve"> </w:t>
      </w:r>
      <w:r w:rsidR="00BC7446" w:rsidRPr="00BC7446">
        <w:rPr>
          <w:sz w:val="22"/>
          <w:szCs w:val="22"/>
        </w:rPr>
        <w:t>budovanie obchvatov a preložiek cie</w:t>
      </w:r>
      <w:r w:rsidR="00765170">
        <w:rPr>
          <w:sz w:val="22"/>
          <w:szCs w:val="22"/>
        </w:rPr>
        <w:t>st I. triedy, najmä v </w:t>
      </w:r>
      <w:r w:rsidR="002C1CFB">
        <w:rPr>
          <w:sz w:val="22"/>
          <w:szCs w:val="22"/>
        </w:rPr>
        <w:t>úsekoch s </w:t>
      </w:r>
      <w:r w:rsidR="00BC7446" w:rsidRPr="00BC7446">
        <w:rPr>
          <w:sz w:val="22"/>
          <w:szCs w:val="22"/>
        </w:rPr>
        <w:t>nevyhovujúcimi technickými</w:t>
      </w:r>
      <w:r w:rsidR="00BC7446">
        <w:rPr>
          <w:sz w:val="22"/>
          <w:szCs w:val="22"/>
        </w:rPr>
        <w:t xml:space="preserve"> </w:t>
      </w:r>
      <w:r w:rsidR="00BC7446" w:rsidRPr="00BC7446">
        <w:rPr>
          <w:sz w:val="22"/>
          <w:szCs w:val="22"/>
        </w:rPr>
        <w:t>a kapacitnými parame</w:t>
      </w:r>
      <w:r w:rsidR="00765170">
        <w:rPr>
          <w:sz w:val="22"/>
          <w:szCs w:val="22"/>
        </w:rPr>
        <w:t>trami a tam, kde sa neuvažuje s </w:t>
      </w:r>
      <w:r w:rsidR="00BC7446" w:rsidRPr="00BC7446">
        <w:rPr>
          <w:sz w:val="22"/>
          <w:szCs w:val="22"/>
        </w:rPr>
        <w:t>trasovaním ťahov TEN-T</w:t>
      </w:r>
      <w:r w:rsidR="00BC7446">
        <w:rPr>
          <w:sz w:val="22"/>
          <w:szCs w:val="22"/>
        </w:rPr>
        <w:t>.</w:t>
      </w:r>
    </w:p>
    <w:p w:rsidR="007F7347" w:rsidRPr="001B2070" w:rsidRDefault="007F7347" w:rsidP="001B2070">
      <w:pPr>
        <w:spacing w:before="180" w:after="120"/>
        <w:rPr>
          <w:rFonts w:ascii="Arial Narrow" w:hAnsi="Arial Narrow"/>
          <w:b/>
          <w:i/>
          <w:color w:val="548DD4" w:themeColor="text2" w:themeTint="99"/>
          <w:sz w:val="22"/>
          <w:szCs w:val="22"/>
        </w:rPr>
      </w:pPr>
      <w:r w:rsidRPr="001B2070">
        <w:rPr>
          <w:rFonts w:ascii="Arial Narrow" w:hAnsi="Arial Narrow"/>
          <w:b/>
          <w:i/>
          <w:color w:val="548DD4" w:themeColor="text2" w:themeTint="99"/>
          <w:sz w:val="22"/>
          <w:szCs w:val="22"/>
        </w:rPr>
        <w:t>VÝSLEDKY</w:t>
      </w:r>
    </w:p>
    <w:p w:rsidR="001124FB" w:rsidRPr="001124FB" w:rsidRDefault="001124FB" w:rsidP="00FE6025">
      <w:pPr>
        <w:pStyle w:val="Odsekzoznamu"/>
        <w:numPr>
          <w:ilvl w:val="0"/>
          <w:numId w:val="50"/>
        </w:numPr>
        <w:autoSpaceDE w:val="0"/>
        <w:autoSpaceDN w:val="0"/>
        <w:adjustRightInd w:val="0"/>
        <w:ind w:hanging="436"/>
        <w:jc w:val="both"/>
        <w:rPr>
          <w:sz w:val="22"/>
          <w:szCs w:val="22"/>
        </w:rPr>
      </w:pPr>
      <w:r>
        <w:rPr>
          <w:sz w:val="22"/>
          <w:szCs w:val="22"/>
        </w:rPr>
        <w:t xml:space="preserve">zvýšenie kapacity </w:t>
      </w:r>
      <w:r w:rsidR="0047755C">
        <w:rPr>
          <w:sz w:val="22"/>
          <w:szCs w:val="22"/>
        </w:rPr>
        <w:t>ciest I. triedy na exponovaných úsekoch</w:t>
      </w:r>
      <w:r>
        <w:rPr>
          <w:sz w:val="22"/>
          <w:szCs w:val="22"/>
        </w:rPr>
        <w:t>,</w:t>
      </w:r>
    </w:p>
    <w:p w:rsidR="006C1D08" w:rsidRDefault="006C1D08" w:rsidP="00FE6025">
      <w:pPr>
        <w:pStyle w:val="Odsekzoznamu"/>
        <w:numPr>
          <w:ilvl w:val="0"/>
          <w:numId w:val="50"/>
        </w:numPr>
        <w:autoSpaceDE w:val="0"/>
        <w:autoSpaceDN w:val="0"/>
        <w:adjustRightInd w:val="0"/>
        <w:ind w:left="709" w:hanging="425"/>
        <w:jc w:val="both"/>
        <w:rPr>
          <w:sz w:val="22"/>
          <w:szCs w:val="22"/>
        </w:rPr>
      </w:pPr>
      <w:r>
        <w:rPr>
          <w:sz w:val="22"/>
          <w:szCs w:val="22"/>
        </w:rPr>
        <w:t xml:space="preserve">zvýšenie bezpečnosti cestnej premávky a zníženie nehodovosti, </w:t>
      </w:r>
    </w:p>
    <w:p w:rsidR="006C1D08" w:rsidRDefault="006C1D08" w:rsidP="00FE6025">
      <w:pPr>
        <w:pStyle w:val="Odsekzoznamu"/>
        <w:numPr>
          <w:ilvl w:val="0"/>
          <w:numId w:val="50"/>
        </w:numPr>
        <w:autoSpaceDE w:val="0"/>
        <w:autoSpaceDN w:val="0"/>
        <w:adjustRightInd w:val="0"/>
        <w:ind w:left="709" w:hanging="425"/>
        <w:jc w:val="both"/>
        <w:rPr>
          <w:sz w:val="22"/>
          <w:szCs w:val="22"/>
        </w:rPr>
      </w:pPr>
      <w:r>
        <w:rPr>
          <w:sz w:val="22"/>
          <w:szCs w:val="22"/>
        </w:rPr>
        <w:t xml:space="preserve">zníženie negatívnych vplyvov na životné prostredie (zníženie </w:t>
      </w:r>
      <w:r w:rsidR="001124FB">
        <w:rPr>
          <w:sz w:val="22"/>
          <w:szCs w:val="22"/>
        </w:rPr>
        <w:t>hluku, emisií, vibrácií, prašnosti a pod.</w:t>
      </w:r>
      <w:r>
        <w:rPr>
          <w:sz w:val="22"/>
          <w:szCs w:val="22"/>
        </w:rPr>
        <w:t xml:space="preserve"> v intraviláne miest a obcí),</w:t>
      </w:r>
    </w:p>
    <w:p w:rsidR="006C1D08" w:rsidRDefault="006C1D08" w:rsidP="00FE6025">
      <w:pPr>
        <w:pStyle w:val="Odsekzoznamu"/>
        <w:numPr>
          <w:ilvl w:val="0"/>
          <w:numId w:val="50"/>
        </w:numPr>
        <w:autoSpaceDE w:val="0"/>
        <w:autoSpaceDN w:val="0"/>
        <w:adjustRightInd w:val="0"/>
        <w:ind w:left="709" w:hanging="425"/>
        <w:jc w:val="both"/>
        <w:rPr>
          <w:sz w:val="22"/>
          <w:szCs w:val="22"/>
        </w:rPr>
      </w:pPr>
      <w:r>
        <w:rPr>
          <w:sz w:val="22"/>
          <w:szCs w:val="22"/>
        </w:rPr>
        <w:t>zníženie časových strát a prevádzkových nákladov,</w:t>
      </w:r>
    </w:p>
    <w:p w:rsidR="002F56BA" w:rsidRPr="00A837FB" w:rsidRDefault="006C1D08" w:rsidP="002F56BA">
      <w:pPr>
        <w:pStyle w:val="Odsekzoznamu"/>
        <w:numPr>
          <w:ilvl w:val="0"/>
          <w:numId w:val="50"/>
        </w:numPr>
        <w:autoSpaceDE w:val="0"/>
        <w:autoSpaceDN w:val="0"/>
        <w:adjustRightInd w:val="0"/>
        <w:ind w:left="709" w:hanging="425"/>
        <w:jc w:val="both"/>
        <w:rPr>
          <w:snapToGrid w:val="0"/>
          <w:sz w:val="22"/>
          <w:szCs w:val="23"/>
          <w:lang w:eastAsia="cs-CZ"/>
        </w:rPr>
      </w:pPr>
      <w:r w:rsidRPr="00B715C0">
        <w:rPr>
          <w:sz w:val="22"/>
          <w:szCs w:val="22"/>
        </w:rPr>
        <w:lastRenderedPageBreak/>
        <w:t>vytváranie predpokladov pre zvýšenie konkurencieschopnosti regiónov</w:t>
      </w:r>
      <w:r>
        <w:rPr>
          <w:sz w:val="22"/>
          <w:szCs w:val="22"/>
        </w:rPr>
        <w:t>, zlepšenia mobility obyvateľstva</w:t>
      </w:r>
      <w:r w:rsidRPr="00B715C0">
        <w:rPr>
          <w:sz w:val="22"/>
          <w:szCs w:val="22"/>
        </w:rPr>
        <w:t xml:space="preserve"> a potenciálu </w:t>
      </w:r>
      <w:r w:rsidR="002F56BA">
        <w:rPr>
          <w:sz w:val="22"/>
          <w:szCs w:val="22"/>
        </w:rPr>
        <w:t>rastu zamestnanosti</w:t>
      </w:r>
      <w:r>
        <w:rPr>
          <w:sz w:val="22"/>
          <w:szCs w:val="22"/>
        </w:rPr>
        <w:t>.</w:t>
      </w:r>
    </w:p>
    <w:p w:rsidR="00A837FB" w:rsidRDefault="007F7347" w:rsidP="00A837FB">
      <w:pPr>
        <w:pStyle w:val="Tab"/>
      </w:pPr>
      <w:r w:rsidRPr="004F0234">
        <w:t>Výsledkové ukazovatele zodpovedajúce špecifickému cieľu</w:t>
      </w:r>
      <w:r w:rsidR="003D6170">
        <w:t xml:space="preserve"> 6.2</w:t>
      </w:r>
    </w:p>
    <w:tbl>
      <w:tblPr>
        <w:tblStyle w:val="Mriekatabuky"/>
        <w:tblW w:w="928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71"/>
        <w:gridCol w:w="1668"/>
        <w:gridCol w:w="897"/>
        <w:gridCol w:w="986"/>
        <w:gridCol w:w="1297"/>
        <w:gridCol w:w="1297"/>
        <w:gridCol w:w="847"/>
        <w:gridCol w:w="747"/>
        <w:gridCol w:w="1177"/>
      </w:tblGrid>
      <w:tr w:rsidR="00A837FB" w:rsidRPr="008C1732" w:rsidTr="002E1021">
        <w:trPr>
          <w:trHeight w:val="487"/>
          <w:jc w:val="center"/>
        </w:trPr>
        <w:tc>
          <w:tcPr>
            <w:tcW w:w="368" w:type="dxa"/>
            <w:shd w:val="clear" w:color="auto" w:fill="C6D9F1" w:themeFill="text2" w:themeFillTint="33"/>
            <w:vAlign w:val="center"/>
          </w:tcPr>
          <w:p w:rsidR="00A837FB" w:rsidRPr="008C1732" w:rsidRDefault="00A837FB" w:rsidP="00816B1A">
            <w:pPr>
              <w:ind w:left="0"/>
              <w:jc w:val="center"/>
              <w:rPr>
                <w:b/>
                <w:sz w:val="18"/>
                <w:szCs w:val="18"/>
              </w:rPr>
            </w:pPr>
            <w:r>
              <w:rPr>
                <w:b/>
                <w:sz w:val="18"/>
                <w:szCs w:val="18"/>
              </w:rPr>
              <w:t>P. č.</w:t>
            </w:r>
          </w:p>
        </w:tc>
        <w:tc>
          <w:tcPr>
            <w:tcW w:w="1818"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Ukazovateľ</w:t>
            </w:r>
          </w:p>
        </w:tc>
        <w:tc>
          <w:tcPr>
            <w:tcW w:w="880"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Merná jednotka</w:t>
            </w:r>
          </w:p>
        </w:tc>
        <w:tc>
          <w:tcPr>
            <w:tcW w:w="966"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Kategória regiónu</w:t>
            </w:r>
          </w:p>
        </w:tc>
        <w:tc>
          <w:tcPr>
            <w:tcW w:w="1269" w:type="dxa"/>
            <w:shd w:val="clear" w:color="auto" w:fill="C6D9F1" w:themeFill="text2" w:themeFillTint="33"/>
            <w:vAlign w:val="center"/>
          </w:tcPr>
          <w:p w:rsidR="00A837FB" w:rsidRPr="008C1732" w:rsidRDefault="00A837FB" w:rsidP="00816B1A">
            <w:pPr>
              <w:ind w:left="0"/>
              <w:jc w:val="center"/>
              <w:rPr>
                <w:b/>
                <w:sz w:val="18"/>
                <w:szCs w:val="18"/>
              </w:rPr>
            </w:pPr>
            <w:r>
              <w:rPr>
                <w:b/>
                <w:sz w:val="18"/>
                <w:szCs w:val="18"/>
              </w:rPr>
              <w:t>Východisková hodnota</w:t>
            </w:r>
          </w:p>
        </w:tc>
        <w:tc>
          <w:tcPr>
            <w:tcW w:w="1269" w:type="dxa"/>
            <w:shd w:val="clear" w:color="auto" w:fill="C6D9F1" w:themeFill="text2" w:themeFillTint="33"/>
            <w:vAlign w:val="center"/>
          </w:tcPr>
          <w:p w:rsidR="00A837FB" w:rsidRPr="008C1732" w:rsidRDefault="00A837FB" w:rsidP="00816B1A">
            <w:pPr>
              <w:ind w:left="0"/>
              <w:jc w:val="center"/>
              <w:rPr>
                <w:b/>
                <w:sz w:val="18"/>
                <w:szCs w:val="18"/>
              </w:rPr>
            </w:pPr>
            <w:r>
              <w:rPr>
                <w:b/>
                <w:sz w:val="18"/>
                <w:szCs w:val="18"/>
              </w:rPr>
              <w:t>Východiskový rok</w:t>
            </w:r>
          </w:p>
        </w:tc>
        <w:tc>
          <w:tcPr>
            <w:tcW w:w="831"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Cieľová hodnota (2023)</w:t>
            </w:r>
          </w:p>
        </w:tc>
        <w:tc>
          <w:tcPr>
            <w:tcW w:w="733"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Zdroj údajov</w:t>
            </w:r>
          </w:p>
        </w:tc>
        <w:tc>
          <w:tcPr>
            <w:tcW w:w="1153" w:type="dxa"/>
            <w:shd w:val="clear" w:color="auto" w:fill="C6D9F1" w:themeFill="text2" w:themeFillTint="33"/>
            <w:vAlign w:val="center"/>
          </w:tcPr>
          <w:p w:rsidR="00A837FB" w:rsidRPr="008C1732" w:rsidRDefault="00A837FB" w:rsidP="00816B1A">
            <w:pPr>
              <w:ind w:left="0"/>
              <w:jc w:val="center"/>
              <w:rPr>
                <w:b/>
                <w:sz w:val="18"/>
                <w:szCs w:val="18"/>
              </w:rPr>
            </w:pPr>
            <w:r w:rsidRPr="008C1732">
              <w:rPr>
                <w:b/>
                <w:sz w:val="18"/>
                <w:szCs w:val="18"/>
              </w:rPr>
              <w:t>Frekvencia vykazovania</w:t>
            </w:r>
          </w:p>
        </w:tc>
      </w:tr>
      <w:tr w:rsidR="00A837FB" w:rsidRPr="00AB18C1" w:rsidTr="002E1021">
        <w:trPr>
          <w:trHeight w:val="680"/>
          <w:jc w:val="center"/>
        </w:trPr>
        <w:tc>
          <w:tcPr>
            <w:tcW w:w="368" w:type="dxa"/>
            <w:shd w:val="clear" w:color="auto" w:fill="auto"/>
            <w:vAlign w:val="center"/>
          </w:tcPr>
          <w:p w:rsidR="00A837FB" w:rsidRPr="00336C1F" w:rsidRDefault="00A837FB" w:rsidP="00816B1A">
            <w:pPr>
              <w:ind w:left="0"/>
              <w:jc w:val="center"/>
              <w:rPr>
                <w:sz w:val="20"/>
                <w:szCs w:val="20"/>
              </w:rPr>
            </w:pPr>
            <w:r>
              <w:rPr>
                <w:sz w:val="20"/>
                <w:szCs w:val="20"/>
              </w:rPr>
              <w:t>1.</w:t>
            </w:r>
          </w:p>
        </w:tc>
        <w:tc>
          <w:tcPr>
            <w:tcW w:w="1818" w:type="dxa"/>
            <w:shd w:val="clear" w:color="auto" w:fill="auto"/>
            <w:vAlign w:val="center"/>
          </w:tcPr>
          <w:p w:rsidR="00A837FB" w:rsidRPr="00336C1F" w:rsidRDefault="00A837FB" w:rsidP="00816B1A">
            <w:pPr>
              <w:ind w:left="0"/>
              <w:rPr>
                <w:sz w:val="20"/>
                <w:szCs w:val="20"/>
              </w:rPr>
            </w:pPr>
            <w:r w:rsidRPr="00AF56C3">
              <w:rPr>
                <w:sz w:val="20"/>
                <w:szCs w:val="20"/>
              </w:rPr>
              <w:t>Úspora času v cestnej doprav</w:t>
            </w:r>
            <w:r w:rsidR="00D65B44">
              <w:rPr>
                <w:sz w:val="20"/>
                <w:szCs w:val="20"/>
              </w:rPr>
              <w:t xml:space="preserve">e na </w:t>
            </w:r>
            <w:r>
              <w:rPr>
                <w:sz w:val="20"/>
                <w:szCs w:val="20"/>
              </w:rPr>
              <w:t>cestách I. </w:t>
            </w:r>
            <w:r w:rsidRPr="00AF56C3">
              <w:rPr>
                <w:sz w:val="20"/>
                <w:szCs w:val="20"/>
              </w:rPr>
              <w:t>triedy</w:t>
            </w:r>
          </w:p>
        </w:tc>
        <w:tc>
          <w:tcPr>
            <w:tcW w:w="880" w:type="dxa"/>
            <w:shd w:val="clear" w:color="auto" w:fill="auto"/>
            <w:vAlign w:val="center"/>
          </w:tcPr>
          <w:p w:rsidR="00A837FB" w:rsidRPr="00AB18C1" w:rsidRDefault="00A837FB" w:rsidP="00816B1A">
            <w:pPr>
              <w:ind w:left="0"/>
              <w:jc w:val="center"/>
              <w:rPr>
                <w:sz w:val="20"/>
                <w:szCs w:val="20"/>
              </w:rPr>
            </w:pPr>
            <w:r w:rsidRPr="00AB18C1">
              <w:rPr>
                <w:sz w:val="20"/>
                <w:szCs w:val="20"/>
              </w:rPr>
              <w:t>EUR</w:t>
            </w:r>
          </w:p>
        </w:tc>
        <w:tc>
          <w:tcPr>
            <w:tcW w:w="966" w:type="dxa"/>
            <w:shd w:val="clear" w:color="auto" w:fill="auto"/>
            <w:vAlign w:val="center"/>
          </w:tcPr>
          <w:p w:rsidR="00A837FB" w:rsidRPr="00AB18C1" w:rsidRDefault="00A837FB" w:rsidP="00816B1A">
            <w:pPr>
              <w:ind w:left="0"/>
              <w:jc w:val="center"/>
              <w:rPr>
                <w:sz w:val="20"/>
                <w:szCs w:val="20"/>
              </w:rPr>
            </w:pPr>
            <w:r w:rsidRPr="00AB18C1">
              <w:rPr>
                <w:sz w:val="20"/>
                <w:szCs w:val="20"/>
              </w:rPr>
              <w:t>N/A</w:t>
            </w:r>
          </w:p>
        </w:tc>
        <w:tc>
          <w:tcPr>
            <w:tcW w:w="1269" w:type="dxa"/>
            <w:vAlign w:val="center"/>
          </w:tcPr>
          <w:p w:rsidR="00A837FB" w:rsidRPr="00AB18C1" w:rsidRDefault="00A837FB" w:rsidP="00816B1A">
            <w:pPr>
              <w:jc w:val="center"/>
              <w:rPr>
                <w:sz w:val="20"/>
                <w:szCs w:val="20"/>
              </w:rPr>
            </w:pPr>
          </w:p>
        </w:tc>
        <w:tc>
          <w:tcPr>
            <w:tcW w:w="1269" w:type="dxa"/>
            <w:vAlign w:val="center"/>
          </w:tcPr>
          <w:p w:rsidR="00A837FB" w:rsidRPr="00AB18C1" w:rsidRDefault="00A837FB" w:rsidP="00816B1A">
            <w:pPr>
              <w:ind w:left="0"/>
              <w:jc w:val="center"/>
              <w:rPr>
                <w:sz w:val="20"/>
                <w:szCs w:val="20"/>
              </w:rPr>
            </w:pPr>
            <w:r w:rsidRPr="00AB18C1">
              <w:rPr>
                <w:sz w:val="20"/>
                <w:szCs w:val="20"/>
              </w:rPr>
              <w:t>2013</w:t>
            </w:r>
          </w:p>
        </w:tc>
        <w:tc>
          <w:tcPr>
            <w:tcW w:w="831" w:type="dxa"/>
            <w:shd w:val="clear" w:color="auto" w:fill="auto"/>
            <w:vAlign w:val="center"/>
          </w:tcPr>
          <w:p w:rsidR="00A837FB" w:rsidRPr="00AB18C1" w:rsidRDefault="00A837FB" w:rsidP="00816B1A">
            <w:pPr>
              <w:ind w:left="0"/>
              <w:jc w:val="center"/>
              <w:rPr>
                <w:sz w:val="20"/>
                <w:szCs w:val="20"/>
              </w:rPr>
            </w:pPr>
          </w:p>
        </w:tc>
        <w:tc>
          <w:tcPr>
            <w:tcW w:w="733" w:type="dxa"/>
            <w:vAlign w:val="center"/>
          </w:tcPr>
          <w:p w:rsidR="00A837FB" w:rsidRPr="00AB18C1" w:rsidRDefault="00A837FB" w:rsidP="00816B1A">
            <w:pPr>
              <w:ind w:left="0"/>
              <w:jc w:val="center"/>
              <w:rPr>
                <w:sz w:val="20"/>
                <w:szCs w:val="20"/>
              </w:rPr>
            </w:pPr>
            <w:r w:rsidRPr="00AB18C1">
              <w:rPr>
                <w:sz w:val="20"/>
                <w:szCs w:val="20"/>
              </w:rPr>
              <w:t>RO OPII</w:t>
            </w:r>
          </w:p>
        </w:tc>
        <w:tc>
          <w:tcPr>
            <w:tcW w:w="1153" w:type="dxa"/>
            <w:vAlign w:val="center"/>
          </w:tcPr>
          <w:p w:rsidR="00A837FB" w:rsidRPr="00AB18C1" w:rsidRDefault="00A837FB" w:rsidP="00816B1A">
            <w:pPr>
              <w:ind w:left="0"/>
              <w:jc w:val="center"/>
              <w:rPr>
                <w:sz w:val="20"/>
                <w:szCs w:val="20"/>
              </w:rPr>
            </w:pPr>
            <w:r w:rsidRPr="00AB18C1">
              <w:rPr>
                <w:sz w:val="20"/>
                <w:szCs w:val="20"/>
              </w:rPr>
              <w:t>Ročne</w:t>
            </w:r>
          </w:p>
        </w:tc>
      </w:tr>
      <w:tr w:rsidR="00A837FB" w:rsidRPr="00AB18C1" w:rsidTr="002E1021">
        <w:trPr>
          <w:trHeight w:val="680"/>
          <w:jc w:val="center"/>
        </w:trPr>
        <w:tc>
          <w:tcPr>
            <w:tcW w:w="368" w:type="dxa"/>
            <w:shd w:val="clear" w:color="auto" w:fill="auto"/>
            <w:vAlign w:val="center"/>
          </w:tcPr>
          <w:p w:rsidR="00A837FB" w:rsidRPr="00336C1F" w:rsidRDefault="00A837FB" w:rsidP="00816B1A">
            <w:pPr>
              <w:ind w:left="0"/>
              <w:jc w:val="center"/>
              <w:rPr>
                <w:sz w:val="20"/>
                <w:szCs w:val="20"/>
              </w:rPr>
            </w:pPr>
            <w:r>
              <w:rPr>
                <w:sz w:val="20"/>
                <w:szCs w:val="20"/>
              </w:rPr>
              <w:t>2.</w:t>
            </w:r>
          </w:p>
        </w:tc>
        <w:tc>
          <w:tcPr>
            <w:tcW w:w="1818" w:type="dxa"/>
            <w:shd w:val="clear" w:color="auto" w:fill="auto"/>
            <w:vAlign w:val="center"/>
          </w:tcPr>
          <w:p w:rsidR="00A837FB" w:rsidRPr="00AF56C3" w:rsidRDefault="00D65B44" w:rsidP="00A837FB">
            <w:pPr>
              <w:ind w:left="0"/>
              <w:rPr>
                <w:sz w:val="20"/>
                <w:szCs w:val="20"/>
              </w:rPr>
            </w:pPr>
            <w:r>
              <w:rPr>
                <w:sz w:val="20"/>
                <w:szCs w:val="20"/>
              </w:rPr>
              <w:t>Podiel</w:t>
            </w:r>
            <w:r w:rsidR="00A837FB">
              <w:rPr>
                <w:sz w:val="20"/>
                <w:szCs w:val="20"/>
              </w:rPr>
              <w:t xml:space="preserve"> ciest I. </w:t>
            </w:r>
            <w:r w:rsidR="00A837FB" w:rsidRPr="00AF56C3">
              <w:rPr>
                <w:sz w:val="20"/>
                <w:szCs w:val="20"/>
              </w:rPr>
              <w:t>triedy</w:t>
            </w:r>
            <w:r w:rsidR="00A837FB">
              <w:rPr>
                <w:sz w:val="20"/>
                <w:szCs w:val="20"/>
              </w:rPr>
              <w:t xml:space="preserve"> v nevyhovujúcom stavebno</w:t>
            </w:r>
            <w:r>
              <w:rPr>
                <w:sz w:val="20"/>
                <w:szCs w:val="20"/>
              </w:rPr>
              <w:t>-</w:t>
            </w:r>
            <w:r w:rsidR="00A837FB">
              <w:rPr>
                <w:sz w:val="20"/>
                <w:szCs w:val="20"/>
              </w:rPr>
              <w:t>technickom stave</w:t>
            </w:r>
          </w:p>
        </w:tc>
        <w:tc>
          <w:tcPr>
            <w:tcW w:w="880" w:type="dxa"/>
            <w:shd w:val="clear" w:color="auto" w:fill="auto"/>
            <w:vAlign w:val="center"/>
          </w:tcPr>
          <w:p w:rsidR="00A837FB" w:rsidRPr="00AB18C1" w:rsidRDefault="00A837FB" w:rsidP="00A837FB">
            <w:pPr>
              <w:ind w:left="0"/>
              <w:jc w:val="center"/>
              <w:rPr>
                <w:sz w:val="20"/>
                <w:szCs w:val="20"/>
              </w:rPr>
            </w:pPr>
            <w:r>
              <w:rPr>
                <w:sz w:val="20"/>
                <w:szCs w:val="20"/>
              </w:rPr>
              <w:t>%</w:t>
            </w:r>
          </w:p>
        </w:tc>
        <w:tc>
          <w:tcPr>
            <w:tcW w:w="966" w:type="dxa"/>
            <w:shd w:val="clear" w:color="auto" w:fill="auto"/>
            <w:vAlign w:val="center"/>
          </w:tcPr>
          <w:p w:rsidR="00A837FB" w:rsidRPr="00AB18C1" w:rsidRDefault="00A837FB" w:rsidP="00816B1A">
            <w:pPr>
              <w:ind w:left="0"/>
              <w:jc w:val="center"/>
              <w:rPr>
                <w:sz w:val="20"/>
                <w:szCs w:val="20"/>
              </w:rPr>
            </w:pPr>
            <w:r w:rsidRPr="00AB18C1">
              <w:rPr>
                <w:sz w:val="20"/>
                <w:szCs w:val="20"/>
              </w:rPr>
              <w:t>N/A</w:t>
            </w:r>
          </w:p>
        </w:tc>
        <w:tc>
          <w:tcPr>
            <w:tcW w:w="1269" w:type="dxa"/>
            <w:vAlign w:val="center"/>
          </w:tcPr>
          <w:p w:rsidR="00A837FB" w:rsidRPr="00AB18C1" w:rsidRDefault="00A837FB" w:rsidP="00816B1A">
            <w:pPr>
              <w:jc w:val="center"/>
              <w:rPr>
                <w:sz w:val="20"/>
                <w:szCs w:val="20"/>
              </w:rPr>
            </w:pPr>
          </w:p>
        </w:tc>
        <w:tc>
          <w:tcPr>
            <w:tcW w:w="1269" w:type="dxa"/>
            <w:vAlign w:val="center"/>
          </w:tcPr>
          <w:p w:rsidR="00A837FB" w:rsidRPr="00AB18C1" w:rsidRDefault="00A837FB" w:rsidP="00816B1A">
            <w:pPr>
              <w:ind w:left="0"/>
              <w:jc w:val="center"/>
              <w:rPr>
                <w:sz w:val="20"/>
                <w:szCs w:val="20"/>
              </w:rPr>
            </w:pPr>
            <w:r w:rsidRPr="00AB18C1">
              <w:rPr>
                <w:sz w:val="20"/>
                <w:szCs w:val="20"/>
              </w:rPr>
              <w:t>2013</w:t>
            </w:r>
          </w:p>
        </w:tc>
        <w:tc>
          <w:tcPr>
            <w:tcW w:w="831" w:type="dxa"/>
            <w:shd w:val="clear" w:color="auto" w:fill="auto"/>
            <w:vAlign w:val="center"/>
          </w:tcPr>
          <w:p w:rsidR="00A837FB" w:rsidRPr="00AB18C1" w:rsidRDefault="00A837FB" w:rsidP="00816B1A">
            <w:pPr>
              <w:ind w:left="0"/>
              <w:jc w:val="center"/>
              <w:rPr>
                <w:sz w:val="20"/>
                <w:szCs w:val="20"/>
              </w:rPr>
            </w:pPr>
          </w:p>
        </w:tc>
        <w:tc>
          <w:tcPr>
            <w:tcW w:w="733" w:type="dxa"/>
            <w:vAlign w:val="center"/>
          </w:tcPr>
          <w:p w:rsidR="00A837FB" w:rsidRPr="00AB18C1" w:rsidRDefault="00A837FB" w:rsidP="00816B1A">
            <w:pPr>
              <w:ind w:left="0"/>
              <w:jc w:val="center"/>
              <w:rPr>
                <w:sz w:val="20"/>
                <w:szCs w:val="20"/>
              </w:rPr>
            </w:pPr>
            <w:r w:rsidRPr="00AB18C1">
              <w:rPr>
                <w:sz w:val="20"/>
                <w:szCs w:val="20"/>
              </w:rPr>
              <w:t>RO OPII</w:t>
            </w:r>
          </w:p>
        </w:tc>
        <w:tc>
          <w:tcPr>
            <w:tcW w:w="1153" w:type="dxa"/>
            <w:vAlign w:val="center"/>
          </w:tcPr>
          <w:p w:rsidR="00A837FB" w:rsidRPr="00AB18C1" w:rsidRDefault="00A837FB" w:rsidP="00816B1A">
            <w:pPr>
              <w:ind w:left="0"/>
              <w:jc w:val="center"/>
              <w:rPr>
                <w:sz w:val="20"/>
                <w:szCs w:val="20"/>
              </w:rPr>
            </w:pPr>
            <w:r w:rsidRPr="00AB18C1">
              <w:rPr>
                <w:sz w:val="20"/>
                <w:szCs w:val="20"/>
              </w:rPr>
              <w:t>Ročne</w:t>
            </w:r>
          </w:p>
        </w:tc>
      </w:tr>
    </w:tbl>
    <w:p w:rsidR="00A837FB" w:rsidRPr="00E3616E" w:rsidRDefault="00395D81" w:rsidP="00E3616E">
      <w:pPr>
        <w:rPr>
          <w:sz w:val="20"/>
          <w:szCs w:val="20"/>
        </w:rPr>
      </w:pPr>
      <w:bookmarkStart w:id="65" w:name="_Toc384029142"/>
      <w:r w:rsidRPr="008F243C">
        <w:rPr>
          <w:sz w:val="20"/>
          <w:szCs w:val="20"/>
          <w:u w:val="single"/>
        </w:rPr>
        <w:t>Pozn.</w:t>
      </w:r>
      <w:r w:rsidRPr="00E3616E">
        <w:rPr>
          <w:sz w:val="20"/>
          <w:szCs w:val="20"/>
        </w:rPr>
        <w:t>: Hodnoty ukazovateľov budú doplnené v ďalšom štádiu prípravy dokumentu.</w:t>
      </w:r>
      <w:bookmarkEnd w:id="65"/>
    </w:p>
    <w:p w:rsidR="00E42497" w:rsidRDefault="009011DB" w:rsidP="00E41E26">
      <w:pPr>
        <w:pStyle w:val="Nadpis3"/>
      </w:pPr>
      <w:bookmarkStart w:id="66" w:name="_Toc385310718"/>
      <w:r>
        <w:t>Aktivity, ktoré budú podporené v rámci investičnej priority</w:t>
      </w:r>
      <w:bookmarkEnd w:id="66"/>
    </w:p>
    <w:p w:rsidR="00E41E26" w:rsidRPr="00E41E26" w:rsidRDefault="00E41E26" w:rsidP="00E41E26">
      <w:pPr>
        <w:pStyle w:val="Nadpis4"/>
      </w:pPr>
      <w:r>
        <w:t>Opis typu a príklady aktivít</w:t>
      </w:r>
    </w:p>
    <w:p w:rsidR="00E42497" w:rsidRPr="00336C1F" w:rsidRDefault="00E41E26" w:rsidP="00E42497">
      <w:pPr>
        <w:spacing w:before="180" w:after="120"/>
        <w:rPr>
          <w:sz w:val="22"/>
          <w:szCs w:val="22"/>
        </w:rPr>
      </w:pPr>
      <w:r>
        <w:rPr>
          <w:sz w:val="22"/>
          <w:szCs w:val="22"/>
          <w:u w:val="single"/>
        </w:rPr>
        <w:t>Investičná priorita 7a)</w:t>
      </w:r>
      <w:r w:rsidR="00E42497" w:rsidRPr="00D1658B">
        <w:rPr>
          <w:sz w:val="22"/>
          <w:szCs w:val="22"/>
          <w:u w:val="single"/>
        </w:rPr>
        <w:t xml:space="preserve"> bude napĺňan</w:t>
      </w:r>
      <w:r>
        <w:rPr>
          <w:sz w:val="22"/>
          <w:szCs w:val="22"/>
          <w:u w:val="single"/>
        </w:rPr>
        <w:t>á</w:t>
      </w:r>
      <w:r w:rsidR="00E42497" w:rsidRPr="00D1658B">
        <w:rPr>
          <w:sz w:val="22"/>
          <w:szCs w:val="22"/>
          <w:u w:val="single"/>
        </w:rPr>
        <w:t xml:space="preserve"> prostredníctvom nasledujúcich aktivít</w:t>
      </w:r>
      <w:r w:rsidR="00E42497" w:rsidRPr="00336C1F">
        <w:rPr>
          <w:sz w:val="22"/>
          <w:szCs w:val="22"/>
        </w:rPr>
        <w:t>:</w:t>
      </w:r>
    </w:p>
    <w:p w:rsidR="007F7347" w:rsidRDefault="000E6C9D" w:rsidP="00FE6025">
      <w:pPr>
        <w:numPr>
          <w:ilvl w:val="2"/>
          <w:numId w:val="34"/>
        </w:numPr>
        <w:tabs>
          <w:tab w:val="clear" w:pos="360"/>
        </w:tabs>
        <w:ind w:left="426" w:hanging="426"/>
        <w:jc w:val="both"/>
        <w:rPr>
          <w:sz w:val="22"/>
          <w:szCs w:val="22"/>
        </w:rPr>
      </w:pPr>
      <w:r>
        <w:rPr>
          <w:sz w:val="22"/>
          <w:szCs w:val="22"/>
        </w:rPr>
        <w:t>Výstavba rýchlostných ciest (mimo TEN-T CORE)</w:t>
      </w:r>
      <w:r w:rsidR="00E42497" w:rsidRPr="001D3D78">
        <w:rPr>
          <w:sz w:val="22"/>
          <w:szCs w:val="22"/>
        </w:rPr>
        <w:t>,</w:t>
      </w:r>
    </w:p>
    <w:p w:rsidR="00E42497" w:rsidRDefault="000E6C9D" w:rsidP="00FE6025">
      <w:pPr>
        <w:numPr>
          <w:ilvl w:val="2"/>
          <w:numId w:val="34"/>
        </w:numPr>
        <w:tabs>
          <w:tab w:val="clear" w:pos="360"/>
        </w:tabs>
        <w:ind w:left="426" w:hanging="426"/>
        <w:jc w:val="both"/>
        <w:rPr>
          <w:sz w:val="22"/>
          <w:szCs w:val="22"/>
        </w:rPr>
      </w:pPr>
      <w:r>
        <w:rPr>
          <w:sz w:val="22"/>
          <w:szCs w:val="22"/>
        </w:rPr>
        <w:t>Projektová príprava.</w:t>
      </w:r>
    </w:p>
    <w:p w:rsidR="00E42497" w:rsidRPr="005139F6" w:rsidRDefault="000E6C9D" w:rsidP="00FE6025">
      <w:pPr>
        <w:numPr>
          <w:ilvl w:val="2"/>
          <w:numId w:val="35"/>
        </w:numPr>
        <w:tabs>
          <w:tab w:val="clear" w:pos="360"/>
        </w:tabs>
        <w:spacing w:before="180" w:after="120"/>
        <w:ind w:left="850" w:hanging="425"/>
        <w:jc w:val="both"/>
        <w:rPr>
          <w:b/>
          <w:i/>
          <w:color w:val="4F81BD" w:themeColor="accent1"/>
          <w:sz w:val="22"/>
          <w:szCs w:val="22"/>
        </w:rPr>
      </w:pPr>
      <w:r w:rsidRPr="005139F6">
        <w:rPr>
          <w:b/>
          <w:i/>
          <w:color w:val="4F81BD" w:themeColor="accent1"/>
          <w:sz w:val="22"/>
          <w:szCs w:val="22"/>
        </w:rPr>
        <w:t>Výstavba rýchlostných ciest (mimo TEN-T CORE)</w:t>
      </w:r>
    </w:p>
    <w:p w:rsidR="00460562" w:rsidRDefault="00460562" w:rsidP="00460562">
      <w:pPr>
        <w:autoSpaceDE w:val="0"/>
        <w:autoSpaceDN w:val="0"/>
        <w:adjustRightInd w:val="0"/>
        <w:spacing w:before="120"/>
        <w:jc w:val="both"/>
        <w:rPr>
          <w:color w:val="000000" w:themeColor="text1"/>
          <w:sz w:val="22"/>
          <w:szCs w:val="22"/>
        </w:rPr>
      </w:pPr>
      <w:r w:rsidRPr="00885C6A">
        <w:rPr>
          <w:b/>
          <w:color w:val="000000" w:themeColor="text1"/>
          <w:sz w:val="22"/>
          <w:szCs w:val="22"/>
        </w:rPr>
        <w:t>V</w:t>
      </w:r>
      <w:r>
        <w:rPr>
          <w:b/>
          <w:color w:val="000000" w:themeColor="text1"/>
          <w:sz w:val="22"/>
          <w:szCs w:val="22"/>
        </w:rPr>
        <w:t> </w:t>
      </w:r>
      <w:r w:rsidRPr="00885C6A">
        <w:rPr>
          <w:b/>
          <w:color w:val="000000" w:themeColor="text1"/>
          <w:sz w:val="22"/>
          <w:szCs w:val="22"/>
        </w:rPr>
        <w:t>oblasti rýchlostných ciest sa v</w:t>
      </w:r>
      <w:r>
        <w:rPr>
          <w:b/>
          <w:color w:val="000000" w:themeColor="text1"/>
          <w:sz w:val="22"/>
          <w:szCs w:val="22"/>
        </w:rPr>
        <w:t> </w:t>
      </w:r>
      <w:r w:rsidRPr="00885C6A">
        <w:rPr>
          <w:b/>
          <w:color w:val="000000" w:themeColor="text1"/>
          <w:sz w:val="22"/>
          <w:szCs w:val="22"/>
        </w:rPr>
        <w:t>nasledujúcom období 2014 – 2020 bude zo zdrojov EFRR preferovať výstavba úsekov ciest na R2 a</w:t>
      </w:r>
      <w:r>
        <w:rPr>
          <w:b/>
          <w:color w:val="000000" w:themeColor="text1"/>
          <w:sz w:val="22"/>
          <w:szCs w:val="22"/>
        </w:rPr>
        <w:t> </w:t>
      </w:r>
      <w:r w:rsidRPr="00885C6A">
        <w:rPr>
          <w:b/>
          <w:color w:val="000000" w:themeColor="text1"/>
          <w:sz w:val="22"/>
          <w:szCs w:val="22"/>
        </w:rPr>
        <w:t xml:space="preserve">R5. </w:t>
      </w:r>
      <w:r w:rsidRPr="00885C6A">
        <w:rPr>
          <w:color w:val="000000" w:themeColor="text1"/>
          <w:sz w:val="22"/>
          <w:szCs w:val="22"/>
        </w:rPr>
        <w:t>Pri výstavbe nových úsekov rýchlostných ciest bude MDVRR SR venovať náležitú pozornosť zabezpečeniu nákladovej efektívnosti. Vzhľadom na súčasné intenzity paralelných úsekov ciest I. triedy, ako aj prognózovaný vývoj v</w:t>
      </w:r>
      <w:r>
        <w:rPr>
          <w:color w:val="000000" w:themeColor="text1"/>
          <w:sz w:val="22"/>
          <w:szCs w:val="22"/>
        </w:rPr>
        <w:t> </w:t>
      </w:r>
      <w:r w:rsidRPr="00885C6A">
        <w:rPr>
          <w:color w:val="000000" w:themeColor="text1"/>
          <w:sz w:val="22"/>
          <w:szCs w:val="22"/>
        </w:rPr>
        <w:t>území budú niektoré úseky realizované v</w:t>
      </w:r>
      <w:r>
        <w:rPr>
          <w:color w:val="000000" w:themeColor="text1"/>
          <w:sz w:val="22"/>
          <w:szCs w:val="22"/>
        </w:rPr>
        <w:t> </w:t>
      </w:r>
      <w:r w:rsidRPr="00885C6A">
        <w:rPr>
          <w:color w:val="000000" w:themeColor="text1"/>
          <w:sz w:val="22"/>
          <w:szCs w:val="22"/>
        </w:rPr>
        <w:t>polovičnom profile.</w:t>
      </w:r>
    </w:p>
    <w:p w:rsidR="0012521A" w:rsidRDefault="0012521A" w:rsidP="0012521A">
      <w:pPr>
        <w:pStyle w:val="Default"/>
        <w:spacing w:before="120" w:after="120"/>
        <w:rPr>
          <w:sz w:val="22"/>
          <w:szCs w:val="22"/>
        </w:rPr>
      </w:pPr>
      <w:r>
        <w:rPr>
          <w:sz w:val="22"/>
          <w:szCs w:val="22"/>
        </w:rPr>
        <w:t xml:space="preserve">Zo zdrojov prioritnej osi bude prioritne financovaná projektová príprava a výstavba týchto úsekov: </w:t>
      </w:r>
    </w:p>
    <w:p w:rsidR="0012521A" w:rsidRDefault="009966E3" w:rsidP="00FE6025">
      <w:pPr>
        <w:pStyle w:val="Odsekzoznamu"/>
        <w:numPr>
          <w:ilvl w:val="0"/>
          <w:numId w:val="28"/>
        </w:numPr>
        <w:autoSpaceDE w:val="0"/>
        <w:autoSpaceDN w:val="0"/>
        <w:adjustRightInd w:val="0"/>
        <w:jc w:val="both"/>
        <w:rPr>
          <w:sz w:val="22"/>
          <w:szCs w:val="22"/>
        </w:rPr>
      </w:pPr>
      <w:r>
        <w:rPr>
          <w:sz w:val="22"/>
          <w:szCs w:val="22"/>
        </w:rPr>
        <w:t>R2 Mníchova Lehota –</w:t>
      </w:r>
      <w:r w:rsidR="0012521A">
        <w:rPr>
          <w:sz w:val="22"/>
          <w:szCs w:val="22"/>
        </w:rPr>
        <w:t xml:space="preserve"> Ruskovce,</w:t>
      </w:r>
    </w:p>
    <w:p w:rsidR="0012521A" w:rsidRDefault="0012521A" w:rsidP="00FE6025">
      <w:pPr>
        <w:pStyle w:val="Odsekzoznamu"/>
        <w:numPr>
          <w:ilvl w:val="0"/>
          <w:numId w:val="28"/>
        </w:numPr>
        <w:autoSpaceDE w:val="0"/>
        <w:autoSpaceDN w:val="0"/>
        <w:adjustRightInd w:val="0"/>
        <w:spacing w:before="120"/>
        <w:jc w:val="both"/>
        <w:rPr>
          <w:sz w:val="22"/>
          <w:szCs w:val="22"/>
        </w:rPr>
      </w:pPr>
      <w:r>
        <w:rPr>
          <w:sz w:val="22"/>
          <w:szCs w:val="22"/>
        </w:rPr>
        <w:t>R2 Rožňava – Jablonov nad Turňou (Soroška),</w:t>
      </w:r>
    </w:p>
    <w:p w:rsidR="0012521A" w:rsidRDefault="0012521A" w:rsidP="00FE6025">
      <w:pPr>
        <w:pStyle w:val="Odsekzoznamu"/>
        <w:numPr>
          <w:ilvl w:val="0"/>
          <w:numId w:val="28"/>
        </w:numPr>
        <w:autoSpaceDE w:val="0"/>
        <w:autoSpaceDN w:val="0"/>
        <w:adjustRightInd w:val="0"/>
        <w:spacing w:before="120"/>
        <w:jc w:val="both"/>
        <w:rPr>
          <w:sz w:val="22"/>
          <w:szCs w:val="22"/>
        </w:rPr>
      </w:pPr>
      <w:r>
        <w:rPr>
          <w:sz w:val="22"/>
          <w:szCs w:val="22"/>
        </w:rPr>
        <w:t>R2 Košice Šaca – Košické Oľšany</w:t>
      </w:r>
      <w:r w:rsidR="00852835">
        <w:rPr>
          <w:sz w:val="22"/>
          <w:szCs w:val="22"/>
        </w:rPr>
        <w:t xml:space="preserve"> (južný obchvat Košíc)</w:t>
      </w:r>
      <w:r w:rsidR="00CD24C5">
        <w:rPr>
          <w:sz w:val="22"/>
          <w:szCs w:val="22"/>
        </w:rPr>
        <w:t>,</w:t>
      </w:r>
    </w:p>
    <w:p w:rsidR="00CD24C5" w:rsidRDefault="00CD24C5" w:rsidP="00FE6025">
      <w:pPr>
        <w:pStyle w:val="Odsekzoznamu"/>
        <w:numPr>
          <w:ilvl w:val="0"/>
          <w:numId w:val="28"/>
        </w:numPr>
        <w:autoSpaceDE w:val="0"/>
        <w:autoSpaceDN w:val="0"/>
        <w:adjustRightInd w:val="0"/>
        <w:spacing w:before="120"/>
        <w:jc w:val="both"/>
        <w:rPr>
          <w:sz w:val="22"/>
          <w:szCs w:val="22"/>
        </w:rPr>
      </w:pPr>
      <w:r>
        <w:rPr>
          <w:sz w:val="22"/>
          <w:szCs w:val="22"/>
        </w:rPr>
        <w:t>R5 Svrčinovec – št. hr. SR/ČR.</w:t>
      </w:r>
    </w:p>
    <w:p w:rsidR="00CD24C5" w:rsidRDefault="00852835" w:rsidP="00852835">
      <w:pPr>
        <w:spacing w:before="180"/>
        <w:jc w:val="both"/>
        <w:rPr>
          <w:sz w:val="22"/>
          <w:szCs w:val="22"/>
        </w:rPr>
      </w:pPr>
      <w:r>
        <w:rPr>
          <w:color w:val="000000" w:themeColor="text1"/>
          <w:sz w:val="22"/>
          <w:szCs w:val="22"/>
        </w:rPr>
        <w:t xml:space="preserve">Medzi jednu z najdôležitejších priorít celej </w:t>
      </w:r>
      <w:r w:rsidRPr="00852835">
        <w:rPr>
          <w:color w:val="000000" w:themeColor="text1"/>
          <w:sz w:val="22"/>
          <w:szCs w:val="22"/>
        </w:rPr>
        <w:t xml:space="preserve">južnej časti </w:t>
      </w:r>
      <w:r w:rsidR="00E545D5">
        <w:rPr>
          <w:color w:val="000000" w:themeColor="text1"/>
          <w:sz w:val="22"/>
          <w:szCs w:val="22"/>
        </w:rPr>
        <w:t>BBSK</w:t>
      </w:r>
      <w:r w:rsidRPr="00852835">
        <w:rPr>
          <w:color w:val="000000" w:themeColor="text1"/>
          <w:sz w:val="22"/>
          <w:szCs w:val="22"/>
        </w:rPr>
        <w:t xml:space="preserve"> </w:t>
      </w:r>
      <w:r>
        <w:rPr>
          <w:color w:val="000000" w:themeColor="text1"/>
          <w:sz w:val="22"/>
          <w:szCs w:val="22"/>
        </w:rPr>
        <w:t>a </w:t>
      </w:r>
      <w:r w:rsidR="00E545D5">
        <w:rPr>
          <w:color w:val="000000" w:themeColor="text1"/>
          <w:sz w:val="22"/>
          <w:szCs w:val="22"/>
        </w:rPr>
        <w:t>KSK</w:t>
      </w:r>
      <w:r w:rsidRPr="00852835">
        <w:rPr>
          <w:color w:val="000000" w:themeColor="text1"/>
          <w:sz w:val="22"/>
          <w:szCs w:val="22"/>
        </w:rPr>
        <w:t xml:space="preserve"> je </w:t>
      </w:r>
      <w:r>
        <w:rPr>
          <w:color w:val="000000" w:themeColor="text1"/>
          <w:sz w:val="22"/>
          <w:szCs w:val="22"/>
        </w:rPr>
        <w:t xml:space="preserve">možné zaradiť </w:t>
      </w:r>
      <w:r w:rsidRPr="00852835">
        <w:rPr>
          <w:color w:val="000000" w:themeColor="text1"/>
          <w:sz w:val="22"/>
          <w:szCs w:val="22"/>
        </w:rPr>
        <w:t xml:space="preserve">dobudovanie </w:t>
      </w:r>
      <w:r>
        <w:rPr>
          <w:color w:val="000000" w:themeColor="text1"/>
          <w:sz w:val="22"/>
          <w:szCs w:val="22"/>
        </w:rPr>
        <w:t xml:space="preserve">rýchlostnej cesty </w:t>
      </w:r>
      <w:r w:rsidRPr="00852835">
        <w:rPr>
          <w:color w:val="000000" w:themeColor="text1"/>
          <w:sz w:val="22"/>
          <w:szCs w:val="22"/>
        </w:rPr>
        <w:t>R2</w:t>
      </w:r>
      <w:r w:rsidR="00E545D5">
        <w:rPr>
          <w:color w:val="000000" w:themeColor="text1"/>
          <w:sz w:val="22"/>
          <w:szCs w:val="22"/>
        </w:rPr>
        <w:t>. V</w:t>
      </w:r>
      <w:r>
        <w:rPr>
          <w:color w:val="000000" w:themeColor="text1"/>
          <w:sz w:val="22"/>
          <w:szCs w:val="22"/>
        </w:rPr>
        <w:t xml:space="preserve">ybudovaním </w:t>
      </w:r>
      <w:r w:rsidR="00E545D5">
        <w:rPr>
          <w:color w:val="000000" w:themeColor="text1"/>
          <w:sz w:val="22"/>
          <w:szCs w:val="22"/>
        </w:rPr>
        <w:t>cesty</w:t>
      </w:r>
      <w:r>
        <w:rPr>
          <w:color w:val="000000" w:themeColor="text1"/>
          <w:sz w:val="22"/>
          <w:szCs w:val="22"/>
        </w:rPr>
        <w:t xml:space="preserve"> </w:t>
      </w:r>
      <w:r w:rsidRPr="00852835">
        <w:rPr>
          <w:color w:val="000000" w:themeColor="text1"/>
          <w:sz w:val="22"/>
          <w:szCs w:val="22"/>
        </w:rPr>
        <w:t xml:space="preserve">sa podporí hospodársky rast zvolensko-juhoslovenskej rozvojovej osi: Zvolen </w:t>
      </w:r>
      <w:r w:rsidR="00E545D5" w:rsidRPr="009A7904">
        <w:rPr>
          <w:color w:val="000000" w:themeColor="text1"/>
          <w:sz w:val="22"/>
          <w:szCs w:val="22"/>
        </w:rPr>
        <w:t>–</w:t>
      </w:r>
      <w:r w:rsidRPr="00852835">
        <w:rPr>
          <w:color w:val="000000" w:themeColor="text1"/>
          <w:sz w:val="22"/>
          <w:szCs w:val="22"/>
        </w:rPr>
        <w:t xml:space="preserve"> Lučenec </w:t>
      </w:r>
      <w:r w:rsidR="00E545D5" w:rsidRPr="009A7904">
        <w:rPr>
          <w:color w:val="000000" w:themeColor="text1"/>
          <w:sz w:val="22"/>
          <w:szCs w:val="22"/>
        </w:rPr>
        <w:t>–</w:t>
      </w:r>
      <w:r w:rsidRPr="00852835">
        <w:rPr>
          <w:color w:val="000000" w:themeColor="text1"/>
          <w:sz w:val="22"/>
          <w:szCs w:val="22"/>
        </w:rPr>
        <w:t xml:space="preserve"> Rimav</w:t>
      </w:r>
      <w:r w:rsidR="00E545D5">
        <w:rPr>
          <w:color w:val="000000" w:themeColor="text1"/>
          <w:sz w:val="22"/>
          <w:szCs w:val="22"/>
        </w:rPr>
        <w:t xml:space="preserve">ská Sobota </w:t>
      </w:r>
      <w:r w:rsidR="00E545D5" w:rsidRPr="009A7904">
        <w:rPr>
          <w:color w:val="000000" w:themeColor="text1"/>
          <w:sz w:val="22"/>
          <w:szCs w:val="22"/>
        </w:rPr>
        <w:t>–</w:t>
      </w:r>
      <w:r w:rsidR="00E545D5">
        <w:rPr>
          <w:color w:val="000000" w:themeColor="text1"/>
          <w:sz w:val="22"/>
          <w:szCs w:val="22"/>
        </w:rPr>
        <w:t xml:space="preserve"> Rožňava </w:t>
      </w:r>
      <w:r w:rsidR="00E545D5" w:rsidRPr="009A7904">
        <w:rPr>
          <w:color w:val="000000" w:themeColor="text1"/>
          <w:sz w:val="22"/>
          <w:szCs w:val="22"/>
        </w:rPr>
        <w:t>–</w:t>
      </w:r>
      <w:r w:rsidR="00E545D5">
        <w:rPr>
          <w:color w:val="000000" w:themeColor="text1"/>
          <w:sz w:val="22"/>
          <w:szCs w:val="22"/>
        </w:rPr>
        <w:t xml:space="preserve"> Košice a </w:t>
      </w:r>
      <w:r w:rsidRPr="00852835">
        <w:rPr>
          <w:color w:val="000000" w:themeColor="text1"/>
          <w:sz w:val="22"/>
          <w:szCs w:val="22"/>
        </w:rPr>
        <w:t>zabezpečí sa prepojenie medzi západnou a východn</w:t>
      </w:r>
      <w:r>
        <w:rPr>
          <w:color w:val="000000" w:themeColor="text1"/>
          <w:sz w:val="22"/>
          <w:szCs w:val="22"/>
        </w:rPr>
        <w:t>ou časťou Slovenskej republiky.</w:t>
      </w:r>
      <w:r w:rsidR="00E545D5">
        <w:rPr>
          <w:color w:val="000000" w:themeColor="text1"/>
          <w:sz w:val="22"/>
          <w:szCs w:val="22"/>
        </w:rPr>
        <w:t xml:space="preserve"> P</w:t>
      </w:r>
      <w:r w:rsidR="00E545D5" w:rsidRPr="00E545D5">
        <w:rPr>
          <w:color w:val="000000" w:themeColor="text1"/>
          <w:sz w:val="22"/>
          <w:szCs w:val="22"/>
        </w:rPr>
        <w:t xml:space="preserve">o dobudovaní bude </w:t>
      </w:r>
      <w:r w:rsidR="00E545D5">
        <w:rPr>
          <w:color w:val="000000" w:themeColor="text1"/>
          <w:sz w:val="22"/>
          <w:szCs w:val="22"/>
        </w:rPr>
        <w:t xml:space="preserve">R2 </w:t>
      </w:r>
      <w:r w:rsidR="00E545D5" w:rsidRPr="00E545D5">
        <w:rPr>
          <w:color w:val="000000" w:themeColor="text1"/>
          <w:sz w:val="22"/>
          <w:szCs w:val="22"/>
        </w:rPr>
        <w:t>zabezpečovať rýchle a kvalitné dopravné prepojenie regiónu s centrálnou oblasťou BBSK, ako aj k rozho</w:t>
      </w:r>
      <w:r w:rsidR="00E545D5">
        <w:rPr>
          <w:color w:val="000000" w:themeColor="text1"/>
          <w:sz w:val="22"/>
          <w:szCs w:val="22"/>
        </w:rPr>
        <w:t>dujúcim ťažiskám osídlenia SR, Bratislavy a Košíc</w:t>
      </w:r>
      <w:r w:rsidR="00E545D5" w:rsidRPr="00E545D5">
        <w:rPr>
          <w:color w:val="000000" w:themeColor="text1"/>
          <w:sz w:val="22"/>
          <w:szCs w:val="22"/>
        </w:rPr>
        <w:t>.</w:t>
      </w:r>
    </w:p>
    <w:p w:rsidR="00E42497" w:rsidRPr="005348B9" w:rsidRDefault="00460562" w:rsidP="00CC100A">
      <w:pPr>
        <w:spacing w:before="180"/>
        <w:jc w:val="both"/>
        <w:rPr>
          <w:sz w:val="22"/>
          <w:szCs w:val="22"/>
        </w:rPr>
      </w:pPr>
      <w:r w:rsidRPr="00885C6A">
        <w:rPr>
          <w:color w:val="000000" w:themeColor="text1"/>
          <w:sz w:val="22"/>
          <w:szCs w:val="22"/>
        </w:rPr>
        <w:t>V</w:t>
      </w:r>
      <w:r>
        <w:rPr>
          <w:color w:val="000000" w:themeColor="text1"/>
          <w:sz w:val="22"/>
          <w:szCs w:val="22"/>
        </w:rPr>
        <w:t> </w:t>
      </w:r>
      <w:r w:rsidRPr="00885C6A">
        <w:rPr>
          <w:color w:val="000000" w:themeColor="text1"/>
          <w:sz w:val="22"/>
          <w:szCs w:val="22"/>
        </w:rPr>
        <w:t>prípade, ak to umožní stav technickej pripravenosti niektorých úsekov rýchlostných ciest R1 a</w:t>
      </w:r>
      <w:r>
        <w:rPr>
          <w:color w:val="000000" w:themeColor="text1"/>
          <w:sz w:val="22"/>
          <w:szCs w:val="22"/>
        </w:rPr>
        <w:t> </w:t>
      </w:r>
      <w:r w:rsidRPr="00885C6A">
        <w:rPr>
          <w:color w:val="000000" w:themeColor="text1"/>
          <w:sz w:val="22"/>
          <w:szCs w:val="22"/>
        </w:rPr>
        <w:t>R7 a</w:t>
      </w:r>
      <w:r>
        <w:rPr>
          <w:color w:val="000000" w:themeColor="text1"/>
          <w:sz w:val="22"/>
          <w:szCs w:val="22"/>
        </w:rPr>
        <w:t> </w:t>
      </w:r>
      <w:r w:rsidRPr="00885C6A">
        <w:rPr>
          <w:color w:val="000000" w:themeColor="text1"/>
          <w:sz w:val="22"/>
          <w:szCs w:val="22"/>
        </w:rPr>
        <w:t>zároveň dôjde k</w:t>
      </w:r>
      <w:r>
        <w:rPr>
          <w:color w:val="000000" w:themeColor="text1"/>
          <w:sz w:val="22"/>
          <w:szCs w:val="22"/>
        </w:rPr>
        <w:t> </w:t>
      </w:r>
      <w:r w:rsidRPr="00885C6A">
        <w:rPr>
          <w:color w:val="000000" w:themeColor="text1"/>
          <w:sz w:val="22"/>
          <w:szCs w:val="22"/>
        </w:rPr>
        <w:t>vytvoreniu vhodných podmienok pre ich viaczdrojové financovanie, napr. kombináciou fondov EÚ a</w:t>
      </w:r>
      <w:r>
        <w:rPr>
          <w:color w:val="000000" w:themeColor="text1"/>
          <w:sz w:val="22"/>
          <w:szCs w:val="22"/>
        </w:rPr>
        <w:t> </w:t>
      </w:r>
      <w:r w:rsidRPr="00885C6A">
        <w:rPr>
          <w:color w:val="000000" w:themeColor="text1"/>
          <w:sz w:val="22"/>
          <w:szCs w:val="22"/>
        </w:rPr>
        <w:t>verejno-súkromného partnerstva, MDVRR SR zváži využitie prostriedkov prioritnej osi taktiež na tieto cestné ťahy.</w:t>
      </w:r>
    </w:p>
    <w:p w:rsidR="00E42497" w:rsidRPr="005139F6" w:rsidRDefault="000E6C9D" w:rsidP="00FE6025">
      <w:pPr>
        <w:numPr>
          <w:ilvl w:val="2"/>
          <w:numId w:val="35"/>
        </w:numPr>
        <w:tabs>
          <w:tab w:val="clear" w:pos="360"/>
        </w:tabs>
        <w:autoSpaceDE w:val="0"/>
        <w:autoSpaceDN w:val="0"/>
        <w:adjustRightInd w:val="0"/>
        <w:spacing w:before="180" w:after="120"/>
        <w:ind w:left="851" w:hanging="425"/>
        <w:jc w:val="both"/>
        <w:rPr>
          <w:b/>
          <w:i/>
          <w:color w:val="4F81BD" w:themeColor="accent1"/>
          <w:sz w:val="22"/>
          <w:szCs w:val="22"/>
        </w:rPr>
      </w:pPr>
      <w:r w:rsidRPr="005139F6">
        <w:rPr>
          <w:b/>
          <w:i/>
          <w:color w:val="4F81BD" w:themeColor="accent1"/>
          <w:sz w:val="22"/>
          <w:szCs w:val="22"/>
        </w:rPr>
        <w:t>Projektová príprava</w:t>
      </w:r>
    </w:p>
    <w:p w:rsidR="00BB7072" w:rsidRDefault="009A7904" w:rsidP="009A7904">
      <w:pPr>
        <w:spacing w:after="120"/>
        <w:jc w:val="both"/>
        <w:rPr>
          <w:color w:val="000000" w:themeColor="text1"/>
          <w:sz w:val="22"/>
          <w:szCs w:val="22"/>
        </w:rPr>
      </w:pPr>
      <w:r w:rsidRPr="009A7904">
        <w:rPr>
          <w:sz w:val="22"/>
          <w:szCs w:val="22"/>
        </w:rPr>
        <w:t xml:space="preserve">Zoznam stavieb, na ktoré je potrebné sústrediť pozornosť bol </w:t>
      </w:r>
      <w:r w:rsidR="00E41E26">
        <w:rPr>
          <w:sz w:val="22"/>
          <w:szCs w:val="22"/>
        </w:rPr>
        <w:t>identifikovaný</w:t>
      </w:r>
      <w:r w:rsidRPr="009A7904">
        <w:rPr>
          <w:sz w:val="22"/>
          <w:szCs w:val="22"/>
        </w:rPr>
        <w:t xml:space="preserve"> v Strategickom pláne rozvoja dopravnej infraštruktúry do roku 2020. </w:t>
      </w:r>
      <w:r w:rsidRPr="009A7904">
        <w:rPr>
          <w:color w:val="000000" w:themeColor="text1"/>
          <w:sz w:val="22"/>
          <w:szCs w:val="22"/>
        </w:rPr>
        <w:t xml:space="preserve">Zoznam obsahuje </w:t>
      </w:r>
      <w:r w:rsidR="00CC100A">
        <w:rPr>
          <w:color w:val="000000" w:themeColor="text1"/>
          <w:sz w:val="22"/>
          <w:szCs w:val="22"/>
        </w:rPr>
        <w:t>priority</w:t>
      </w:r>
      <w:r w:rsidRPr="009A7904">
        <w:rPr>
          <w:color w:val="000000" w:themeColor="text1"/>
          <w:sz w:val="22"/>
          <w:szCs w:val="22"/>
        </w:rPr>
        <w:t xml:space="preserve"> súvisiace s realizačnými projektmi v rámci obdobia 2014 –</w:t>
      </w:r>
      <w:r>
        <w:rPr>
          <w:color w:val="000000" w:themeColor="text1"/>
          <w:sz w:val="22"/>
          <w:szCs w:val="22"/>
        </w:rPr>
        <w:t xml:space="preserve"> </w:t>
      </w:r>
      <w:r w:rsidRPr="009A7904">
        <w:rPr>
          <w:color w:val="000000" w:themeColor="text1"/>
          <w:sz w:val="22"/>
          <w:szCs w:val="22"/>
        </w:rPr>
        <w:t>2023, ako aj za týmto horizontom.</w:t>
      </w:r>
    </w:p>
    <w:p w:rsidR="00D57810" w:rsidRPr="009A7904" w:rsidRDefault="00D57810" w:rsidP="009A7904">
      <w:pPr>
        <w:spacing w:after="120"/>
        <w:jc w:val="both"/>
        <w:rPr>
          <w:color w:val="000000" w:themeColor="text1"/>
          <w:sz w:val="22"/>
          <w:szCs w:val="22"/>
        </w:rPr>
      </w:pPr>
    </w:p>
    <w:p w:rsidR="003A3679" w:rsidRPr="00336C1F" w:rsidRDefault="00E41E26" w:rsidP="003A3679">
      <w:pPr>
        <w:spacing w:before="180" w:after="120"/>
        <w:rPr>
          <w:sz w:val="22"/>
          <w:szCs w:val="22"/>
        </w:rPr>
      </w:pPr>
      <w:r>
        <w:rPr>
          <w:sz w:val="22"/>
          <w:szCs w:val="22"/>
          <w:u w:val="single"/>
        </w:rPr>
        <w:lastRenderedPageBreak/>
        <w:t xml:space="preserve">Investičná priorita 7b) </w:t>
      </w:r>
      <w:r w:rsidR="003A3679" w:rsidRPr="00D1658B">
        <w:rPr>
          <w:sz w:val="22"/>
          <w:szCs w:val="22"/>
          <w:u w:val="single"/>
        </w:rPr>
        <w:t>bude napĺňan</w:t>
      </w:r>
      <w:r>
        <w:rPr>
          <w:sz w:val="22"/>
          <w:szCs w:val="22"/>
          <w:u w:val="single"/>
        </w:rPr>
        <w:t>á</w:t>
      </w:r>
      <w:r w:rsidR="003A3679" w:rsidRPr="00D1658B">
        <w:rPr>
          <w:sz w:val="22"/>
          <w:szCs w:val="22"/>
          <w:u w:val="single"/>
        </w:rPr>
        <w:t xml:space="preserve"> prostredníctvom nasledujúcich aktivít</w:t>
      </w:r>
      <w:r w:rsidR="003A3679" w:rsidRPr="00336C1F">
        <w:rPr>
          <w:sz w:val="22"/>
          <w:szCs w:val="22"/>
        </w:rPr>
        <w:t>:</w:t>
      </w:r>
    </w:p>
    <w:p w:rsidR="00086DD6" w:rsidRDefault="003A3679" w:rsidP="00FE6025">
      <w:pPr>
        <w:numPr>
          <w:ilvl w:val="2"/>
          <w:numId w:val="36"/>
        </w:numPr>
        <w:tabs>
          <w:tab w:val="clear" w:pos="360"/>
        </w:tabs>
        <w:ind w:left="426" w:hanging="426"/>
        <w:jc w:val="both"/>
        <w:rPr>
          <w:sz w:val="22"/>
          <w:szCs w:val="22"/>
        </w:rPr>
      </w:pPr>
      <w:r>
        <w:rPr>
          <w:sz w:val="22"/>
          <w:szCs w:val="22"/>
        </w:rPr>
        <w:t xml:space="preserve">Výstavba </w:t>
      </w:r>
      <w:r w:rsidR="00305201">
        <w:rPr>
          <w:sz w:val="22"/>
          <w:szCs w:val="22"/>
        </w:rPr>
        <w:t xml:space="preserve">a modernizácia </w:t>
      </w:r>
      <w:r>
        <w:rPr>
          <w:sz w:val="22"/>
          <w:szCs w:val="22"/>
        </w:rPr>
        <w:t>ciest</w:t>
      </w:r>
      <w:r w:rsidR="00086DD6">
        <w:rPr>
          <w:sz w:val="22"/>
          <w:szCs w:val="22"/>
        </w:rPr>
        <w:t xml:space="preserve"> I. triedy</w:t>
      </w:r>
      <w:r w:rsidR="002D4DB4">
        <w:rPr>
          <w:sz w:val="22"/>
          <w:szCs w:val="22"/>
        </w:rPr>
        <w:t xml:space="preserve"> s cieľom zvýšenia</w:t>
      </w:r>
      <w:r w:rsidR="00E524C5">
        <w:rPr>
          <w:sz w:val="22"/>
          <w:szCs w:val="22"/>
        </w:rPr>
        <w:t xml:space="preserve"> bezpečnosti a plynulosti dopravy</w:t>
      </w:r>
      <w:r w:rsidR="007D3C25">
        <w:rPr>
          <w:sz w:val="22"/>
          <w:szCs w:val="22"/>
        </w:rPr>
        <w:t xml:space="preserve"> (mimo TEN-T CORE, mimo TEN-T)</w:t>
      </w:r>
      <w:r w:rsidR="00086DD6">
        <w:rPr>
          <w:sz w:val="22"/>
          <w:szCs w:val="22"/>
        </w:rPr>
        <w:t>,</w:t>
      </w:r>
    </w:p>
    <w:p w:rsidR="00086DD6" w:rsidRDefault="00086DD6" w:rsidP="00FE6025">
      <w:pPr>
        <w:numPr>
          <w:ilvl w:val="2"/>
          <w:numId w:val="36"/>
        </w:numPr>
        <w:tabs>
          <w:tab w:val="clear" w:pos="360"/>
        </w:tabs>
        <w:ind w:left="426" w:hanging="426"/>
        <w:jc w:val="both"/>
        <w:rPr>
          <w:sz w:val="22"/>
          <w:szCs w:val="22"/>
        </w:rPr>
      </w:pPr>
      <w:r>
        <w:rPr>
          <w:sz w:val="22"/>
          <w:szCs w:val="22"/>
        </w:rPr>
        <w:t>Budovanie inteligentných dopravných systémov,</w:t>
      </w:r>
    </w:p>
    <w:p w:rsidR="009A184B" w:rsidRDefault="00086DD6" w:rsidP="00FE6025">
      <w:pPr>
        <w:numPr>
          <w:ilvl w:val="2"/>
          <w:numId w:val="36"/>
        </w:numPr>
        <w:tabs>
          <w:tab w:val="clear" w:pos="360"/>
        </w:tabs>
        <w:ind w:left="426" w:hanging="426"/>
        <w:jc w:val="both"/>
        <w:rPr>
          <w:sz w:val="22"/>
          <w:szCs w:val="22"/>
        </w:rPr>
      </w:pPr>
      <w:r>
        <w:rPr>
          <w:sz w:val="22"/>
          <w:szCs w:val="22"/>
        </w:rPr>
        <w:t>V</w:t>
      </w:r>
      <w:r w:rsidRPr="00086DD6">
        <w:rPr>
          <w:sz w:val="22"/>
          <w:szCs w:val="22"/>
        </w:rPr>
        <w:t>ýstavba a modernizácia cestnej infraštruktúry v súvislosti so zabezpečením efektívneho colného konania,</w:t>
      </w:r>
    </w:p>
    <w:p w:rsidR="009A184B" w:rsidRPr="009A184B" w:rsidRDefault="007E69E9" w:rsidP="00FE6025">
      <w:pPr>
        <w:numPr>
          <w:ilvl w:val="2"/>
          <w:numId w:val="36"/>
        </w:numPr>
        <w:tabs>
          <w:tab w:val="clear" w:pos="360"/>
        </w:tabs>
        <w:ind w:left="426" w:hanging="426"/>
        <w:jc w:val="both"/>
        <w:rPr>
          <w:sz w:val="22"/>
          <w:szCs w:val="22"/>
        </w:rPr>
      </w:pPr>
      <w:r>
        <w:rPr>
          <w:sz w:val="22"/>
          <w:szCs w:val="22"/>
        </w:rPr>
        <w:t>Adaptačné a zmierňujúce</w:t>
      </w:r>
      <w:r w:rsidR="009A184B">
        <w:rPr>
          <w:sz w:val="22"/>
          <w:szCs w:val="22"/>
        </w:rPr>
        <w:t xml:space="preserve"> opatrenia vo vzťahu k zmene</w:t>
      </w:r>
      <w:r w:rsidR="009A184B" w:rsidRPr="009A184B">
        <w:rPr>
          <w:sz w:val="22"/>
          <w:szCs w:val="22"/>
        </w:rPr>
        <w:t xml:space="preserve"> klímy</w:t>
      </w:r>
      <w:r w:rsidR="009A184B">
        <w:rPr>
          <w:sz w:val="22"/>
          <w:szCs w:val="22"/>
        </w:rPr>
        <w:t>,</w:t>
      </w:r>
    </w:p>
    <w:p w:rsidR="002F56BA" w:rsidRDefault="00086DD6" w:rsidP="00FE6025">
      <w:pPr>
        <w:numPr>
          <w:ilvl w:val="2"/>
          <w:numId w:val="36"/>
        </w:numPr>
        <w:tabs>
          <w:tab w:val="clear" w:pos="360"/>
        </w:tabs>
        <w:ind w:left="426" w:hanging="426"/>
        <w:jc w:val="both"/>
        <w:rPr>
          <w:sz w:val="22"/>
          <w:szCs w:val="22"/>
        </w:rPr>
      </w:pPr>
      <w:r>
        <w:rPr>
          <w:sz w:val="22"/>
          <w:szCs w:val="22"/>
        </w:rPr>
        <w:t>Projektová príprava.</w:t>
      </w:r>
    </w:p>
    <w:p w:rsidR="003A3679" w:rsidRPr="005139F6" w:rsidRDefault="003A3679" w:rsidP="00FE6025">
      <w:pPr>
        <w:numPr>
          <w:ilvl w:val="2"/>
          <w:numId w:val="37"/>
        </w:numPr>
        <w:tabs>
          <w:tab w:val="clear" w:pos="360"/>
        </w:tabs>
        <w:spacing w:before="180" w:after="120"/>
        <w:ind w:left="851" w:hanging="425"/>
        <w:jc w:val="both"/>
        <w:rPr>
          <w:b/>
          <w:i/>
          <w:color w:val="4F81BD" w:themeColor="accent1"/>
          <w:sz w:val="22"/>
          <w:szCs w:val="22"/>
        </w:rPr>
      </w:pPr>
      <w:r w:rsidRPr="005139F6">
        <w:rPr>
          <w:b/>
          <w:i/>
          <w:color w:val="4F81BD" w:themeColor="accent1"/>
          <w:sz w:val="22"/>
          <w:szCs w:val="22"/>
        </w:rPr>
        <w:t xml:space="preserve">Výstavba </w:t>
      </w:r>
      <w:r w:rsidR="00305201" w:rsidRPr="005139F6">
        <w:rPr>
          <w:b/>
          <w:i/>
          <w:color w:val="4F81BD" w:themeColor="accent1"/>
          <w:sz w:val="22"/>
          <w:szCs w:val="22"/>
        </w:rPr>
        <w:t xml:space="preserve">a modernizácia </w:t>
      </w:r>
      <w:r w:rsidR="00086DD6" w:rsidRPr="005139F6">
        <w:rPr>
          <w:b/>
          <w:i/>
          <w:color w:val="4F81BD" w:themeColor="accent1"/>
          <w:sz w:val="22"/>
          <w:szCs w:val="22"/>
        </w:rPr>
        <w:t>ciest I. triedy</w:t>
      </w:r>
      <w:r w:rsidR="00E524C5">
        <w:rPr>
          <w:b/>
          <w:i/>
          <w:color w:val="4F81BD" w:themeColor="accent1"/>
          <w:sz w:val="22"/>
          <w:szCs w:val="22"/>
        </w:rPr>
        <w:t xml:space="preserve"> s cieľom zvýšenia bezpečnosti a plynulosti dopravy</w:t>
      </w:r>
      <w:r w:rsidR="007D3C25">
        <w:rPr>
          <w:b/>
          <w:i/>
          <w:color w:val="4F81BD" w:themeColor="accent1"/>
          <w:sz w:val="22"/>
          <w:szCs w:val="22"/>
        </w:rPr>
        <w:t xml:space="preserve"> (mimo TEN-T CORE, mimo TEN-T)</w:t>
      </w:r>
    </w:p>
    <w:p w:rsidR="00762540" w:rsidRDefault="00460562" w:rsidP="00F93BAD">
      <w:pPr>
        <w:autoSpaceDE w:val="0"/>
        <w:autoSpaceDN w:val="0"/>
        <w:adjustRightInd w:val="0"/>
        <w:jc w:val="both"/>
        <w:rPr>
          <w:rStyle w:val="FontStyle51"/>
        </w:rPr>
      </w:pPr>
      <w:r w:rsidRPr="00FD507A">
        <w:rPr>
          <w:sz w:val="22"/>
          <w:szCs w:val="22"/>
        </w:rPr>
        <w:t>Okrem proporcionálneho rozvoja diaľnic a</w:t>
      </w:r>
      <w:r>
        <w:rPr>
          <w:sz w:val="22"/>
          <w:szCs w:val="22"/>
        </w:rPr>
        <w:t> </w:t>
      </w:r>
      <w:r w:rsidRPr="00FD507A">
        <w:rPr>
          <w:sz w:val="22"/>
          <w:szCs w:val="22"/>
        </w:rPr>
        <w:t>rýchlostných ciest bude v</w:t>
      </w:r>
      <w:r>
        <w:rPr>
          <w:sz w:val="22"/>
          <w:szCs w:val="22"/>
        </w:rPr>
        <w:t> </w:t>
      </w:r>
      <w:r w:rsidRPr="00FD507A">
        <w:rPr>
          <w:sz w:val="22"/>
          <w:szCs w:val="22"/>
        </w:rPr>
        <w:t xml:space="preserve">nasledujúcom období zohrávať dôležitú úlohu </w:t>
      </w:r>
      <w:r>
        <w:rPr>
          <w:sz w:val="22"/>
          <w:szCs w:val="22"/>
        </w:rPr>
        <w:t xml:space="preserve">agenda týkajúca sa rozvoja </w:t>
      </w:r>
      <w:r w:rsidRPr="00FD507A">
        <w:rPr>
          <w:sz w:val="22"/>
          <w:szCs w:val="22"/>
        </w:rPr>
        <w:t xml:space="preserve">ciest I. triedy. </w:t>
      </w:r>
      <w:r w:rsidR="00BB4A9F">
        <w:rPr>
          <w:sz w:val="22"/>
          <w:szCs w:val="22"/>
        </w:rPr>
        <w:t>K</w:t>
      </w:r>
      <w:r w:rsidR="00762540">
        <w:rPr>
          <w:sz w:val="22"/>
          <w:szCs w:val="22"/>
        </w:rPr>
        <w:t> 0</w:t>
      </w:r>
      <w:r w:rsidR="00762540" w:rsidRPr="00762540">
        <w:rPr>
          <w:sz w:val="22"/>
          <w:szCs w:val="22"/>
        </w:rPr>
        <w:t>1.</w:t>
      </w:r>
      <w:r w:rsidR="00762540">
        <w:rPr>
          <w:sz w:val="22"/>
          <w:szCs w:val="22"/>
        </w:rPr>
        <w:t xml:space="preserve">01.2013 </w:t>
      </w:r>
      <w:r w:rsidR="00BB4A9F">
        <w:rPr>
          <w:sz w:val="22"/>
          <w:szCs w:val="22"/>
        </w:rPr>
        <w:t>bolo na území SR v prevádzke</w:t>
      </w:r>
      <w:r w:rsidR="00762540">
        <w:rPr>
          <w:sz w:val="22"/>
          <w:szCs w:val="22"/>
        </w:rPr>
        <w:t xml:space="preserve"> 3 184 km</w:t>
      </w:r>
      <w:r w:rsidR="00BB4A9F" w:rsidRPr="00BB4A9F">
        <w:rPr>
          <w:sz w:val="22"/>
          <w:szCs w:val="22"/>
        </w:rPr>
        <w:t xml:space="preserve"> </w:t>
      </w:r>
      <w:r w:rsidR="00BB4A9F">
        <w:rPr>
          <w:sz w:val="22"/>
          <w:szCs w:val="22"/>
        </w:rPr>
        <w:t>ciest I. triedy</w:t>
      </w:r>
      <w:r w:rsidR="00762540">
        <w:rPr>
          <w:sz w:val="22"/>
          <w:szCs w:val="22"/>
        </w:rPr>
        <w:t>. Povinnosťou správ</w:t>
      </w:r>
      <w:r w:rsidR="00765170">
        <w:rPr>
          <w:sz w:val="22"/>
          <w:szCs w:val="22"/>
        </w:rPr>
        <w:t>c</w:t>
      </w:r>
      <w:r w:rsidR="00762540">
        <w:rPr>
          <w:sz w:val="22"/>
          <w:szCs w:val="22"/>
        </w:rPr>
        <w:t>u infraštruktúry, či už ide o cesty I. triedy, resp. diaľnic</w:t>
      </w:r>
      <w:r w:rsidR="007E69E9">
        <w:rPr>
          <w:sz w:val="22"/>
          <w:szCs w:val="22"/>
        </w:rPr>
        <w:t>e a rýchlostné</w:t>
      </w:r>
      <w:r w:rsidR="00762540">
        <w:rPr>
          <w:sz w:val="22"/>
          <w:szCs w:val="22"/>
        </w:rPr>
        <w:t xml:space="preserve"> </w:t>
      </w:r>
      <w:r w:rsidR="007E69E9">
        <w:rPr>
          <w:sz w:val="22"/>
          <w:szCs w:val="22"/>
        </w:rPr>
        <w:t>c</w:t>
      </w:r>
      <w:r w:rsidR="000360AF">
        <w:rPr>
          <w:sz w:val="22"/>
          <w:szCs w:val="22"/>
        </w:rPr>
        <w:t>est</w:t>
      </w:r>
      <w:r w:rsidR="007E69E9">
        <w:rPr>
          <w:sz w:val="22"/>
          <w:szCs w:val="22"/>
        </w:rPr>
        <w:t>y</w:t>
      </w:r>
      <w:r w:rsidR="00762540">
        <w:rPr>
          <w:sz w:val="22"/>
          <w:szCs w:val="22"/>
        </w:rPr>
        <w:t xml:space="preserve"> je k</w:t>
      </w:r>
      <w:r w:rsidR="007E69E9">
        <w:rPr>
          <w:sz w:val="22"/>
          <w:szCs w:val="22"/>
        </w:rPr>
        <w:t>aždoročne zabezpečiť vyhodnotenie</w:t>
      </w:r>
      <w:r w:rsidR="00762540">
        <w:rPr>
          <w:sz w:val="22"/>
          <w:szCs w:val="22"/>
        </w:rPr>
        <w:t xml:space="preserve"> </w:t>
      </w:r>
      <w:r w:rsidR="002D6501">
        <w:rPr>
          <w:sz w:val="22"/>
          <w:szCs w:val="22"/>
        </w:rPr>
        <w:t>stavu kvality vozoviek (</w:t>
      </w:r>
      <w:r w:rsidR="00762540" w:rsidRPr="00762540">
        <w:rPr>
          <w:rStyle w:val="FontStyle51"/>
        </w:rPr>
        <w:t>„</w:t>
      </w:r>
      <w:r w:rsidR="00762540" w:rsidRPr="00762540">
        <w:rPr>
          <w:rStyle w:val="FontStyle51"/>
          <w:i/>
        </w:rPr>
        <w:t>Prehľad stavu cestných komunikácií na základe hlavných prehliadok</w:t>
      </w:r>
      <w:r w:rsidR="00762540">
        <w:rPr>
          <w:rStyle w:val="FontStyle51"/>
        </w:rPr>
        <w:t>“ a </w:t>
      </w:r>
      <w:r w:rsidR="00762540" w:rsidRPr="00762540">
        <w:rPr>
          <w:rStyle w:val="FontStyle51"/>
        </w:rPr>
        <w:t>„</w:t>
      </w:r>
      <w:r w:rsidR="00762540" w:rsidRPr="00762540">
        <w:rPr>
          <w:rStyle w:val="FontStyle51"/>
          <w:i/>
        </w:rPr>
        <w:t>Prehľad stavu cestných komunikácií z hľadiska priečnej a pozdĺžnej nerovnosti</w:t>
      </w:r>
      <w:r w:rsidR="002D6501">
        <w:rPr>
          <w:rStyle w:val="FontStyle51"/>
        </w:rPr>
        <w:t>“).</w:t>
      </w:r>
      <w:r w:rsidR="00762540" w:rsidRPr="00762540">
        <w:rPr>
          <w:rStyle w:val="FontStyle51"/>
        </w:rPr>
        <w:t xml:space="preserve"> Na základe spracovaných výsledkov </w:t>
      </w:r>
      <w:r w:rsidR="007E69E9">
        <w:rPr>
          <w:rStyle w:val="FontStyle51"/>
        </w:rPr>
        <w:t>sa sleduje</w:t>
      </w:r>
      <w:r w:rsidR="00211852">
        <w:rPr>
          <w:rStyle w:val="FontStyle51"/>
        </w:rPr>
        <w:t xml:space="preserve"> </w:t>
      </w:r>
      <w:r w:rsidR="00762540" w:rsidRPr="00762540">
        <w:rPr>
          <w:rStyle w:val="FontStyle51"/>
        </w:rPr>
        <w:t xml:space="preserve">zmena </w:t>
      </w:r>
      <w:r w:rsidR="007E69E9">
        <w:rPr>
          <w:rStyle w:val="FontStyle51"/>
        </w:rPr>
        <w:t xml:space="preserve">stavebno-technického </w:t>
      </w:r>
      <w:r w:rsidR="00762540" w:rsidRPr="00762540">
        <w:rPr>
          <w:rStyle w:val="FontStyle51"/>
        </w:rPr>
        <w:t>stavu vozoviek</w:t>
      </w:r>
      <w:r w:rsidR="00762540">
        <w:rPr>
          <w:rStyle w:val="FontStyle51"/>
        </w:rPr>
        <w:t xml:space="preserve"> </w:t>
      </w:r>
      <w:r w:rsidR="007E69E9">
        <w:rPr>
          <w:rStyle w:val="FontStyle51"/>
        </w:rPr>
        <w:t xml:space="preserve">v čase </w:t>
      </w:r>
      <w:r w:rsidR="00762540">
        <w:rPr>
          <w:rStyle w:val="FontStyle51"/>
        </w:rPr>
        <w:t>a prognózuje sa budúci vývoj</w:t>
      </w:r>
      <w:r w:rsidR="002D6501">
        <w:rPr>
          <w:rStyle w:val="FontStyle51"/>
        </w:rPr>
        <w:t>.</w:t>
      </w:r>
    </w:p>
    <w:p w:rsidR="00890276" w:rsidRDefault="00762540" w:rsidP="00762540">
      <w:pPr>
        <w:autoSpaceDE w:val="0"/>
        <w:autoSpaceDN w:val="0"/>
        <w:adjustRightInd w:val="0"/>
        <w:spacing w:before="180"/>
        <w:jc w:val="both"/>
        <w:rPr>
          <w:b/>
          <w:sz w:val="22"/>
          <w:szCs w:val="22"/>
        </w:rPr>
      </w:pPr>
      <w:r w:rsidRPr="00762540">
        <w:rPr>
          <w:rStyle w:val="FontStyle51"/>
        </w:rPr>
        <w:t xml:space="preserve">Z vyhodnotenia hlavných prehliadok ciest I. triedy v správe SSC, ktoré boli vykonané v roku 2013 vyplýva, že 1 263,5 km ciest I. triedy je v nevyhovujúcom stave, čo predstavuje 38,9 % z celkovej dĺžky 3 248,1 km. V havarijnom stave </w:t>
      </w:r>
      <w:r w:rsidR="00BB4A9F">
        <w:rPr>
          <w:rStyle w:val="FontStyle51"/>
        </w:rPr>
        <w:t>bolo</w:t>
      </w:r>
      <w:r w:rsidRPr="00762540">
        <w:rPr>
          <w:rStyle w:val="FontStyle51"/>
        </w:rPr>
        <w:t xml:space="preserve"> ďalších 267,3 km (8,2 %). </w:t>
      </w:r>
      <w:r w:rsidR="002D09EF">
        <w:rPr>
          <w:rStyle w:val="FontStyle51"/>
        </w:rPr>
        <w:t>S</w:t>
      </w:r>
      <w:r w:rsidRPr="00762540">
        <w:rPr>
          <w:rStyle w:val="FontStyle51"/>
        </w:rPr>
        <w:t>úhr</w:t>
      </w:r>
      <w:r w:rsidR="002D09EF">
        <w:rPr>
          <w:rStyle w:val="FontStyle51"/>
        </w:rPr>
        <w:t>nný podiel úsekov v </w:t>
      </w:r>
      <w:r w:rsidRPr="00762540">
        <w:rPr>
          <w:rStyle w:val="FontStyle51"/>
        </w:rPr>
        <w:t xml:space="preserve">nevyhovujúcom až havarijnom stave stúpol </w:t>
      </w:r>
      <w:r w:rsidR="002D09EF">
        <w:rPr>
          <w:rStyle w:val="FontStyle51"/>
        </w:rPr>
        <w:t xml:space="preserve">od roku 2000 </w:t>
      </w:r>
      <w:r w:rsidRPr="00762540">
        <w:rPr>
          <w:rStyle w:val="FontStyle51"/>
          <w:b/>
        </w:rPr>
        <w:t>až dva a pol násobne</w:t>
      </w:r>
      <w:r w:rsidRPr="00762540">
        <w:rPr>
          <w:rStyle w:val="FontStyle51"/>
        </w:rPr>
        <w:t>.</w:t>
      </w:r>
      <w:r w:rsidR="00BE4F45">
        <w:rPr>
          <w:rStyle w:val="FontStyle51"/>
        </w:rPr>
        <w:t xml:space="preserve"> </w:t>
      </w:r>
      <w:r w:rsidR="00460562" w:rsidRPr="00890276">
        <w:rPr>
          <w:sz w:val="22"/>
          <w:szCs w:val="22"/>
        </w:rPr>
        <w:t xml:space="preserve">Na základe analýz a rozborov vykonaných na cestnej sieti vyplýva, že je nevyhnutné riešiť predovšetkým </w:t>
      </w:r>
      <w:r w:rsidR="00460562">
        <w:rPr>
          <w:b/>
          <w:sz w:val="22"/>
          <w:szCs w:val="22"/>
        </w:rPr>
        <w:t>otázku nedostatočne</w:t>
      </w:r>
      <w:r w:rsidR="00F93BAD">
        <w:rPr>
          <w:b/>
          <w:sz w:val="22"/>
          <w:szCs w:val="22"/>
        </w:rPr>
        <w:t>j kapacity infraštruktúry (</w:t>
      </w:r>
      <w:r w:rsidR="00460562">
        <w:rPr>
          <w:b/>
          <w:sz w:val="22"/>
          <w:szCs w:val="22"/>
        </w:rPr>
        <w:t xml:space="preserve">prekračovanie prípustných </w:t>
      </w:r>
      <w:r w:rsidR="00460562" w:rsidRPr="00FD507A">
        <w:rPr>
          <w:b/>
          <w:sz w:val="22"/>
          <w:szCs w:val="22"/>
        </w:rPr>
        <w:t>intenzít</w:t>
      </w:r>
      <w:r w:rsidR="00F93BAD">
        <w:rPr>
          <w:b/>
          <w:sz w:val="22"/>
          <w:szCs w:val="22"/>
        </w:rPr>
        <w:t>)</w:t>
      </w:r>
      <w:r w:rsidR="00460562">
        <w:rPr>
          <w:b/>
          <w:sz w:val="22"/>
          <w:szCs w:val="22"/>
        </w:rPr>
        <w:t xml:space="preserve"> a nevyhovujúcich stavebno-technických parametrov. Riešením tohto stavu je </w:t>
      </w:r>
      <w:r w:rsidR="00BE4F45">
        <w:rPr>
          <w:b/>
          <w:sz w:val="22"/>
          <w:szCs w:val="22"/>
        </w:rPr>
        <w:t xml:space="preserve">predovšetkým </w:t>
      </w:r>
      <w:r w:rsidR="00460562" w:rsidRPr="00FD507A">
        <w:rPr>
          <w:b/>
          <w:sz w:val="22"/>
          <w:szCs w:val="22"/>
        </w:rPr>
        <w:t>modernizáci</w:t>
      </w:r>
      <w:r w:rsidR="00460562">
        <w:rPr>
          <w:b/>
          <w:sz w:val="22"/>
          <w:szCs w:val="22"/>
        </w:rPr>
        <w:t>a súčasnej siete</w:t>
      </w:r>
      <w:r w:rsidR="00460562" w:rsidRPr="00FD507A">
        <w:rPr>
          <w:b/>
          <w:sz w:val="22"/>
          <w:szCs w:val="22"/>
        </w:rPr>
        <w:t xml:space="preserve"> </w:t>
      </w:r>
      <w:r w:rsidR="00460562">
        <w:rPr>
          <w:b/>
          <w:sz w:val="22"/>
          <w:szCs w:val="22"/>
        </w:rPr>
        <w:t>v kombinácii so selektívnym doplnením siete o nové úseky ciest I. triedy</w:t>
      </w:r>
      <w:r w:rsidR="00460562" w:rsidRPr="00FD507A">
        <w:rPr>
          <w:b/>
          <w:sz w:val="22"/>
          <w:szCs w:val="22"/>
        </w:rPr>
        <w:t>.</w:t>
      </w:r>
    </w:p>
    <w:p w:rsidR="00BE4F45" w:rsidRDefault="00890276" w:rsidP="00BE4F45">
      <w:pPr>
        <w:autoSpaceDE w:val="0"/>
        <w:autoSpaceDN w:val="0"/>
        <w:adjustRightInd w:val="0"/>
        <w:spacing w:before="180"/>
        <w:jc w:val="both"/>
        <w:rPr>
          <w:rStyle w:val="FontStyle51"/>
        </w:rPr>
      </w:pPr>
      <w:r>
        <w:rPr>
          <w:sz w:val="22"/>
          <w:szCs w:val="22"/>
        </w:rPr>
        <w:t>P</w:t>
      </w:r>
      <w:r w:rsidRPr="00890276">
        <w:rPr>
          <w:rStyle w:val="FontStyle51"/>
        </w:rPr>
        <w:t xml:space="preserve">otrebné </w:t>
      </w:r>
      <w:r>
        <w:rPr>
          <w:rStyle w:val="FontStyle51"/>
        </w:rPr>
        <w:t xml:space="preserve">je </w:t>
      </w:r>
      <w:r w:rsidRPr="00890276">
        <w:rPr>
          <w:rStyle w:val="FontStyle51"/>
        </w:rPr>
        <w:t xml:space="preserve">zamerať sa najmä na </w:t>
      </w:r>
      <w:r w:rsidRPr="00890276">
        <w:rPr>
          <w:rStyle w:val="FontStyle51"/>
          <w:b/>
        </w:rPr>
        <w:t>budovanie obchvatov miest a obcí, výstavbu preložiek, prestavbu križovatiek a mostov a</w:t>
      </w:r>
      <w:r w:rsidR="00F93BAD">
        <w:rPr>
          <w:rStyle w:val="FontStyle51"/>
          <w:b/>
        </w:rPr>
        <w:t xml:space="preserve"> taktiež </w:t>
      </w:r>
      <w:r w:rsidRPr="00890276">
        <w:rPr>
          <w:rStyle w:val="FontStyle51"/>
          <w:b/>
        </w:rPr>
        <w:t>na odstraňo</w:t>
      </w:r>
      <w:r w:rsidR="00F93BAD">
        <w:rPr>
          <w:rStyle w:val="FontStyle51"/>
          <w:b/>
        </w:rPr>
        <w:t xml:space="preserve">vanie nebezpečných miest, tzn. </w:t>
      </w:r>
      <w:r w:rsidRPr="00890276">
        <w:rPr>
          <w:rStyle w:val="FontStyle51"/>
          <w:b/>
        </w:rPr>
        <w:t>kritických nehodových lokalít</w:t>
      </w:r>
      <w:r w:rsidRPr="00890276">
        <w:rPr>
          <w:rStyle w:val="FontStyle51"/>
        </w:rPr>
        <w:t>. Pozornosť je potrebné venovať taktiež úprave šírkových parametrov, polomerom ciest a rozhľadovým pomerom s cieľom dosiahnutia homogenity trasy</w:t>
      </w:r>
      <w:r w:rsidR="00BE4F45">
        <w:rPr>
          <w:rStyle w:val="FontStyle51"/>
        </w:rPr>
        <w:t>.</w:t>
      </w:r>
    </w:p>
    <w:p w:rsidR="00460562" w:rsidRDefault="00460562" w:rsidP="00460562">
      <w:pPr>
        <w:autoSpaceDE w:val="0"/>
        <w:autoSpaceDN w:val="0"/>
        <w:adjustRightInd w:val="0"/>
        <w:spacing w:before="180"/>
        <w:jc w:val="both"/>
        <w:rPr>
          <w:sz w:val="22"/>
          <w:szCs w:val="22"/>
        </w:rPr>
      </w:pPr>
      <w:r w:rsidRPr="00FD507A">
        <w:rPr>
          <w:sz w:val="22"/>
          <w:szCs w:val="22"/>
        </w:rPr>
        <w:t>Dôležitým aspektom pre rozvoj cestnej siete je intenzita cestnej dopravy a</w:t>
      </w:r>
      <w:r>
        <w:rPr>
          <w:sz w:val="22"/>
          <w:szCs w:val="22"/>
        </w:rPr>
        <w:t> </w:t>
      </w:r>
      <w:r w:rsidRPr="00FD507A">
        <w:rPr>
          <w:sz w:val="22"/>
          <w:szCs w:val="22"/>
        </w:rPr>
        <w:t>s</w:t>
      </w:r>
      <w:r>
        <w:rPr>
          <w:sz w:val="22"/>
          <w:szCs w:val="22"/>
        </w:rPr>
        <w:t> </w:t>
      </w:r>
      <w:r w:rsidRPr="00FD507A">
        <w:rPr>
          <w:sz w:val="22"/>
          <w:szCs w:val="22"/>
        </w:rPr>
        <w:t>tým úzko súvisiaca nehodovosť.</w:t>
      </w:r>
      <w:r w:rsidR="008F0B27">
        <w:rPr>
          <w:sz w:val="22"/>
          <w:szCs w:val="22"/>
        </w:rPr>
        <w:t xml:space="preserve"> </w:t>
      </w:r>
      <w:r w:rsidRPr="00FD507A">
        <w:rPr>
          <w:sz w:val="22"/>
          <w:szCs w:val="22"/>
        </w:rPr>
        <w:t>Aj keď sa v</w:t>
      </w:r>
      <w:r>
        <w:rPr>
          <w:sz w:val="22"/>
          <w:szCs w:val="22"/>
        </w:rPr>
        <w:t> </w:t>
      </w:r>
      <w:r w:rsidRPr="00FD507A">
        <w:rPr>
          <w:sz w:val="22"/>
          <w:szCs w:val="22"/>
        </w:rPr>
        <w:t xml:space="preserve">posledných rokoch dosahuje priaznivý trend, tak vo vývoji počtu dopravných nehôd, ako aj počtu usmrtených osôb, tempo poklesu usmrtených osôb </w:t>
      </w:r>
      <w:r>
        <w:rPr>
          <w:sz w:val="22"/>
          <w:szCs w:val="22"/>
        </w:rPr>
        <w:t xml:space="preserve">je </w:t>
      </w:r>
      <w:r w:rsidRPr="00FD507A">
        <w:rPr>
          <w:sz w:val="22"/>
          <w:szCs w:val="22"/>
        </w:rPr>
        <w:t>nižšie ako miera poklesu dopravných nehôd. Táto skutočnosť mala za následok, že podiel u</w:t>
      </w:r>
      <w:r>
        <w:rPr>
          <w:sz w:val="22"/>
          <w:szCs w:val="22"/>
        </w:rPr>
        <w:t>smrtených osôb na </w:t>
      </w:r>
      <w:r w:rsidRPr="00FD507A">
        <w:rPr>
          <w:sz w:val="22"/>
          <w:szCs w:val="22"/>
        </w:rPr>
        <w:t>celkovom počte dopravných nehôd sa v</w:t>
      </w:r>
      <w:r>
        <w:rPr>
          <w:sz w:val="22"/>
          <w:szCs w:val="22"/>
        </w:rPr>
        <w:t> </w:t>
      </w:r>
      <w:r w:rsidRPr="00FD507A">
        <w:rPr>
          <w:sz w:val="22"/>
          <w:szCs w:val="22"/>
        </w:rPr>
        <w:t xml:space="preserve">rokoch 2009 </w:t>
      </w:r>
      <w:r>
        <w:rPr>
          <w:sz w:val="22"/>
          <w:szCs w:val="22"/>
        </w:rPr>
        <w:t>až</w:t>
      </w:r>
      <w:r w:rsidRPr="00FD507A">
        <w:rPr>
          <w:sz w:val="22"/>
          <w:szCs w:val="22"/>
        </w:rPr>
        <w:t xml:space="preserve"> 2011 zvyšoval a</w:t>
      </w:r>
      <w:r>
        <w:rPr>
          <w:sz w:val="22"/>
          <w:szCs w:val="22"/>
        </w:rPr>
        <w:t> </w:t>
      </w:r>
      <w:r w:rsidRPr="00FD507A">
        <w:rPr>
          <w:sz w:val="22"/>
          <w:szCs w:val="22"/>
        </w:rPr>
        <w:t>v</w:t>
      </w:r>
      <w:r>
        <w:rPr>
          <w:sz w:val="22"/>
          <w:szCs w:val="22"/>
        </w:rPr>
        <w:t> </w:t>
      </w:r>
      <w:r w:rsidRPr="00FD507A">
        <w:rPr>
          <w:sz w:val="22"/>
          <w:szCs w:val="22"/>
        </w:rPr>
        <w:t>roku 2011 dosiahol najvyššiu úroveň za obdobie posledných siedmich rokov.</w:t>
      </w:r>
    </w:p>
    <w:p w:rsidR="008F0B27" w:rsidRDefault="008F0B27" w:rsidP="008F0B27">
      <w:pPr>
        <w:spacing w:before="180"/>
        <w:jc w:val="both"/>
        <w:rPr>
          <w:sz w:val="22"/>
          <w:szCs w:val="22"/>
        </w:rPr>
      </w:pPr>
      <w:r w:rsidRPr="00657CBE">
        <w:rPr>
          <w:sz w:val="22"/>
          <w:szCs w:val="22"/>
        </w:rPr>
        <w:t>V súvislosti so záväzkami SR</w:t>
      </w:r>
      <w:r>
        <w:rPr>
          <w:sz w:val="22"/>
          <w:szCs w:val="22"/>
        </w:rPr>
        <w:t xml:space="preserve">, ktoré sa týkajú </w:t>
      </w:r>
      <w:r w:rsidRPr="00657CBE">
        <w:rPr>
          <w:sz w:val="22"/>
          <w:szCs w:val="22"/>
        </w:rPr>
        <w:t xml:space="preserve">znižovania počtu </w:t>
      </w:r>
      <w:r w:rsidRPr="00657CBE">
        <w:rPr>
          <w:iCs/>
          <w:sz w:val="22"/>
          <w:szCs w:val="22"/>
        </w:rPr>
        <w:t>usmrtených osôb v dôsledku dopravnej nehody v cestnej doprave</w:t>
      </w:r>
      <w:r w:rsidRPr="00657CBE">
        <w:rPr>
          <w:sz w:val="22"/>
          <w:szCs w:val="22"/>
        </w:rPr>
        <w:t xml:space="preserve"> je možné konštatovať, že stanovené ciele sú priebežne napĺňané a počet usmrtených osôb v dôsledku dopravnej nehody v rámci SR má klesajúcu tendenciu. </w:t>
      </w:r>
    </w:p>
    <w:p w:rsidR="0056229B" w:rsidRDefault="008F0B27" w:rsidP="0056229B">
      <w:pPr>
        <w:spacing w:before="180"/>
        <w:jc w:val="both"/>
        <w:rPr>
          <w:sz w:val="22"/>
          <w:szCs w:val="22"/>
        </w:rPr>
      </w:pPr>
      <w:r w:rsidRPr="00657CBE">
        <w:rPr>
          <w:sz w:val="22"/>
          <w:szCs w:val="22"/>
        </w:rPr>
        <w:t>Od roku 2007 klesal počet usmrtených na cestác</w:t>
      </w:r>
      <w:r>
        <w:rPr>
          <w:sz w:val="22"/>
          <w:szCs w:val="22"/>
        </w:rPr>
        <w:t xml:space="preserve">h z hodnoty 627 až na 223 osôb </w:t>
      </w:r>
      <w:r w:rsidRPr="00657CBE">
        <w:rPr>
          <w:sz w:val="22"/>
          <w:szCs w:val="22"/>
        </w:rPr>
        <w:t>v roku 2013, č</w:t>
      </w:r>
      <w:r w:rsidRPr="00460562">
        <w:rPr>
          <w:sz w:val="22"/>
          <w:szCs w:val="22"/>
        </w:rPr>
        <w:t>o bola historicky najnižšia hodnota počtu usmrtených na slovenských cestách. To predstavuje 4,1</w:t>
      </w:r>
      <w:r w:rsidRPr="00460562">
        <w:rPr>
          <w:bCs/>
          <w:sz w:val="22"/>
          <w:szCs w:val="22"/>
        </w:rPr>
        <w:t xml:space="preserve"> usmrtených na 100 tis. obyvateľov.</w:t>
      </w:r>
      <w:r w:rsidRPr="00AF7005">
        <w:rPr>
          <w:b/>
          <w:sz w:val="22"/>
          <w:szCs w:val="22"/>
        </w:rPr>
        <w:t xml:space="preserve"> </w:t>
      </w:r>
      <w:r w:rsidR="00876CC2">
        <w:rPr>
          <w:b/>
          <w:sz w:val="22"/>
          <w:szCs w:val="22"/>
        </w:rPr>
        <w:t>Cieľom SR</w:t>
      </w:r>
      <w:r w:rsidRPr="009D2BD5">
        <w:rPr>
          <w:b/>
          <w:sz w:val="22"/>
          <w:szCs w:val="22"/>
        </w:rPr>
        <w:t xml:space="preserve"> je pokračovať v realizácii opatrení na znižovanie počtu </w:t>
      </w:r>
      <w:r w:rsidR="002E1021">
        <w:rPr>
          <w:b/>
          <w:sz w:val="22"/>
          <w:szCs w:val="22"/>
        </w:rPr>
        <w:t>a </w:t>
      </w:r>
      <w:r w:rsidR="007E69E9">
        <w:rPr>
          <w:b/>
          <w:sz w:val="22"/>
          <w:szCs w:val="22"/>
        </w:rPr>
        <w:t>následkov</w:t>
      </w:r>
      <w:r w:rsidRPr="000D7BF3">
        <w:rPr>
          <w:b/>
          <w:sz w:val="22"/>
          <w:szCs w:val="22"/>
        </w:rPr>
        <w:t xml:space="preserve"> dopravných nehôd a znížiť počet usmrtených o 50 % oproti roku 2010.</w:t>
      </w:r>
      <w:r w:rsidRPr="000D7BF3">
        <w:rPr>
          <w:sz w:val="22"/>
          <w:szCs w:val="22"/>
        </w:rPr>
        <w:t xml:space="preserve"> Tento cieľ vychádza z Národného plánu na zvýšenie bezpečnosti cestnej premávky do roku 2020</w:t>
      </w:r>
      <w:r w:rsidR="004C77FC">
        <w:rPr>
          <w:rStyle w:val="Odkaznapoznmkupodiarou"/>
          <w:sz w:val="22"/>
          <w:szCs w:val="22"/>
        </w:rPr>
        <w:footnoteReference w:id="20"/>
      </w:r>
      <w:r w:rsidR="004C77FC">
        <w:rPr>
          <w:sz w:val="22"/>
          <w:szCs w:val="22"/>
        </w:rPr>
        <w:t xml:space="preserve">. </w:t>
      </w:r>
      <w:r w:rsidR="00876CC2">
        <w:rPr>
          <w:sz w:val="22"/>
          <w:szCs w:val="22"/>
        </w:rPr>
        <w:t>Predpokladom dosiahnutia t</w:t>
      </w:r>
      <w:r w:rsidR="00E22A35">
        <w:rPr>
          <w:sz w:val="22"/>
          <w:szCs w:val="22"/>
        </w:rPr>
        <w:t xml:space="preserve">ohto cieľa </w:t>
      </w:r>
      <w:r w:rsidR="005F1B36">
        <w:rPr>
          <w:sz w:val="22"/>
          <w:szCs w:val="22"/>
        </w:rPr>
        <w:t>je </w:t>
      </w:r>
      <w:r w:rsidR="00E22A35">
        <w:rPr>
          <w:sz w:val="22"/>
          <w:szCs w:val="22"/>
        </w:rPr>
        <w:t xml:space="preserve">úzka spolupráca relevantných subjektov a prijímanie opatrení v oblasti legislatívy, infraštruktúry, </w:t>
      </w:r>
      <w:r w:rsidR="0056229B">
        <w:rPr>
          <w:sz w:val="22"/>
          <w:szCs w:val="22"/>
        </w:rPr>
        <w:t xml:space="preserve">prevencie a </w:t>
      </w:r>
      <w:r w:rsidR="00E22A35">
        <w:rPr>
          <w:sz w:val="22"/>
          <w:szCs w:val="22"/>
        </w:rPr>
        <w:t>osvety a pod.</w:t>
      </w:r>
    </w:p>
    <w:p w:rsidR="004C77FC" w:rsidRDefault="004C77FC" w:rsidP="0056229B">
      <w:pPr>
        <w:spacing w:before="180"/>
        <w:jc w:val="both"/>
        <w:rPr>
          <w:sz w:val="22"/>
          <w:szCs w:val="22"/>
        </w:rPr>
      </w:pPr>
    </w:p>
    <w:p w:rsidR="00460562" w:rsidRDefault="008F0B27" w:rsidP="0056229B">
      <w:pPr>
        <w:spacing w:before="180"/>
        <w:jc w:val="both"/>
        <w:rPr>
          <w:sz w:val="22"/>
          <w:szCs w:val="22"/>
        </w:rPr>
      </w:pPr>
      <w:r>
        <w:rPr>
          <w:sz w:val="22"/>
          <w:szCs w:val="22"/>
        </w:rPr>
        <w:lastRenderedPageBreak/>
        <w:t xml:space="preserve">K znižovaniu </w:t>
      </w:r>
      <w:r w:rsidR="00460562" w:rsidRPr="00DA54CE">
        <w:rPr>
          <w:sz w:val="22"/>
          <w:szCs w:val="22"/>
        </w:rPr>
        <w:t>nehodovos</w:t>
      </w:r>
      <w:r>
        <w:rPr>
          <w:sz w:val="22"/>
          <w:szCs w:val="22"/>
        </w:rPr>
        <w:t>ti</w:t>
      </w:r>
      <w:r w:rsidR="00460562" w:rsidRPr="00DA54CE">
        <w:rPr>
          <w:sz w:val="22"/>
          <w:szCs w:val="22"/>
        </w:rPr>
        <w:t xml:space="preserve"> na pozemných komunikáciách</w:t>
      </w:r>
      <w:r w:rsidR="00F93BAD">
        <w:rPr>
          <w:sz w:val="22"/>
          <w:szCs w:val="22"/>
        </w:rPr>
        <w:t xml:space="preserve"> </w:t>
      </w:r>
      <w:r w:rsidR="00460562" w:rsidRPr="00DA54CE">
        <w:rPr>
          <w:sz w:val="22"/>
          <w:szCs w:val="22"/>
        </w:rPr>
        <w:t>má prispieť aj smernica Európskeho parlamentu a Rady 2008/96/ES o riadení bezpečnosti cestnej infra</w:t>
      </w:r>
      <w:r w:rsidR="00F93BAD">
        <w:rPr>
          <w:sz w:val="22"/>
          <w:szCs w:val="22"/>
        </w:rPr>
        <w:t xml:space="preserve">štruktúry. </w:t>
      </w:r>
      <w:r w:rsidR="00460562" w:rsidRPr="00DA54CE">
        <w:rPr>
          <w:sz w:val="22"/>
          <w:szCs w:val="22"/>
        </w:rPr>
        <w:t>V súlade so smernicou boli stanovené postupy, ktoré by mali byť významným nástrojom na zlepšenie bez</w:t>
      </w:r>
      <w:r w:rsidR="00E22A35">
        <w:rPr>
          <w:sz w:val="22"/>
          <w:szCs w:val="22"/>
        </w:rPr>
        <w:t>pečnosti cestnej infraštruktúry (pozri zákon NR SR č. 249/2011 Z. z.).</w:t>
      </w:r>
    </w:p>
    <w:p w:rsidR="00225A80" w:rsidRDefault="00225A80" w:rsidP="00225A80">
      <w:pPr>
        <w:autoSpaceDE w:val="0"/>
        <w:autoSpaceDN w:val="0"/>
        <w:adjustRightInd w:val="0"/>
        <w:spacing w:before="180"/>
        <w:jc w:val="both"/>
        <w:rPr>
          <w:rStyle w:val="FontStyle51"/>
          <w:b/>
        </w:rPr>
      </w:pPr>
      <w:r>
        <w:rPr>
          <w:rStyle w:val="FontStyle51"/>
        </w:rPr>
        <w:t>V nadväznosti na výsledky bezpečnostných auditov a rozborov na cestách I. triedy a s využitím skúseností a poznatkov získaných v prog</w:t>
      </w:r>
      <w:r w:rsidR="002D4DB4">
        <w:rPr>
          <w:rStyle w:val="FontStyle51"/>
        </w:rPr>
        <w:t>ramovom období 2007 – 2013</w:t>
      </w:r>
      <w:r>
        <w:rPr>
          <w:rStyle w:val="FontStyle51"/>
        </w:rPr>
        <w:t xml:space="preserve"> je cieľom MDVRR SR v spolupráci so SSC pripraviť a zo zdrojov PO 6 implementovať skupinu ucelených regionálnych projektov zameraných na </w:t>
      </w:r>
      <w:r w:rsidRPr="00225A80">
        <w:rPr>
          <w:rStyle w:val="FontStyle51"/>
          <w:b/>
        </w:rPr>
        <w:t>elimináciu bezpečnostných rizík na cestách I. triedy</w:t>
      </w:r>
      <w:r>
        <w:rPr>
          <w:rStyle w:val="FontStyle51"/>
          <w:b/>
        </w:rPr>
        <w:t xml:space="preserve"> a </w:t>
      </w:r>
      <w:r w:rsidR="00964182">
        <w:rPr>
          <w:rStyle w:val="FontStyle51"/>
          <w:b/>
        </w:rPr>
        <w:t>zlepšenie</w:t>
      </w:r>
      <w:r w:rsidRPr="00225A80">
        <w:rPr>
          <w:rStyle w:val="FontStyle51"/>
          <w:b/>
        </w:rPr>
        <w:t xml:space="preserve"> </w:t>
      </w:r>
      <w:r>
        <w:rPr>
          <w:rStyle w:val="FontStyle51"/>
          <w:b/>
        </w:rPr>
        <w:t>stavu mostných objektov a križovatiek.</w:t>
      </w:r>
    </w:p>
    <w:p w:rsidR="006126AF" w:rsidRDefault="006126AF" w:rsidP="00225A80">
      <w:pPr>
        <w:autoSpaceDE w:val="0"/>
        <w:autoSpaceDN w:val="0"/>
        <w:adjustRightInd w:val="0"/>
        <w:spacing w:before="180"/>
        <w:jc w:val="both"/>
        <w:rPr>
          <w:rStyle w:val="FontStyle51"/>
        </w:rPr>
      </w:pPr>
      <w:r>
        <w:rPr>
          <w:rStyle w:val="FontStyle51"/>
          <w:b/>
        </w:rPr>
        <w:t>Výstavba</w:t>
      </w:r>
      <w:r w:rsidR="00A84B84" w:rsidRPr="006126AF">
        <w:rPr>
          <w:rStyle w:val="FontStyle51"/>
          <w:b/>
        </w:rPr>
        <w:t xml:space="preserve"> nových úsekov </w:t>
      </w:r>
      <w:r>
        <w:rPr>
          <w:rStyle w:val="FontStyle51"/>
          <w:b/>
        </w:rPr>
        <w:t xml:space="preserve">ciest </w:t>
      </w:r>
      <w:r w:rsidR="00A84B84" w:rsidRPr="006126AF">
        <w:rPr>
          <w:rStyle w:val="FontStyle51"/>
          <w:b/>
        </w:rPr>
        <w:t xml:space="preserve">I. triedy </w:t>
      </w:r>
      <w:r w:rsidRPr="006126AF">
        <w:rPr>
          <w:rStyle w:val="FontStyle51"/>
          <w:b/>
        </w:rPr>
        <w:t>(</w:t>
      </w:r>
      <w:r w:rsidR="00A84B84" w:rsidRPr="006126AF">
        <w:rPr>
          <w:rStyle w:val="FontStyle51"/>
          <w:b/>
        </w:rPr>
        <w:t>obchvatov miest a</w:t>
      </w:r>
      <w:r>
        <w:rPr>
          <w:rStyle w:val="FontStyle51"/>
          <w:b/>
        </w:rPr>
        <w:t> </w:t>
      </w:r>
      <w:r w:rsidR="00A84B84" w:rsidRPr="006126AF">
        <w:rPr>
          <w:rStyle w:val="FontStyle51"/>
          <w:b/>
        </w:rPr>
        <w:t>obcí</w:t>
      </w:r>
      <w:r>
        <w:rPr>
          <w:rStyle w:val="FontStyle51"/>
          <w:b/>
        </w:rPr>
        <w:t>,</w:t>
      </w:r>
      <w:r w:rsidRPr="006126AF">
        <w:rPr>
          <w:rStyle w:val="FontStyle51"/>
          <w:b/>
        </w:rPr>
        <w:t> </w:t>
      </w:r>
      <w:r w:rsidR="00A84B84" w:rsidRPr="006126AF">
        <w:rPr>
          <w:rStyle w:val="FontStyle51"/>
          <w:b/>
        </w:rPr>
        <w:t>preložiek</w:t>
      </w:r>
      <w:r w:rsidRPr="006126AF">
        <w:rPr>
          <w:rStyle w:val="FontStyle51"/>
          <w:b/>
        </w:rPr>
        <w:t>)</w:t>
      </w:r>
      <w:r w:rsidR="00A84B84" w:rsidRPr="006126AF">
        <w:rPr>
          <w:rStyle w:val="FontStyle51"/>
          <w:b/>
        </w:rPr>
        <w:t xml:space="preserve"> bude realizovaná na základe zoznamu priorít stanovených odborný</w:t>
      </w:r>
      <w:r w:rsidRPr="006126AF">
        <w:rPr>
          <w:rStyle w:val="FontStyle51"/>
          <w:b/>
        </w:rPr>
        <w:t>m viackriteriálnym hodnotením</w:t>
      </w:r>
      <w:r w:rsidRPr="006126AF">
        <w:rPr>
          <w:rStyle w:val="FontStyle51"/>
        </w:rPr>
        <w:t>, ktoré bolo vykonané v roku 2013 pri tvorbe Strategického plánu</w:t>
      </w:r>
      <w:r>
        <w:rPr>
          <w:rStyle w:val="FontStyle51"/>
        </w:rPr>
        <w:t xml:space="preserve">. </w:t>
      </w:r>
      <w:r w:rsidR="001A2C85">
        <w:rPr>
          <w:rStyle w:val="FontStyle51"/>
        </w:rPr>
        <w:t xml:space="preserve">Predpokladá sa, že </w:t>
      </w:r>
      <w:r w:rsidR="005A2F00" w:rsidRPr="005A2F00">
        <w:rPr>
          <w:rStyle w:val="FontStyle51"/>
          <w:b/>
        </w:rPr>
        <w:t>p</w:t>
      </w:r>
      <w:r w:rsidRPr="005A2F00">
        <w:rPr>
          <w:rStyle w:val="FontStyle51"/>
          <w:b/>
        </w:rPr>
        <w:t xml:space="preserve">o roku 2016 </w:t>
      </w:r>
      <w:r w:rsidR="0083727B">
        <w:rPr>
          <w:rStyle w:val="FontStyle51"/>
          <w:b/>
        </w:rPr>
        <w:t>bude do </w:t>
      </w:r>
      <w:r w:rsidR="005A2F00" w:rsidRPr="005A2F00">
        <w:rPr>
          <w:rStyle w:val="FontStyle51"/>
          <w:b/>
        </w:rPr>
        <w:t xml:space="preserve">prevádzky </w:t>
      </w:r>
      <w:r w:rsidR="001A2C85">
        <w:rPr>
          <w:rStyle w:val="FontStyle51"/>
          <w:b/>
        </w:rPr>
        <w:t>uvedený Dopravný model</w:t>
      </w:r>
      <w:r w:rsidR="005A2F00">
        <w:rPr>
          <w:rStyle w:val="FontStyle51"/>
          <w:b/>
        </w:rPr>
        <w:t xml:space="preserve"> S</w:t>
      </w:r>
      <w:r w:rsidR="0083727B">
        <w:rPr>
          <w:rStyle w:val="FontStyle51"/>
          <w:b/>
        </w:rPr>
        <w:t>lovenskej republiky</w:t>
      </w:r>
      <w:r w:rsidR="005A2F00">
        <w:rPr>
          <w:rStyle w:val="FontStyle51"/>
        </w:rPr>
        <w:t xml:space="preserve">, </w:t>
      </w:r>
      <w:r w:rsidR="0083727B">
        <w:rPr>
          <w:rStyle w:val="FontStyle51"/>
        </w:rPr>
        <w:t xml:space="preserve">prostredníctvom ktorého bude vykonávané modelovanie </w:t>
      </w:r>
      <w:r>
        <w:rPr>
          <w:rStyle w:val="FontStyle51"/>
        </w:rPr>
        <w:t xml:space="preserve">dopravno-prepravných vzťahov </w:t>
      </w:r>
      <w:r w:rsidR="0083727B">
        <w:rPr>
          <w:rStyle w:val="FontStyle51"/>
        </w:rPr>
        <w:t>a definovanie</w:t>
      </w:r>
      <w:r w:rsidR="005A2F00">
        <w:rPr>
          <w:rStyle w:val="FontStyle51"/>
        </w:rPr>
        <w:t xml:space="preserve"> investičných priorít.</w:t>
      </w:r>
    </w:p>
    <w:p w:rsidR="0056229B" w:rsidRDefault="0056229B" w:rsidP="0056229B">
      <w:pPr>
        <w:autoSpaceDE w:val="0"/>
        <w:autoSpaceDN w:val="0"/>
        <w:adjustRightInd w:val="0"/>
        <w:spacing w:before="180"/>
        <w:jc w:val="both"/>
        <w:rPr>
          <w:rStyle w:val="FontStyle51"/>
        </w:rPr>
      </w:pPr>
      <w:r w:rsidRPr="0056229B">
        <w:rPr>
          <w:rStyle w:val="FontStyle51"/>
        </w:rPr>
        <w:t>Na základe preskúmania ab</w:t>
      </w:r>
      <w:r w:rsidR="00225A80">
        <w:rPr>
          <w:rStyle w:val="FontStyle51"/>
        </w:rPr>
        <w:t xml:space="preserve">sorpčnej kapacity prijímateľov </w:t>
      </w:r>
      <w:r w:rsidRPr="0056229B">
        <w:rPr>
          <w:rStyle w:val="FontStyle51"/>
        </w:rPr>
        <w:t>je možné charakterizovať SSC ako prijímateľa, ktorý disponuje dostatočným počtom pripravených projektov a projektových zámerov. Z tohto dôvodu je cieľom RO OPII alokovať väčšiu časť zdrojov prioritnej osi na výstavbu a modernizáciu ciest I. triedy (cca 60% alokácie PO 6).</w:t>
      </w:r>
    </w:p>
    <w:p w:rsidR="00C43D5B" w:rsidRPr="0056229B" w:rsidRDefault="00C43D5B" w:rsidP="0056229B">
      <w:pPr>
        <w:autoSpaceDE w:val="0"/>
        <w:autoSpaceDN w:val="0"/>
        <w:adjustRightInd w:val="0"/>
        <w:spacing w:before="180"/>
        <w:jc w:val="both"/>
        <w:rPr>
          <w:rStyle w:val="FontStyle51"/>
        </w:rPr>
      </w:pPr>
      <w:r>
        <w:rPr>
          <w:rStyle w:val="FontStyle51"/>
        </w:rPr>
        <w:t xml:space="preserve">Na záver je potrebné zdôrazniť, že </w:t>
      </w:r>
      <w:r w:rsidRPr="00C43D5B">
        <w:rPr>
          <w:rStyle w:val="FontStyle51"/>
        </w:rPr>
        <w:t xml:space="preserve">zachovanie </w:t>
      </w:r>
      <w:r>
        <w:rPr>
          <w:rStyle w:val="FontStyle51"/>
        </w:rPr>
        <w:t xml:space="preserve">udržateľnosti investícií - </w:t>
      </w:r>
      <w:r w:rsidRPr="00C43D5B">
        <w:rPr>
          <w:rStyle w:val="FontStyle51"/>
        </w:rPr>
        <w:t xml:space="preserve">prevádzkovej spôsobilosti </w:t>
      </w:r>
      <w:r>
        <w:rPr>
          <w:rStyle w:val="FontStyle51"/>
        </w:rPr>
        <w:t>ciest</w:t>
      </w:r>
      <w:r w:rsidR="007460B3">
        <w:rPr>
          <w:rStyle w:val="FontStyle51"/>
        </w:rPr>
        <w:t xml:space="preserve"> a cestných objektov</w:t>
      </w:r>
      <w:r>
        <w:rPr>
          <w:rStyle w:val="FontStyle51"/>
        </w:rPr>
        <w:t xml:space="preserve"> je potrebné zabezpečiť p</w:t>
      </w:r>
      <w:r w:rsidRPr="00C43D5B">
        <w:rPr>
          <w:rStyle w:val="FontStyle51"/>
        </w:rPr>
        <w:t xml:space="preserve">rostredníctvom </w:t>
      </w:r>
      <w:r>
        <w:rPr>
          <w:rStyle w:val="FontStyle51"/>
        </w:rPr>
        <w:t xml:space="preserve">systémových zmien a nastavenia </w:t>
      </w:r>
      <w:r w:rsidRPr="00C43D5B">
        <w:rPr>
          <w:rStyle w:val="FontStyle51"/>
        </w:rPr>
        <w:t xml:space="preserve">optimálneho financovania </w:t>
      </w:r>
      <w:r>
        <w:rPr>
          <w:rStyle w:val="FontStyle51"/>
        </w:rPr>
        <w:t>cyklickej údržby a opráv.</w:t>
      </w:r>
      <w:r w:rsidR="001E6860">
        <w:rPr>
          <w:rStyle w:val="FontStyle51"/>
        </w:rPr>
        <w:t xml:space="preserve"> Finančné prostriedky na dosiahnutie cieľa by mal poskytnúť štátny rozpočet (kapitola MDVRR SR).</w:t>
      </w:r>
    </w:p>
    <w:p w:rsidR="00086DD6" w:rsidRPr="005139F6" w:rsidRDefault="00086DD6" w:rsidP="00FE6025">
      <w:pPr>
        <w:numPr>
          <w:ilvl w:val="2"/>
          <w:numId w:val="37"/>
        </w:numPr>
        <w:tabs>
          <w:tab w:val="clear" w:pos="360"/>
        </w:tabs>
        <w:autoSpaceDE w:val="0"/>
        <w:autoSpaceDN w:val="0"/>
        <w:adjustRightInd w:val="0"/>
        <w:spacing w:before="180" w:after="120"/>
        <w:ind w:left="851" w:hanging="425"/>
        <w:jc w:val="both"/>
        <w:rPr>
          <w:b/>
          <w:i/>
          <w:color w:val="4F81BD" w:themeColor="accent1"/>
          <w:sz w:val="22"/>
          <w:szCs w:val="22"/>
        </w:rPr>
      </w:pPr>
      <w:r w:rsidRPr="005139F6">
        <w:rPr>
          <w:b/>
          <w:i/>
          <w:color w:val="4F81BD" w:themeColor="accent1"/>
          <w:sz w:val="22"/>
          <w:szCs w:val="22"/>
        </w:rPr>
        <w:t>Budovanie inteligentných dopravných systémov</w:t>
      </w:r>
    </w:p>
    <w:p w:rsidR="00FD1F7C" w:rsidRPr="00476286" w:rsidRDefault="00DC7716" w:rsidP="00476286">
      <w:pPr>
        <w:autoSpaceDE w:val="0"/>
        <w:autoSpaceDN w:val="0"/>
        <w:adjustRightInd w:val="0"/>
        <w:jc w:val="both"/>
        <w:rPr>
          <w:sz w:val="22"/>
          <w:szCs w:val="22"/>
        </w:rPr>
      </w:pPr>
      <w:r w:rsidRPr="00DC7716">
        <w:rPr>
          <w:sz w:val="22"/>
          <w:szCs w:val="22"/>
        </w:rPr>
        <w:t xml:space="preserve">Súčasný stav </w:t>
      </w:r>
      <w:r>
        <w:rPr>
          <w:sz w:val="22"/>
          <w:szCs w:val="22"/>
        </w:rPr>
        <w:t xml:space="preserve">na Slovensku v oblasti poskytovania </w:t>
      </w:r>
      <w:r w:rsidRPr="00DC7716">
        <w:rPr>
          <w:sz w:val="22"/>
          <w:szCs w:val="22"/>
        </w:rPr>
        <w:t>dopravných informácií a</w:t>
      </w:r>
      <w:r>
        <w:rPr>
          <w:sz w:val="22"/>
          <w:szCs w:val="22"/>
        </w:rPr>
        <w:t xml:space="preserve"> využívania </w:t>
      </w:r>
      <w:r w:rsidRPr="00DC7716">
        <w:rPr>
          <w:sz w:val="22"/>
          <w:szCs w:val="22"/>
        </w:rPr>
        <w:t>dopra</w:t>
      </w:r>
      <w:r>
        <w:rPr>
          <w:sz w:val="22"/>
          <w:szCs w:val="22"/>
        </w:rPr>
        <w:t>vnej telematiky je </w:t>
      </w:r>
      <w:r w:rsidRPr="00DC7716">
        <w:rPr>
          <w:sz w:val="22"/>
          <w:szCs w:val="22"/>
        </w:rPr>
        <w:t>v začiatkoch svojho rozvoja.</w:t>
      </w:r>
      <w:r>
        <w:rPr>
          <w:sz w:val="22"/>
          <w:szCs w:val="22"/>
        </w:rPr>
        <w:t xml:space="preserve"> Na cestách absentuje dopravná telematika a technologické zariadenia</w:t>
      </w:r>
      <w:r w:rsidR="00514805">
        <w:rPr>
          <w:sz w:val="22"/>
          <w:szCs w:val="22"/>
        </w:rPr>
        <w:t>, ktoré by umožnili</w:t>
      </w:r>
      <w:r>
        <w:rPr>
          <w:sz w:val="22"/>
          <w:szCs w:val="22"/>
        </w:rPr>
        <w:t xml:space="preserve"> monitorovanie prevádzkových podmienok</w:t>
      </w:r>
      <w:r w:rsidR="00514805">
        <w:rPr>
          <w:sz w:val="22"/>
          <w:szCs w:val="22"/>
        </w:rPr>
        <w:t xml:space="preserve">, ako aj vykonávanie reálneho </w:t>
      </w:r>
      <w:r>
        <w:rPr>
          <w:sz w:val="22"/>
          <w:szCs w:val="22"/>
        </w:rPr>
        <w:t>manažment</w:t>
      </w:r>
      <w:r w:rsidR="00964182">
        <w:rPr>
          <w:sz w:val="22"/>
          <w:szCs w:val="22"/>
        </w:rPr>
        <w:t>u</w:t>
      </w:r>
      <w:r w:rsidR="00514805">
        <w:rPr>
          <w:sz w:val="22"/>
          <w:szCs w:val="22"/>
        </w:rPr>
        <w:t xml:space="preserve"> dopravy</w:t>
      </w:r>
      <w:r>
        <w:rPr>
          <w:sz w:val="22"/>
          <w:szCs w:val="22"/>
        </w:rPr>
        <w:t>.</w:t>
      </w:r>
      <w:r w:rsidR="00476286">
        <w:rPr>
          <w:sz w:val="22"/>
          <w:szCs w:val="22"/>
        </w:rPr>
        <w:t xml:space="preserve"> </w:t>
      </w:r>
      <w:r w:rsidR="00460562" w:rsidRPr="000907E6">
        <w:rPr>
          <w:sz w:val="22"/>
          <w:szCs w:val="22"/>
        </w:rPr>
        <w:t>Implemen</w:t>
      </w:r>
      <w:r w:rsidR="00476286">
        <w:rPr>
          <w:sz w:val="22"/>
          <w:szCs w:val="22"/>
        </w:rPr>
        <w:t>tácia m</w:t>
      </w:r>
      <w:r w:rsidR="009D309A">
        <w:rPr>
          <w:sz w:val="22"/>
          <w:szCs w:val="22"/>
        </w:rPr>
        <w:t>oderných technológií sa </w:t>
      </w:r>
      <w:r w:rsidR="00476286">
        <w:rPr>
          <w:sz w:val="22"/>
          <w:szCs w:val="22"/>
        </w:rPr>
        <w:t>pritom môže významným spôsobom podieľať na intenzifikácii</w:t>
      </w:r>
      <w:r w:rsidR="00460562" w:rsidRPr="000907E6">
        <w:rPr>
          <w:sz w:val="22"/>
          <w:szCs w:val="22"/>
        </w:rPr>
        <w:t xml:space="preserve"> kap</w:t>
      </w:r>
      <w:r w:rsidR="00460562">
        <w:rPr>
          <w:sz w:val="22"/>
          <w:szCs w:val="22"/>
        </w:rPr>
        <w:t xml:space="preserve">acity existujúcej cestnej siete, </w:t>
      </w:r>
      <w:r w:rsidR="00476286">
        <w:rPr>
          <w:sz w:val="22"/>
          <w:szCs w:val="22"/>
        </w:rPr>
        <w:t xml:space="preserve">zmierniť kongescie a zlepšiť </w:t>
      </w:r>
      <w:r w:rsidR="00460562" w:rsidRPr="000907E6">
        <w:rPr>
          <w:sz w:val="22"/>
          <w:szCs w:val="22"/>
        </w:rPr>
        <w:t>bezpečnos</w:t>
      </w:r>
      <w:r w:rsidR="00476286">
        <w:rPr>
          <w:sz w:val="22"/>
          <w:szCs w:val="22"/>
        </w:rPr>
        <w:t xml:space="preserve">ť a plynulosť </w:t>
      </w:r>
      <w:r w:rsidR="00460562">
        <w:rPr>
          <w:sz w:val="22"/>
          <w:szCs w:val="22"/>
        </w:rPr>
        <w:t>cestnej premávky.</w:t>
      </w:r>
    </w:p>
    <w:p w:rsidR="009D527D" w:rsidRDefault="00460562" w:rsidP="000F6223">
      <w:pPr>
        <w:autoSpaceDE w:val="0"/>
        <w:autoSpaceDN w:val="0"/>
        <w:adjustRightInd w:val="0"/>
        <w:spacing w:before="180" w:after="120"/>
        <w:jc w:val="both"/>
        <w:rPr>
          <w:sz w:val="22"/>
          <w:szCs w:val="22"/>
        </w:rPr>
      </w:pPr>
      <w:r w:rsidRPr="005348B9">
        <w:rPr>
          <w:sz w:val="22"/>
          <w:szCs w:val="22"/>
        </w:rPr>
        <w:t xml:space="preserve">Dopravná telematika </w:t>
      </w:r>
      <w:r w:rsidR="009D309A">
        <w:rPr>
          <w:sz w:val="22"/>
          <w:szCs w:val="22"/>
        </w:rPr>
        <w:t>(p</w:t>
      </w:r>
      <w:r w:rsidR="009D309A" w:rsidRPr="009D309A">
        <w:rPr>
          <w:sz w:val="22"/>
          <w:szCs w:val="22"/>
        </w:rPr>
        <w:t>remenné dop</w:t>
      </w:r>
      <w:r w:rsidR="009D309A">
        <w:rPr>
          <w:sz w:val="22"/>
          <w:szCs w:val="22"/>
        </w:rPr>
        <w:t xml:space="preserve">ravné značenia, meteo stanice, </w:t>
      </w:r>
      <w:r w:rsidR="009D527D">
        <w:rPr>
          <w:sz w:val="22"/>
          <w:szCs w:val="22"/>
        </w:rPr>
        <w:t xml:space="preserve">CCTV </w:t>
      </w:r>
      <w:r w:rsidR="009D309A">
        <w:rPr>
          <w:sz w:val="22"/>
          <w:szCs w:val="22"/>
        </w:rPr>
        <w:t xml:space="preserve">kamery) </w:t>
      </w:r>
      <w:r w:rsidRPr="005348B9">
        <w:rPr>
          <w:sz w:val="22"/>
          <w:szCs w:val="22"/>
        </w:rPr>
        <w:t>bude nasadzovaná v najzaťaženejších úsekoch a v kritických</w:t>
      </w:r>
      <w:r w:rsidRPr="000907E6">
        <w:rPr>
          <w:sz w:val="22"/>
          <w:szCs w:val="22"/>
        </w:rPr>
        <w:t xml:space="preserve"> </w:t>
      </w:r>
      <w:r>
        <w:rPr>
          <w:sz w:val="22"/>
          <w:szCs w:val="22"/>
        </w:rPr>
        <w:t>nehodových lokalitách, či už na </w:t>
      </w:r>
      <w:r w:rsidRPr="000907E6">
        <w:rPr>
          <w:sz w:val="22"/>
          <w:szCs w:val="22"/>
        </w:rPr>
        <w:t>extravilánových úsekoch, ako aj v</w:t>
      </w:r>
      <w:r>
        <w:rPr>
          <w:sz w:val="22"/>
          <w:szCs w:val="22"/>
        </w:rPr>
        <w:t> </w:t>
      </w:r>
      <w:r w:rsidRPr="000907E6">
        <w:rPr>
          <w:sz w:val="22"/>
          <w:szCs w:val="22"/>
        </w:rPr>
        <w:t>intraviláne miest a</w:t>
      </w:r>
      <w:r w:rsidR="00476286">
        <w:rPr>
          <w:sz w:val="22"/>
          <w:szCs w:val="22"/>
        </w:rPr>
        <w:t> obcí, na ktorých sa zo strednodobého hľadiska nepredpokladá investičná výstavba.</w:t>
      </w:r>
      <w:r w:rsidR="009D527D">
        <w:rPr>
          <w:sz w:val="22"/>
          <w:szCs w:val="22"/>
        </w:rPr>
        <w:t xml:space="preserve"> </w:t>
      </w:r>
      <w:r w:rsidR="000F6223">
        <w:rPr>
          <w:sz w:val="22"/>
          <w:szCs w:val="22"/>
        </w:rPr>
        <w:t xml:space="preserve">Vysoké opodstatnenie má vybavenie </w:t>
      </w:r>
      <w:r w:rsidR="000F6223" w:rsidRPr="000F6223">
        <w:rPr>
          <w:sz w:val="22"/>
          <w:szCs w:val="22"/>
        </w:rPr>
        <w:t>úsekov smerujúcich k horským priechodom, ako napr.</w:t>
      </w:r>
      <w:r w:rsidR="000F6223">
        <w:rPr>
          <w:sz w:val="22"/>
          <w:szCs w:val="22"/>
        </w:rPr>
        <w:t xml:space="preserve"> </w:t>
      </w:r>
      <w:r w:rsidR="000F6223" w:rsidRPr="000F6223">
        <w:rPr>
          <w:sz w:val="22"/>
          <w:szCs w:val="22"/>
        </w:rPr>
        <w:t>Šturec, Donovaly, Čertovica</w:t>
      </w:r>
      <w:r w:rsidR="000F6223">
        <w:rPr>
          <w:sz w:val="22"/>
          <w:szCs w:val="22"/>
        </w:rPr>
        <w:t xml:space="preserve"> tak</w:t>
      </w:r>
      <w:r w:rsidR="000F6223" w:rsidRPr="000F6223">
        <w:rPr>
          <w:sz w:val="22"/>
          <w:szCs w:val="22"/>
        </w:rPr>
        <w:t xml:space="preserve">, aby bolo možné efektívne riadiť dopravu najmä </w:t>
      </w:r>
      <w:r w:rsidR="000F6223">
        <w:rPr>
          <w:sz w:val="22"/>
          <w:szCs w:val="22"/>
        </w:rPr>
        <w:t>v zimnom období, v </w:t>
      </w:r>
      <w:r w:rsidR="000F6223" w:rsidRPr="000F6223">
        <w:rPr>
          <w:sz w:val="22"/>
          <w:szCs w:val="22"/>
        </w:rPr>
        <w:t>prípade kritických situácií,</w:t>
      </w:r>
      <w:r w:rsidR="000F6223">
        <w:rPr>
          <w:sz w:val="22"/>
          <w:szCs w:val="22"/>
        </w:rPr>
        <w:t xml:space="preserve"> </w:t>
      </w:r>
      <w:r w:rsidR="000F6223" w:rsidRPr="000F6223">
        <w:rPr>
          <w:sz w:val="22"/>
          <w:szCs w:val="22"/>
        </w:rPr>
        <w:t>uzávierok, či pri plánovaní trás nadr</w:t>
      </w:r>
      <w:r w:rsidR="000F6223">
        <w:rPr>
          <w:sz w:val="22"/>
          <w:szCs w:val="22"/>
        </w:rPr>
        <w:t>ozmernej a nebezpečnej prepravy.</w:t>
      </w:r>
      <w:r w:rsidR="00B47A1A">
        <w:rPr>
          <w:sz w:val="22"/>
          <w:szCs w:val="22"/>
        </w:rPr>
        <w:t xml:space="preserve"> Prínosom zavedenia IDS môže byť taktiež čiastočná úspora nákladov inak potrebných v intravilánoch miest na budovanie obchvatov a preložiek.</w:t>
      </w:r>
    </w:p>
    <w:p w:rsidR="00460562" w:rsidRDefault="00460562" w:rsidP="009D527D">
      <w:pPr>
        <w:autoSpaceDE w:val="0"/>
        <w:autoSpaceDN w:val="0"/>
        <w:adjustRightInd w:val="0"/>
        <w:spacing w:before="180" w:after="120"/>
        <w:jc w:val="both"/>
        <w:rPr>
          <w:sz w:val="22"/>
          <w:szCs w:val="22"/>
        </w:rPr>
      </w:pPr>
      <w:r>
        <w:rPr>
          <w:sz w:val="22"/>
          <w:szCs w:val="22"/>
        </w:rPr>
        <w:t>Táto oblasť by mala komplementárne doplniť aktivity spolufinancované z KF v rámci PO 2.</w:t>
      </w:r>
      <w:r w:rsidR="009D527D">
        <w:rPr>
          <w:sz w:val="22"/>
          <w:szCs w:val="22"/>
        </w:rPr>
        <w:t xml:space="preserve"> V tomto prípade bude dodanie a inštalácia inteligentných dopravných systémov </w:t>
      </w:r>
      <w:r w:rsidR="005D74B7">
        <w:rPr>
          <w:sz w:val="22"/>
          <w:szCs w:val="22"/>
        </w:rPr>
        <w:t xml:space="preserve">a súvisiacich riadiacich, dohľadových a komunikačných systémov </w:t>
      </w:r>
      <w:r w:rsidR="009D527D">
        <w:rPr>
          <w:sz w:val="22"/>
          <w:szCs w:val="22"/>
        </w:rPr>
        <w:t>smerovať na už existujúc</w:t>
      </w:r>
      <w:r w:rsidR="00BC169E">
        <w:rPr>
          <w:sz w:val="22"/>
          <w:szCs w:val="22"/>
        </w:rPr>
        <w:t>e diaľnice</w:t>
      </w:r>
      <w:r w:rsidR="005D74B7">
        <w:rPr>
          <w:sz w:val="22"/>
          <w:szCs w:val="22"/>
        </w:rPr>
        <w:t xml:space="preserve">, </w:t>
      </w:r>
      <w:r w:rsidR="00BC169E">
        <w:rPr>
          <w:sz w:val="22"/>
          <w:szCs w:val="22"/>
        </w:rPr>
        <w:t xml:space="preserve">rýchlostné cesty </w:t>
      </w:r>
      <w:r w:rsidR="00DB53FE">
        <w:rPr>
          <w:sz w:val="22"/>
          <w:szCs w:val="22"/>
        </w:rPr>
        <w:t>a cesty nižších kategórií</w:t>
      </w:r>
      <w:r w:rsidR="005D74B7">
        <w:rPr>
          <w:sz w:val="22"/>
          <w:szCs w:val="22"/>
        </w:rPr>
        <w:t xml:space="preserve"> </w:t>
      </w:r>
      <w:r w:rsidR="00BC169E">
        <w:rPr>
          <w:sz w:val="22"/>
          <w:szCs w:val="22"/>
        </w:rPr>
        <w:t>s </w:t>
      </w:r>
      <w:r w:rsidR="009D527D">
        <w:rPr>
          <w:sz w:val="22"/>
          <w:szCs w:val="22"/>
        </w:rPr>
        <w:t>cieľom zlepšenia informovanosti, bezpečnosti a plynulosti cestnej premávky.</w:t>
      </w:r>
    </w:p>
    <w:p w:rsidR="00086DD6" w:rsidRPr="005139F6" w:rsidRDefault="00460562" w:rsidP="00FE6025">
      <w:pPr>
        <w:numPr>
          <w:ilvl w:val="2"/>
          <w:numId w:val="37"/>
        </w:numPr>
        <w:tabs>
          <w:tab w:val="clear" w:pos="360"/>
        </w:tabs>
        <w:autoSpaceDE w:val="0"/>
        <w:autoSpaceDN w:val="0"/>
        <w:adjustRightInd w:val="0"/>
        <w:spacing w:before="180" w:after="120"/>
        <w:ind w:left="851" w:hanging="425"/>
        <w:jc w:val="both"/>
        <w:rPr>
          <w:b/>
          <w:i/>
          <w:color w:val="4F81BD" w:themeColor="accent1"/>
          <w:sz w:val="22"/>
          <w:szCs w:val="22"/>
        </w:rPr>
      </w:pPr>
      <w:r w:rsidRPr="005139F6">
        <w:rPr>
          <w:b/>
          <w:i/>
          <w:color w:val="4F81BD" w:themeColor="accent1"/>
          <w:sz w:val="22"/>
          <w:szCs w:val="22"/>
        </w:rPr>
        <w:t>Výstavba a modernizácia cestnej infraštruktúry v súvislosti so zabezpečením efektívneho colného konania</w:t>
      </w:r>
    </w:p>
    <w:p w:rsidR="00460562" w:rsidRPr="006E637C" w:rsidRDefault="00460562" w:rsidP="00460562">
      <w:pPr>
        <w:pStyle w:val="Default"/>
        <w:spacing w:before="180"/>
        <w:jc w:val="both"/>
        <w:rPr>
          <w:color w:val="auto"/>
          <w:sz w:val="22"/>
          <w:szCs w:val="22"/>
        </w:rPr>
      </w:pPr>
      <w:r w:rsidRPr="006E637C">
        <w:rPr>
          <w:color w:val="auto"/>
          <w:sz w:val="22"/>
          <w:szCs w:val="22"/>
        </w:rPr>
        <w:t>Na základe zákona č. 575/2001 Z. z. o organizácii činnosti vlády a organizácii ústrednej štátnej správy v znení neskorších predpisov patrí štátna správa pre oblasť financií, daní a colníctva</w:t>
      </w:r>
      <w:r w:rsidR="001E09F3">
        <w:rPr>
          <w:rStyle w:val="Odkaznapoznmkupodiarou"/>
          <w:color w:val="auto"/>
          <w:sz w:val="22"/>
          <w:szCs w:val="22"/>
        </w:rPr>
        <w:footnoteReference w:id="21"/>
      </w:r>
      <w:r w:rsidRPr="006E637C">
        <w:rPr>
          <w:color w:val="auto"/>
          <w:sz w:val="22"/>
          <w:szCs w:val="22"/>
        </w:rPr>
        <w:t xml:space="preserve"> do pôsobnosti Ministerstva financií SR. Zlepšenie kvality služieb poskytovaných verejnou správou v týchto </w:t>
      </w:r>
      <w:r w:rsidRPr="006E637C">
        <w:rPr>
          <w:color w:val="auto"/>
          <w:sz w:val="22"/>
          <w:szCs w:val="22"/>
        </w:rPr>
        <w:lastRenderedPageBreak/>
        <w:t>oblastiach závisí aj od koordinovanej spolupráce relevantných vnútroštátnych a nadnárodných orgánov.</w:t>
      </w:r>
    </w:p>
    <w:p w:rsidR="00460562" w:rsidRPr="006E637C" w:rsidRDefault="00460562" w:rsidP="00460562">
      <w:pPr>
        <w:pStyle w:val="Default"/>
        <w:spacing w:before="180"/>
        <w:jc w:val="both"/>
        <w:rPr>
          <w:color w:val="auto"/>
          <w:sz w:val="22"/>
          <w:szCs w:val="22"/>
        </w:rPr>
      </w:pPr>
      <w:r w:rsidRPr="006E637C">
        <w:rPr>
          <w:color w:val="auto"/>
          <w:sz w:val="22"/>
          <w:szCs w:val="22"/>
        </w:rPr>
        <w:t>Účinná a nákladovo efektívna činnosť colných orgánov má podporovať rozvoj obchodu, napomáhať ekonomickému rastu a súčasne bojovať proti co</w:t>
      </w:r>
      <w:r w:rsidR="00197539">
        <w:rPr>
          <w:color w:val="auto"/>
          <w:sz w:val="22"/>
          <w:szCs w:val="22"/>
        </w:rPr>
        <w:t xml:space="preserve">lným a daňovým podvodom, a tým </w:t>
      </w:r>
      <w:r w:rsidRPr="006E637C">
        <w:rPr>
          <w:color w:val="auto"/>
          <w:sz w:val="22"/>
          <w:szCs w:val="22"/>
        </w:rPr>
        <w:t>priamo ochraňovať vnútorný trh EÚ. Z tohto dôvodu je preto nevyhnutné zabezpečiť existenciu adekvátnej legislatívy, ktorá je základným predpokladom na to, aby sa vytvorili priaznivé podmienky pre obchodné podnikateľské subjekty zamerané na dovoz, vývoz alebo tranzi</w:t>
      </w:r>
      <w:r w:rsidR="00197539">
        <w:rPr>
          <w:color w:val="auto"/>
          <w:sz w:val="22"/>
          <w:szCs w:val="22"/>
        </w:rPr>
        <w:t>t tovaru cez colné územie EÚ so </w:t>
      </w:r>
      <w:r w:rsidRPr="006E637C">
        <w:rPr>
          <w:color w:val="auto"/>
          <w:sz w:val="22"/>
          <w:szCs w:val="22"/>
        </w:rPr>
        <w:t xml:space="preserve">zvláštnym dôrazom na vonkajšiu hranicu EÚ. Ďalším faktorom, na </w:t>
      </w:r>
      <w:r w:rsidR="005139F6">
        <w:rPr>
          <w:color w:val="auto"/>
          <w:sz w:val="22"/>
          <w:szCs w:val="22"/>
        </w:rPr>
        <w:t>ktorý je potrebné sa zamerať je </w:t>
      </w:r>
      <w:r w:rsidR="002D4DB4">
        <w:rPr>
          <w:color w:val="auto"/>
          <w:sz w:val="22"/>
          <w:szCs w:val="22"/>
        </w:rPr>
        <w:t>rozvoj a budovanie</w:t>
      </w:r>
      <w:r w:rsidRPr="006E637C">
        <w:rPr>
          <w:color w:val="auto"/>
          <w:sz w:val="22"/>
          <w:szCs w:val="22"/>
        </w:rPr>
        <w:t xml:space="preserve"> kapacít v colnej oblasti s dôrazom najmä na modernizáciu poskytovaných colných služieb, modernizáciu infraštruktúry, IT systémov, technických zariadení, detekčných technológií, ako aj zvyšovanie profesionálnej úrovne colníkov a civilných zamest</w:t>
      </w:r>
      <w:r>
        <w:rPr>
          <w:color w:val="auto"/>
          <w:sz w:val="22"/>
          <w:szCs w:val="22"/>
        </w:rPr>
        <w:t>nancov finančnej správy, a to s </w:t>
      </w:r>
      <w:r w:rsidRPr="006E637C">
        <w:rPr>
          <w:color w:val="auto"/>
          <w:sz w:val="22"/>
          <w:szCs w:val="22"/>
        </w:rPr>
        <w:t>osobitným zre</w:t>
      </w:r>
      <w:r w:rsidR="00197539">
        <w:rPr>
          <w:color w:val="auto"/>
          <w:sz w:val="22"/>
          <w:szCs w:val="22"/>
        </w:rPr>
        <w:t>teľom na vonkajšiu hranicu EÚ.</w:t>
      </w:r>
    </w:p>
    <w:p w:rsidR="00460562" w:rsidRPr="006E637C" w:rsidRDefault="00460562" w:rsidP="00460562">
      <w:pPr>
        <w:pStyle w:val="Default"/>
        <w:spacing w:before="180"/>
        <w:jc w:val="both"/>
        <w:rPr>
          <w:color w:val="auto"/>
          <w:sz w:val="22"/>
          <w:szCs w:val="22"/>
        </w:rPr>
      </w:pPr>
      <w:r w:rsidRPr="006E637C">
        <w:rPr>
          <w:color w:val="auto"/>
          <w:sz w:val="22"/>
          <w:szCs w:val="22"/>
        </w:rPr>
        <w:t>Jednou z</w:t>
      </w:r>
      <w:r w:rsidR="00964182">
        <w:rPr>
          <w:color w:val="auto"/>
          <w:sz w:val="22"/>
          <w:szCs w:val="22"/>
        </w:rPr>
        <w:t xml:space="preserve"> nevyhnutných</w:t>
      </w:r>
      <w:r w:rsidRPr="006E637C">
        <w:rPr>
          <w:color w:val="auto"/>
          <w:sz w:val="22"/>
          <w:szCs w:val="22"/>
        </w:rPr>
        <w:t xml:space="preserve"> podm</w:t>
      </w:r>
      <w:r w:rsidR="00964182">
        <w:rPr>
          <w:color w:val="auto"/>
          <w:sz w:val="22"/>
          <w:szCs w:val="22"/>
        </w:rPr>
        <w:t>ienok využívanie finančných prostriedkov</w:t>
      </w:r>
      <w:r w:rsidRPr="006E637C">
        <w:rPr>
          <w:color w:val="auto"/>
          <w:sz w:val="22"/>
          <w:szCs w:val="22"/>
        </w:rPr>
        <w:t xml:space="preserve"> z fondo</w:t>
      </w:r>
      <w:r w:rsidR="0083727B">
        <w:rPr>
          <w:color w:val="auto"/>
          <w:sz w:val="22"/>
          <w:szCs w:val="22"/>
        </w:rPr>
        <w:t>v EÚ 2014 – 2020 na </w:t>
      </w:r>
      <w:r w:rsidR="00964182">
        <w:rPr>
          <w:color w:val="auto"/>
          <w:sz w:val="22"/>
          <w:szCs w:val="22"/>
        </w:rPr>
        <w:t>túto oblasť</w:t>
      </w:r>
      <w:r w:rsidRPr="006E637C">
        <w:rPr>
          <w:color w:val="auto"/>
          <w:sz w:val="22"/>
          <w:szCs w:val="22"/>
        </w:rPr>
        <w:t xml:space="preserve"> bolo pr</w:t>
      </w:r>
      <w:r w:rsidR="00964182">
        <w:rPr>
          <w:color w:val="auto"/>
          <w:sz w:val="22"/>
          <w:szCs w:val="22"/>
        </w:rPr>
        <w:t>ijatie stratégie zohľadňujúcej</w:t>
      </w:r>
      <w:r w:rsidRPr="006E637C">
        <w:rPr>
          <w:color w:val="auto"/>
          <w:sz w:val="22"/>
          <w:szCs w:val="22"/>
        </w:rPr>
        <w:t xml:space="preserve"> zámery a ciele zamerané na lepšie fungovanie colnej únie EÚ. V nadväznosti na uvedené MF SR vypracovalo materiál „Stratégia modernizácie colných priechodov a budovania kapacít v colníctve na roky 2014 – 2020“. Stratégia obsahuje kľúčové strednodobé ciele na zvýšenie efektívnosti činností zabezpečovaných colnými orgánmi v rámci colnej únie EÚ pri súčasnom zvýšení komfortu poskytovaných služieb pre hospodárske subjekty ako nezanedbateľného prvku podp</w:t>
      </w:r>
      <w:r w:rsidR="002D4DB4">
        <w:rPr>
          <w:color w:val="auto"/>
          <w:sz w:val="22"/>
          <w:szCs w:val="22"/>
        </w:rPr>
        <w:t>ory podnikateľského prostredia.</w:t>
      </w:r>
    </w:p>
    <w:p w:rsidR="00460562" w:rsidRPr="006E637C" w:rsidRDefault="00460562" w:rsidP="00460562">
      <w:pPr>
        <w:pStyle w:val="Default"/>
        <w:spacing w:before="180"/>
        <w:jc w:val="both"/>
        <w:rPr>
          <w:color w:val="auto"/>
          <w:sz w:val="22"/>
          <w:szCs w:val="22"/>
        </w:rPr>
      </w:pPr>
      <w:r w:rsidRPr="006E637C">
        <w:rPr>
          <w:color w:val="auto"/>
          <w:sz w:val="22"/>
          <w:szCs w:val="22"/>
        </w:rPr>
        <w:t>Zvýšenie úrovne služieb týkajúcich sa colného konania a zvýšenie priepustnosti colných priechodov prispeje k zrýchleniu medzinárodných tovarových tokov, zvýšeniu</w:t>
      </w:r>
      <w:r>
        <w:rPr>
          <w:color w:val="auto"/>
          <w:sz w:val="22"/>
          <w:szCs w:val="22"/>
        </w:rPr>
        <w:t xml:space="preserve"> objemu prepravovaného tovaru a </w:t>
      </w:r>
      <w:r w:rsidRPr="006E637C">
        <w:rPr>
          <w:color w:val="auto"/>
          <w:sz w:val="22"/>
          <w:szCs w:val="22"/>
        </w:rPr>
        <w:t>zle</w:t>
      </w:r>
      <w:r w:rsidR="005A15BC">
        <w:rPr>
          <w:color w:val="auto"/>
          <w:sz w:val="22"/>
          <w:szCs w:val="22"/>
        </w:rPr>
        <w:t>pšeniu dopravnej situácie v SR.</w:t>
      </w:r>
    </w:p>
    <w:p w:rsidR="00460562" w:rsidRPr="006E637C" w:rsidRDefault="00460562" w:rsidP="00460562">
      <w:pPr>
        <w:pStyle w:val="Default"/>
        <w:spacing w:before="180"/>
        <w:jc w:val="both"/>
        <w:rPr>
          <w:color w:val="auto"/>
          <w:sz w:val="22"/>
          <w:szCs w:val="22"/>
        </w:rPr>
      </w:pPr>
      <w:r w:rsidRPr="006E637C">
        <w:rPr>
          <w:color w:val="auto"/>
          <w:sz w:val="22"/>
          <w:szCs w:val="22"/>
        </w:rPr>
        <w:t>Na dosiahnutie uvedených cieľov a vytvorenie potrebných podmienok pre SR, ako dôležitého tranzitného územia najmä z pohľadu transkontinentálnych dopravných smerov, bude mať bezprostredný vplyv modernizácia colných priechodov. V celoeurópskom meradle ide o dosiahnutie zrýchlenia colného konania, zlepšenia infraštruktúry a zvýšenia kom</w:t>
      </w:r>
      <w:r>
        <w:rPr>
          <w:color w:val="auto"/>
          <w:sz w:val="22"/>
          <w:szCs w:val="22"/>
        </w:rPr>
        <w:t>fortu a priepustnosti tovaru na </w:t>
      </w:r>
      <w:r w:rsidRPr="006E637C">
        <w:rPr>
          <w:color w:val="auto"/>
          <w:sz w:val="22"/>
          <w:szCs w:val="22"/>
        </w:rPr>
        <w:t>vonkajšej hranici EÚ, ako v cestnej tak aj v železničnej doprave. Súčasne s budovaním infraštruktúry železničnej dopravy je potrebné vyriešiť aj komplexnú modernizáciu železničných colných priec</w:t>
      </w:r>
      <w:r w:rsidR="005A15BC">
        <w:rPr>
          <w:color w:val="auto"/>
          <w:sz w:val="22"/>
          <w:szCs w:val="22"/>
        </w:rPr>
        <w:t>hodov na vonkajšej hranici EÚ.</w:t>
      </w:r>
    </w:p>
    <w:p w:rsidR="00460562" w:rsidRPr="006E637C" w:rsidRDefault="00460562" w:rsidP="00460562">
      <w:pPr>
        <w:pStyle w:val="Default"/>
        <w:spacing w:before="180"/>
        <w:jc w:val="both"/>
        <w:rPr>
          <w:color w:val="auto"/>
          <w:sz w:val="22"/>
          <w:szCs w:val="22"/>
        </w:rPr>
      </w:pPr>
      <w:r w:rsidRPr="006E637C">
        <w:rPr>
          <w:color w:val="auto"/>
          <w:sz w:val="22"/>
          <w:szCs w:val="22"/>
        </w:rPr>
        <w:t>Pre plnenie strategických cieľov sa rozvoj existujúcej infraštruktúry javí ako nedostatočný</w:t>
      </w:r>
      <w:r w:rsidR="00964182">
        <w:rPr>
          <w:color w:val="auto"/>
          <w:sz w:val="22"/>
          <w:szCs w:val="22"/>
        </w:rPr>
        <w:t>,</w:t>
      </w:r>
      <w:r w:rsidRPr="006E637C">
        <w:rPr>
          <w:color w:val="auto"/>
          <w:sz w:val="22"/>
          <w:szCs w:val="22"/>
        </w:rPr>
        <w:t xml:space="preserve"> a preto bol</w:t>
      </w:r>
      <w:r w:rsidR="00964182">
        <w:rPr>
          <w:color w:val="auto"/>
          <w:sz w:val="22"/>
          <w:szCs w:val="22"/>
        </w:rPr>
        <w:t xml:space="preserve"> v stratégii prijatý</w:t>
      </w:r>
      <w:r w:rsidRPr="006E637C">
        <w:rPr>
          <w:color w:val="auto"/>
          <w:sz w:val="22"/>
          <w:szCs w:val="22"/>
        </w:rPr>
        <w:t xml:space="preserve"> záver</w:t>
      </w:r>
      <w:r w:rsidR="00964182">
        <w:rPr>
          <w:color w:val="auto"/>
          <w:sz w:val="22"/>
          <w:szCs w:val="22"/>
        </w:rPr>
        <w:t xml:space="preserve"> vo forme</w:t>
      </w:r>
      <w:r w:rsidRPr="006E637C">
        <w:rPr>
          <w:color w:val="auto"/>
          <w:sz w:val="22"/>
          <w:szCs w:val="22"/>
        </w:rPr>
        <w:t xml:space="preserve"> vybudovania nového cestného hraničného prie</w:t>
      </w:r>
      <w:r w:rsidR="002E1021">
        <w:rPr>
          <w:color w:val="auto"/>
          <w:sz w:val="22"/>
          <w:szCs w:val="22"/>
        </w:rPr>
        <w:t>chodu, a to aj v </w:t>
      </w:r>
      <w:r>
        <w:rPr>
          <w:color w:val="auto"/>
          <w:sz w:val="22"/>
          <w:szCs w:val="22"/>
        </w:rPr>
        <w:t>nadväznosti na </w:t>
      </w:r>
      <w:r w:rsidRPr="006E637C">
        <w:rPr>
          <w:color w:val="auto"/>
          <w:sz w:val="22"/>
          <w:szCs w:val="22"/>
        </w:rPr>
        <w:t xml:space="preserve">efektívnejšie využívanie terminálu kombinovanej dopravy v Dobrej. </w:t>
      </w:r>
      <w:r w:rsidRPr="005A15BC">
        <w:rPr>
          <w:b/>
          <w:color w:val="auto"/>
          <w:sz w:val="22"/>
          <w:szCs w:val="22"/>
        </w:rPr>
        <w:t>Zámerom je výstavba nového cestného hraničného priechodu Čierna – Solomonovo (vrátan</w:t>
      </w:r>
      <w:r w:rsidR="005A15BC">
        <w:rPr>
          <w:b/>
          <w:color w:val="auto"/>
          <w:sz w:val="22"/>
          <w:szCs w:val="22"/>
        </w:rPr>
        <w:t>e infraštruktúry a </w:t>
      </w:r>
      <w:r w:rsidRPr="005A15BC">
        <w:rPr>
          <w:b/>
          <w:color w:val="auto"/>
          <w:sz w:val="22"/>
          <w:szCs w:val="22"/>
        </w:rPr>
        <w:t>vybavenia) a modernizácia vonkajšej hranice EÚ s Ukrajinou.</w:t>
      </w:r>
      <w:r w:rsidR="00AF7005" w:rsidRPr="005A15BC">
        <w:rPr>
          <w:b/>
          <w:color w:val="auto"/>
          <w:sz w:val="22"/>
          <w:szCs w:val="22"/>
        </w:rPr>
        <w:t xml:space="preserve"> </w:t>
      </w:r>
      <w:r w:rsidRPr="006E637C">
        <w:rPr>
          <w:color w:val="auto"/>
          <w:sz w:val="22"/>
          <w:szCs w:val="22"/>
        </w:rPr>
        <w:t>Rozvoj dopravnej infraštruktúry bez vysokoefektívnych služieb</w:t>
      </w:r>
      <w:r>
        <w:rPr>
          <w:color w:val="auto"/>
          <w:sz w:val="22"/>
          <w:szCs w:val="22"/>
        </w:rPr>
        <w:t xml:space="preserve"> </w:t>
      </w:r>
      <w:r w:rsidRPr="006E637C">
        <w:rPr>
          <w:color w:val="auto"/>
          <w:sz w:val="22"/>
          <w:szCs w:val="22"/>
        </w:rPr>
        <w:t>poskytovaných na colných priechodoch s Ukrajinou by výrazne obmedzil, až brzdil stanovené ciele v oblasti rozvoja dopravy.</w:t>
      </w:r>
    </w:p>
    <w:p w:rsidR="00460562" w:rsidRPr="006E637C" w:rsidRDefault="00460562" w:rsidP="00460562">
      <w:pPr>
        <w:pStyle w:val="Default"/>
        <w:spacing w:before="180" w:after="120"/>
        <w:jc w:val="both"/>
        <w:rPr>
          <w:b/>
          <w:color w:val="auto"/>
          <w:sz w:val="22"/>
          <w:szCs w:val="22"/>
        </w:rPr>
      </w:pPr>
      <w:r w:rsidRPr="006E637C">
        <w:rPr>
          <w:b/>
          <w:color w:val="auto"/>
          <w:sz w:val="22"/>
          <w:szCs w:val="22"/>
        </w:rPr>
        <w:t>Na základe uvedeného môžu byť zdroje OPII využívané ako prostriedok na podporu budovania novej a modernizáciu existujúcej dopravnej</w:t>
      </w:r>
      <w:r>
        <w:rPr>
          <w:b/>
          <w:color w:val="auto"/>
          <w:sz w:val="22"/>
          <w:szCs w:val="22"/>
        </w:rPr>
        <w:t xml:space="preserve"> infraštruktúry v súvislosti so </w:t>
      </w:r>
      <w:r w:rsidRPr="006E637C">
        <w:rPr>
          <w:b/>
          <w:color w:val="auto"/>
          <w:sz w:val="22"/>
          <w:szCs w:val="22"/>
        </w:rPr>
        <w:t>zabezpečením efektívneho výkonu colného konania na vonkajšej hranici EÚ s Ukrajinou.</w:t>
      </w:r>
    </w:p>
    <w:p w:rsidR="009A184B" w:rsidRPr="005139F6" w:rsidRDefault="009A184B" w:rsidP="00FE6025">
      <w:pPr>
        <w:numPr>
          <w:ilvl w:val="2"/>
          <w:numId w:val="37"/>
        </w:numPr>
        <w:tabs>
          <w:tab w:val="clear" w:pos="360"/>
        </w:tabs>
        <w:autoSpaceDE w:val="0"/>
        <w:autoSpaceDN w:val="0"/>
        <w:adjustRightInd w:val="0"/>
        <w:spacing w:before="180" w:after="120"/>
        <w:ind w:left="851" w:hanging="425"/>
        <w:jc w:val="both"/>
        <w:rPr>
          <w:b/>
          <w:i/>
          <w:color w:val="4F81BD" w:themeColor="accent1"/>
          <w:sz w:val="22"/>
          <w:szCs w:val="22"/>
        </w:rPr>
      </w:pPr>
      <w:r w:rsidRPr="005139F6">
        <w:rPr>
          <w:b/>
          <w:i/>
          <w:color w:val="4F81BD" w:themeColor="accent1"/>
          <w:sz w:val="22"/>
          <w:szCs w:val="22"/>
        </w:rPr>
        <w:t>Ada</w:t>
      </w:r>
      <w:r w:rsidR="00964182">
        <w:rPr>
          <w:b/>
          <w:i/>
          <w:color w:val="4F81BD" w:themeColor="accent1"/>
          <w:sz w:val="22"/>
          <w:szCs w:val="22"/>
        </w:rPr>
        <w:t>ptačné a zmierňujúce</w:t>
      </w:r>
      <w:r w:rsidRPr="005139F6">
        <w:rPr>
          <w:b/>
          <w:i/>
          <w:color w:val="4F81BD" w:themeColor="accent1"/>
          <w:sz w:val="22"/>
          <w:szCs w:val="22"/>
        </w:rPr>
        <w:t xml:space="preserve"> opatrenia vo vzťahu k zmene klímy</w:t>
      </w:r>
    </w:p>
    <w:p w:rsidR="009A184B" w:rsidRPr="005348B9" w:rsidRDefault="009A184B" w:rsidP="009A184B">
      <w:pPr>
        <w:autoSpaceDE w:val="0"/>
        <w:autoSpaceDN w:val="0"/>
        <w:adjustRightInd w:val="0"/>
        <w:jc w:val="both"/>
        <w:rPr>
          <w:sz w:val="22"/>
          <w:szCs w:val="22"/>
        </w:rPr>
      </w:pPr>
      <w:r w:rsidRPr="005348B9">
        <w:rPr>
          <w:sz w:val="22"/>
          <w:szCs w:val="22"/>
        </w:rPr>
        <w:t>Problematika klimatických zmien predstavuje v súčasnosti jednu z často diskutovaných otázok. Dôvodom je najmä skutočnosť, že</w:t>
      </w:r>
      <w:r w:rsidR="00964182">
        <w:rPr>
          <w:sz w:val="22"/>
          <w:szCs w:val="22"/>
        </w:rPr>
        <w:t xml:space="preserve"> negatívne</w:t>
      </w:r>
      <w:r w:rsidRPr="005348B9">
        <w:rPr>
          <w:sz w:val="22"/>
          <w:szCs w:val="22"/>
        </w:rPr>
        <w:t xml:space="preserve"> následky</w:t>
      </w:r>
      <w:r w:rsidR="00964182">
        <w:rPr>
          <w:sz w:val="22"/>
          <w:szCs w:val="22"/>
        </w:rPr>
        <w:t xml:space="preserve"> prírodných síl</w:t>
      </w:r>
      <w:r w:rsidRPr="005348B9">
        <w:rPr>
          <w:sz w:val="22"/>
          <w:szCs w:val="22"/>
        </w:rPr>
        <w:t xml:space="preserve"> vyplývajúce zo zmeny klímy vedú častokrát k stratám na ľudských životoch a spôsobujú značné národohospodárske škody v dôsledku ekonomických strát v jednotlivých hospodárskych odvetviach.</w:t>
      </w:r>
    </w:p>
    <w:p w:rsidR="009A184B" w:rsidRPr="005348B9" w:rsidRDefault="009A184B" w:rsidP="009A184B">
      <w:pPr>
        <w:autoSpaceDE w:val="0"/>
        <w:autoSpaceDN w:val="0"/>
        <w:adjustRightInd w:val="0"/>
        <w:spacing w:before="180"/>
        <w:jc w:val="both"/>
        <w:rPr>
          <w:sz w:val="22"/>
          <w:szCs w:val="22"/>
        </w:rPr>
      </w:pPr>
      <w:r w:rsidRPr="005348B9">
        <w:rPr>
          <w:b/>
          <w:sz w:val="22"/>
          <w:szCs w:val="22"/>
        </w:rPr>
        <w:t>V súvislosti s vplyvom klimatických zmien na sektor dopravy je pozornosť sústredená hlavne</w:t>
      </w:r>
      <w:r w:rsidRPr="005348B9">
        <w:rPr>
          <w:sz w:val="22"/>
          <w:szCs w:val="22"/>
        </w:rPr>
        <w:t xml:space="preserve"> </w:t>
      </w:r>
      <w:r w:rsidRPr="005348B9">
        <w:rPr>
          <w:b/>
          <w:sz w:val="22"/>
          <w:szCs w:val="22"/>
        </w:rPr>
        <w:t>extrémnym prejavom počasia</w:t>
      </w:r>
      <w:r w:rsidRPr="005348B9">
        <w:rPr>
          <w:sz w:val="22"/>
          <w:szCs w:val="22"/>
        </w:rPr>
        <w:t xml:space="preserve"> </w:t>
      </w:r>
      <w:r w:rsidR="002D7A27">
        <w:rPr>
          <w:sz w:val="22"/>
          <w:szCs w:val="22"/>
        </w:rPr>
        <w:t>(</w:t>
      </w:r>
      <w:r w:rsidRPr="005348B9">
        <w:rPr>
          <w:sz w:val="22"/>
          <w:szCs w:val="22"/>
        </w:rPr>
        <w:t>búrky s intenzívnymi lejakmi, záplavy a silný vietor</w:t>
      </w:r>
      <w:r w:rsidR="002D7A27">
        <w:rPr>
          <w:sz w:val="22"/>
          <w:szCs w:val="22"/>
        </w:rPr>
        <w:t>)</w:t>
      </w:r>
      <w:r w:rsidRPr="005348B9">
        <w:rPr>
          <w:sz w:val="22"/>
          <w:szCs w:val="22"/>
        </w:rPr>
        <w:t xml:space="preserve"> </w:t>
      </w:r>
      <w:r w:rsidRPr="005348B9">
        <w:rPr>
          <w:b/>
          <w:sz w:val="22"/>
          <w:szCs w:val="22"/>
        </w:rPr>
        <w:t>a snahe o znižovanie emisií skleníkových plynov.</w:t>
      </w:r>
    </w:p>
    <w:p w:rsidR="009A184B" w:rsidRPr="005348B9" w:rsidRDefault="009A184B" w:rsidP="009A184B">
      <w:pPr>
        <w:autoSpaceDE w:val="0"/>
        <w:autoSpaceDN w:val="0"/>
        <w:adjustRightInd w:val="0"/>
        <w:spacing w:before="180"/>
        <w:jc w:val="both"/>
        <w:rPr>
          <w:sz w:val="22"/>
          <w:szCs w:val="22"/>
        </w:rPr>
      </w:pPr>
      <w:r w:rsidRPr="005348B9">
        <w:rPr>
          <w:sz w:val="22"/>
          <w:szCs w:val="22"/>
        </w:rPr>
        <w:lastRenderedPageBreak/>
        <w:t>Slovenská republika sa tejto problematike venovala už v rámci programového obdobia 2007 – 2013, a to spracovaním správy „</w:t>
      </w:r>
      <w:r w:rsidRPr="00034021">
        <w:rPr>
          <w:i/>
          <w:sz w:val="22"/>
          <w:szCs w:val="22"/>
        </w:rPr>
        <w:t>Dôsledky klimatickej zmeny a možné adaptačné opatrenia v jednotlivých sektoroch</w:t>
      </w:r>
      <w:r w:rsidRPr="005348B9">
        <w:rPr>
          <w:sz w:val="22"/>
          <w:szCs w:val="22"/>
        </w:rPr>
        <w:t>“. Projekt bol realizovaný v rokoch 2009 – 2011, spolufinancovaním zo zdrojov Operačného programu Životné prostredie. Hlavným cieľom projektu bolo priniesť</w:t>
      </w:r>
      <w:r>
        <w:rPr>
          <w:sz w:val="22"/>
          <w:szCs w:val="22"/>
        </w:rPr>
        <w:t xml:space="preserve"> integrujúci materiál, ktorý by </w:t>
      </w:r>
      <w:r w:rsidRPr="005348B9">
        <w:rPr>
          <w:sz w:val="22"/>
          <w:szCs w:val="22"/>
        </w:rPr>
        <w:t xml:space="preserve">komplexnejšie zohľadňoval dôsledky dopadov klimatickej zmeny v najdôležitejších sektoroch </w:t>
      </w:r>
      <w:r>
        <w:rPr>
          <w:sz w:val="22"/>
          <w:szCs w:val="22"/>
        </w:rPr>
        <w:t>z </w:t>
      </w:r>
      <w:r w:rsidRPr="005348B9">
        <w:rPr>
          <w:sz w:val="22"/>
          <w:szCs w:val="22"/>
        </w:rPr>
        <w:t>hľadiska prírodných a spoločenských potrieb. Projekt sa zaoberal d</w:t>
      </w:r>
      <w:r>
        <w:rPr>
          <w:sz w:val="22"/>
          <w:szCs w:val="22"/>
        </w:rPr>
        <w:t>ôsledkom klimatických zmien v 8 </w:t>
      </w:r>
      <w:r w:rsidRPr="005348B9">
        <w:rPr>
          <w:sz w:val="22"/>
          <w:szCs w:val="22"/>
        </w:rPr>
        <w:t>sektoroch, navrhol možné adaptačné opatrenia a kvantifikoval ich ekonomické hodnotenie.</w:t>
      </w:r>
      <w:r w:rsidRPr="005348B9">
        <w:t xml:space="preserve"> </w:t>
      </w:r>
      <w:r w:rsidRPr="005348B9">
        <w:rPr>
          <w:sz w:val="22"/>
          <w:szCs w:val="22"/>
        </w:rPr>
        <w:t>Dokument</w:t>
      </w:r>
      <w:r w:rsidRPr="005348B9">
        <w:t xml:space="preserve"> </w:t>
      </w:r>
      <w:r w:rsidRPr="005348B9">
        <w:rPr>
          <w:sz w:val="22"/>
          <w:szCs w:val="22"/>
        </w:rPr>
        <w:t>je jedným zo základných východísk pre pripravovanú národnú adaptačnú stratégiu.</w:t>
      </w:r>
    </w:p>
    <w:p w:rsidR="009A184B" w:rsidRDefault="009A184B" w:rsidP="009A184B">
      <w:pPr>
        <w:pStyle w:val="Default"/>
        <w:spacing w:before="180"/>
        <w:jc w:val="both"/>
        <w:rPr>
          <w:color w:val="auto"/>
          <w:sz w:val="22"/>
          <w:szCs w:val="22"/>
        </w:rPr>
      </w:pPr>
      <w:r w:rsidRPr="005348B9">
        <w:rPr>
          <w:color w:val="auto"/>
          <w:sz w:val="22"/>
          <w:szCs w:val="22"/>
        </w:rPr>
        <w:t xml:space="preserve">Na základe výstupov správy je </w:t>
      </w:r>
      <w:r>
        <w:rPr>
          <w:color w:val="auto"/>
          <w:sz w:val="22"/>
          <w:szCs w:val="22"/>
        </w:rPr>
        <w:t xml:space="preserve">potrebné </w:t>
      </w:r>
      <w:r w:rsidRPr="005348B9">
        <w:rPr>
          <w:color w:val="auto"/>
          <w:sz w:val="22"/>
          <w:szCs w:val="22"/>
        </w:rPr>
        <w:t xml:space="preserve">adaptačné opatrenia v doprave rozdeliť do dvoch skupín, a to na opatrenia, ktoré budú zamerané na znižovanie bezpečnostných rizík v doprave vplyvom extrémov počasia a opatrenia zamerané na skvalitnenie dopravnej infraštruktúry v rizikových lokalitách. Otázka bezpečnosti dopravy úzko súvisí s realizáciou už spomínaných inteligentných dopravných systémov, realizácia ktorých pomôže pri znižovaní nehodovosti; výstavbou premostení, ekoduktov, kapacitne dostačujúcich odvodňovacích a kanalizačných sústav, priepustov a časti ciest v bezprostrednej blízkosti vodných tokov; optimalizáciou procesu zimnej údržby a opráv; zlepšením prietoku vodných ciest a pod. Samostatnou kapitolou procesu je prijímanie opatrení, ktoré zmierňujú dôsledky klimatických zmien. Opatrenia vybraných prioritných </w:t>
      </w:r>
      <w:r>
        <w:rPr>
          <w:color w:val="auto"/>
          <w:sz w:val="22"/>
          <w:szCs w:val="22"/>
        </w:rPr>
        <w:t xml:space="preserve">osí </w:t>
      </w:r>
      <w:r w:rsidRPr="005348B9">
        <w:rPr>
          <w:color w:val="auto"/>
          <w:sz w:val="22"/>
          <w:szCs w:val="22"/>
        </w:rPr>
        <w:t>OPII smerujú najmä k plneniu cieľov v oblasti znižovania produkcie emisií skleníkových plynov (pozri PO 1, 3, 4, 5).</w:t>
      </w:r>
    </w:p>
    <w:p w:rsidR="009A184B" w:rsidRDefault="009A184B" w:rsidP="008D7569">
      <w:pPr>
        <w:spacing w:before="180" w:after="120"/>
        <w:jc w:val="both"/>
        <w:rPr>
          <w:sz w:val="22"/>
          <w:szCs w:val="22"/>
        </w:rPr>
      </w:pPr>
      <w:r>
        <w:rPr>
          <w:sz w:val="22"/>
          <w:szCs w:val="22"/>
        </w:rPr>
        <w:t>Zdroje na financovanie uvedených aktivít vo forme grantov alebo verejných zákaziek je možné získať zo špecializovaného programu („program LIFE“), ktorý bol schválený nariadením EP a Rady (EÚ) č. </w:t>
      </w:r>
      <w:r w:rsidRPr="00237590">
        <w:rPr>
          <w:sz w:val="22"/>
          <w:szCs w:val="22"/>
        </w:rPr>
        <w:t>1293/2013</w:t>
      </w:r>
      <w:r>
        <w:rPr>
          <w:sz w:val="22"/>
          <w:szCs w:val="22"/>
        </w:rPr>
        <w:t xml:space="preserve"> </w:t>
      </w:r>
      <w:r w:rsidRPr="00237590">
        <w:rPr>
          <w:sz w:val="22"/>
          <w:szCs w:val="22"/>
        </w:rPr>
        <w:t>z 11. decembra 2013</w:t>
      </w:r>
      <w:r>
        <w:rPr>
          <w:sz w:val="22"/>
          <w:szCs w:val="22"/>
        </w:rPr>
        <w:t xml:space="preserve"> </w:t>
      </w:r>
      <w:r w:rsidRPr="00237590">
        <w:rPr>
          <w:sz w:val="22"/>
          <w:szCs w:val="22"/>
        </w:rPr>
        <w:t>o zriadení programu pre životné prostredie a ochranu klímy (LIFE) a o zrušení nariadenia (ES) č. 614/2007</w:t>
      </w:r>
      <w:r>
        <w:rPr>
          <w:sz w:val="22"/>
          <w:szCs w:val="22"/>
        </w:rPr>
        <w:t xml:space="preserve">. </w:t>
      </w:r>
      <w:r w:rsidRPr="00237590">
        <w:rPr>
          <w:sz w:val="22"/>
          <w:szCs w:val="22"/>
        </w:rPr>
        <w:t xml:space="preserve">Finančné krytie programu v období rokov 2014 </w:t>
      </w:r>
      <w:r w:rsidR="005139F6">
        <w:rPr>
          <w:sz w:val="22"/>
          <w:szCs w:val="22"/>
        </w:rPr>
        <w:t>- 2020 je </w:t>
      </w:r>
      <w:r>
        <w:rPr>
          <w:sz w:val="22"/>
          <w:szCs w:val="22"/>
        </w:rPr>
        <w:t>3 456 655 000 EUR v bežných cenách.</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288"/>
        <w:gridCol w:w="5784"/>
      </w:tblGrid>
      <w:tr w:rsidR="00FE6C5A" w:rsidRPr="00CD7A43" w:rsidTr="00532DA2">
        <w:trPr>
          <w:trHeight w:val="340"/>
          <w:jc w:val="center"/>
        </w:trPr>
        <w:tc>
          <w:tcPr>
            <w:tcW w:w="3288" w:type="dxa"/>
            <w:shd w:val="clear" w:color="auto" w:fill="DBE5F1" w:themeFill="accent1" w:themeFillTint="33"/>
            <w:vAlign w:val="center"/>
          </w:tcPr>
          <w:p w:rsidR="00FE6C5A" w:rsidRPr="009553A0" w:rsidRDefault="00FE6C5A" w:rsidP="00532DA2">
            <w:pPr>
              <w:autoSpaceDE w:val="0"/>
              <w:autoSpaceDN w:val="0"/>
              <w:adjustRightInd w:val="0"/>
              <w:ind w:left="0"/>
              <w:rPr>
                <w:i/>
                <w:sz w:val="22"/>
                <w:szCs w:val="22"/>
              </w:rPr>
            </w:pPr>
            <w:r w:rsidRPr="009553A0">
              <w:rPr>
                <w:i/>
                <w:sz w:val="22"/>
                <w:szCs w:val="22"/>
              </w:rPr>
              <w:t>Cieľové skupiny:</w:t>
            </w:r>
          </w:p>
        </w:tc>
        <w:tc>
          <w:tcPr>
            <w:tcW w:w="5784" w:type="dxa"/>
            <w:vAlign w:val="center"/>
          </w:tcPr>
          <w:p w:rsidR="00FE6C5A" w:rsidRPr="00CD7A43" w:rsidRDefault="00FE6C5A" w:rsidP="00532DA2">
            <w:pPr>
              <w:pStyle w:val="Odsekzoznamu"/>
              <w:numPr>
                <w:ilvl w:val="0"/>
                <w:numId w:val="28"/>
              </w:numPr>
              <w:autoSpaceDE w:val="0"/>
              <w:autoSpaceDN w:val="0"/>
              <w:adjustRightInd w:val="0"/>
              <w:ind w:left="284" w:hanging="284"/>
              <w:rPr>
                <w:sz w:val="22"/>
                <w:szCs w:val="22"/>
              </w:rPr>
            </w:pPr>
            <w:r>
              <w:rPr>
                <w:sz w:val="22"/>
                <w:szCs w:val="22"/>
              </w:rPr>
              <w:t>široká verejnosť</w:t>
            </w:r>
          </w:p>
        </w:tc>
      </w:tr>
      <w:tr w:rsidR="00FE6C5A" w:rsidTr="00532DA2">
        <w:trPr>
          <w:trHeight w:val="340"/>
          <w:jc w:val="center"/>
        </w:trPr>
        <w:tc>
          <w:tcPr>
            <w:tcW w:w="3288" w:type="dxa"/>
            <w:shd w:val="clear" w:color="auto" w:fill="DBE5F1" w:themeFill="accent1" w:themeFillTint="33"/>
            <w:vAlign w:val="center"/>
          </w:tcPr>
          <w:p w:rsidR="00FE6C5A" w:rsidRPr="009553A0" w:rsidRDefault="00FE6C5A" w:rsidP="00532DA2">
            <w:pPr>
              <w:autoSpaceDE w:val="0"/>
              <w:autoSpaceDN w:val="0"/>
              <w:adjustRightInd w:val="0"/>
              <w:ind w:left="0"/>
              <w:rPr>
                <w:i/>
                <w:sz w:val="22"/>
                <w:szCs w:val="22"/>
              </w:rPr>
            </w:pPr>
            <w:r w:rsidRPr="009553A0">
              <w:rPr>
                <w:i/>
                <w:sz w:val="22"/>
                <w:szCs w:val="22"/>
              </w:rPr>
              <w:t>Cieľové územia:</w:t>
            </w:r>
          </w:p>
        </w:tc>
        <w:tc>
          <w:tcPr>
            <w:tcW w:w="5784" w:type="dxa"/>
            <w:vAlign w:val="center"/>
          </w:tcPr>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NUTS 2 (celé územie SR s výnimkou Bratislavského kraja)</w:t>
            </w:r>
          </w:p>
        </w:tc>
      </w:tr>
      <w:tr w:rsidR="00FE6C5A" w:rsidRPr="000546B9" w:rsidTr="00532DA2">
        <w:trPr>
          <w:trHeight w:val="340"/>
          <w:jc w:val="center"/>
        </w:trPr>
        <w:tc>
          <w:tcPr>
            <w:tcW w:w="3288" w:type="dxa"/>
            <w:shd w:val="clear" w:color="auto" w:fill="DBE5F1" w:themeFill="accent1" w:themeFillTint="33"/>
            <w:vAlign w:val="center"/>
          </w:tcPr>
          <w:p w:rsidR="00FE6C5A" w:rsidRPr="009553A0" w:rsidRDefault="00FE6C5A" w:rsidP="00532DA2">
            <w:pPr>
              <w:autoSpaceDE w:val="0"/>
              <w:autoSpaceDN w:val="0"/>
              <w:adjustRightInd w:val="0"/>
              <w:ind w:left="0"/>
              <w:rPr>
                <w:i/>
                <w:sz w:val="22"/>
                <w:szCs w:val="22"/>
              </w:rPr>
            </w:pPr>
            <w:r w:rsidRPr="009553A0">
              <w:rPr>
                <w:i/>
                <w:sz w:val="22"/>
                <w:szCs w:val="22"/>
              </w:rPr>
              <w:t>Prijímatelia:</w:t>
            </w:r>
          </w:p>
        </w:tc>
        <w:tc>
          <w:tcPr>
            <w:tcW w:w="5784" w:type="dxa"/>
            <w:vAlign w:val="center"/>
          </w:tcPr>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Národná diaľničná spoločnosť, a. s.,</w:t>
            </w:r>
          </w:p>
          <w:p w:rsidR="00FE6C5A" w:rsidRDefault="00FE6C5A" w:rsidP="00532DA2">
            <w:pPr>
              <w:pStyle w:val="Odsekzoznamu"/>
              <w:numPr>
                <w:ilvl w:val="0"/>
                <w:numId w:val="28"/>
              </w:numPr>
              <w:autoSpaceDE w:val="0"/>
              <w:autoSpaceDN w:val="0"/>
              <w:adjustRightInd w:val="0"/>
              <w:ind w:left="284" w:hanging="284"/>
              <w:rPr>
                <w:sz w:val="22"/>
                <w:szCs w:val="22"/>
              </w:rPr>
            </w:pPr>
            <w:r>
              <w:rPr>
                <w:sz w:val="22"/>
                <w:szCs w:val="22"/>
              </w:rPr>
              <w:t>Slovenská správa ciest,</w:t>
            </w:r>
          </w:p>
          <w:p w:rsidR="00FE6C5A" w:rsidRPr="00532DA2" w:rsidRDefault="00FE6C5A" w:rsidP="00532DA2">
            <w:pPr>
              <w:pStyle w:val="Odsekzoznamu"/>
              <w:numPr>
                <w:ilvl w:val="0"/>
                <w:numId w:val="28"/>
              </w:numPr>
              <w:autoSpaceDE w:val="0"/>
              <w:autoSpaceDN w:val="0"/>
              <w:adjustRightInd w:val="0"/>
              <w:ind w:left="284" w:hanging="284"/>
              <w:rPr>
                <w:sz w:val="22"/>
                <w:szCs w:val="22"/>
              </w:rPr>
            </w:pPr>
            <w:r w:rsidRPr="00532DA2">
              <w:rPr>
                <w:sz w:val="22"/>
                <w:szCs w:val="22"/>
              </w:rPr>
              <w:t>Finančné riaditeľstvo SR,</w:t>
            </w:r>
          </w:p>
          <w:p w:rsidR="00FE6C5A" w:rsidRPr="000546B9" w:rsidRDefault="00FE6C5A" w:rsidP="00532DA2">
            <w:pPr>
              <w:pStyle w:val="Odsekzoznamu"/>
              <w:numPr>
                <w:ilvl w:val="0"/>
                <w:numId w:val="28"/>
              </w:numPr>
              <w:autoSpaceDE w:val="0"/>
              <w:autoSpaceDN w:val="0"/>
              <w:adjustRightInd w:val="0"/>
              <w:ind w:left="284" w:hanging="284"/>
              <w:rPr>
                <w:sz w:val="22"/>
                <w:szCs w:val="22"/>
              </w:rPr>
            </w:pPr>
            <w:r>
              <w:rPr>
                <w:sz w:val="22"/>
                <w:szCs w:val="22"/>
              </w:rPr>
              <w:t>MDVRR SR.</w:t>
            </w:r>
          </w:p>
        </w:tc>
      </w:tr>
    </w:tbl>
    <w:p w:rsidR="00460562" w:rsidRPr="005139F6" w:rsidRDefault="00460562" w:rsidP="00FE6025">
      <w:pPr>
        <w:numPr>
          <w:ilvl w:val="2"/>
          <w:numId w:val="37"/>
        </w:numPr>
        <w:tabs>
          <w:tab w:val="clear" w:pos="360"/>
        </w:tabs>
        <w:autoSpaceDE w:val="0"/>
        <w:autoSpaceDN w:val="0"/>
        <w:adjustRightInd w:val="0"/>
        <w:spacing w:before="180" w:after="120"/>
        <w:ind w:left="851" w:hanging="425"/>
        <w:jc w:val="both"/>
        <w:rPr>
          <w:b/>
          <w:i/>
          <w:color w:val="4F81BD" w:themeColor="accent1"/>
          <w:sz w:val="22"/>
          <w:szCs w:val="22"/>
        </w:rPr>
      </w:pPr>
      <w:r w:rsidRPr="005139F6">
        <w:rPr>
          <w:b/>
          <w:i/>
          <w:color w:val="4F81BD" w:themeColor="accent1"/>
          <w:sz w:val="22"/>
          <w:szCs w:val="22"/>
        </w:rPr>
        <w:t>Projektová príprava</w:t>
      </w:r>
    </w:p>
    <w:p w:rsidR="00305201" w:rsidRPr="00074FDC" w:rsidRDefault="00305201" w:rsidP="00074FDC">
      <w:pPr>
        <w:spacing w:after="180"/>
        <w:jc w:val="both"/>
        <w:rPr>
          <w:color w:val="000000" w:themeColor="text1"/>
          <w:sz w:val="22"/>
          <w:szCs w:val="22"/>
        </w:rPr>
      </w:pPr>
      <w:r w:rsidRPr="00074FDC">
        <w:rPr>
          <w:sz w:val="22"/>
          <w:szCs w:val="22"/>
        </w:rPr>
        <w:t>Súčasný stav projektovej prípravy investičných stavieb je možné označiť ak</w:t>
      </w:r>
      <w:r w:rsidR="00922519">
        <w:rPr>
          <w:sz w:val="22"/>
          <w:szCs w:val="22"/>
        </w:rPr>
        <w:t>o prierezový problém systémového charakteru</w:t>
      </w:r>
      <w:r w:rsidRPr="00074FDC">
        <w:rPr>
          <w:sz w:val="22"/>
          <w:szCs w:val="22"/>
        </w:rPr>
        <w:t xml:space="preserve">. </w:t>
      </w:r>
      <w:r w:rsidR="00074FDC" w:rsidRPr="00074FDC">
        <w:rPr>
          <w:sz w:val="22"/>
          <w:szCs w:val="22"/>
        </w:rPr>
        <w:t xml:space="preserve">Z tohto dôvodu je potrebné náležitú </w:t>
      </w:r>
      <w:r w:rsidRPr="00074FDC">
        <w:rPr>
          <w:sz w:val="22"/>
          <w:szCs w:val="22"/>
        </w:rPr>
        <w:t xml:space="preserve">pozornosť i zdroje </w:t>
      </w:r>
      <w:r w:rsidR="00074FDC" w:rsidRPr="00074FDC">
        <w:rPr>
          <w:sz w:val="22"/>
          <w:szCs w:val="22"/>
        </w:rPr>
        <w:t>venovať štúdiám,</w:t>
      </w:r>
      <w:r w:rsidRPr="00074FDC">
        <w:rPr>
          <w:sz w:val="22"/>
          <w:szCs w:val="22"/>
        </w:rPr>
        <w:t xml:space="preserve"> predprojektovej a projektovej príprave </w:t>
      </w:r>
      <w:r w:rsidR="00E41E26" w:rsidRPr="00074FDC">
        <w:rPr>
          <w:sz w:val="22"/>
          <w:szCs w:val="22"/>
        </w:rPr>
        <w:t>rýchlostných ciest.</w:t>
      </w:r>
      <w:r w:rsidR="00074FDC" w:rsidRPr="00074FDC">
        <w:rPr>
          <w:sz w:val="22"/>
          <w:szCs w:val="22"/>
        </w:rPr>
        <w:t xml:space="preserve"> </w:t>
      </w:r>
      <w:r w:rsidR="00074FDC">
        <w:rPr>
          <w:sz w:val="22"/>
          <w:szCs w:val="22"/>
        </w:rPr>
        <w:t>Zoznam stavieb, na ktoré je </w:t>
      </w:r>
      <w:r w:rsidRPr="00074FDC">
        <w:rPr>
          <w:sz w:val="22"/>
          <w:szCs w:val="22"/>
        </w:rPr>
        <w:t xml:space="preserve">potrebné sústrediť pozornosť bol </w:t>
      </w:r>
      <w:r w:rsidR="00E41E26" w:rsidRPr="00074FDC">
        <w:rPr>
          <w:sz w:val="22"/>
          <w:szCs w:val="22"/>
        </w:rPr>
        <w:t>identifikovaný</w:t>
      </w:r>
      <w:r w:rsidRPr="00074FDC">
        <w:rPr>
          <w:sz w:val="22"/>
          <w:szCs w:val="22"/>
        </w:rPr>
        <w:t xml:space="preserve"> v Strategickom pláne. </w:t>
      </w:r>
      <w:r w:rsidRPr="00074FDC">
        <w:rPr>
          <w:color w:val="000000" w:themeColor="text1"/>
          <w:sz w:val="22"/>
          <w:szCs w:val="22"/>
        </w:rPr>
        <w:t xml:space="preserve">Zoznam obsahuje </w:t>
      </w:r>
      <w:r w:rsidR="00074FDC">
        <w:rPr>
          <w:color w:val="000000" w:themeColor="text1"/>
          <w:sz w:val="22"/>
          <w:szCs w:val="22"/>
        </w:rPr>
        <w:t>priority</w:t>
      </w:r>
      <w:r w:rsidRPr="00074FDC">
        <w:rPr>
          <w:color w:val="000000" w:themeColor="text1"/>
          <w:sz w:val="22"/>
          <w:szCs w:val="22"/>
        </w:rPr>
        <w:t xml:space="preserve"> súvi</w:t>
      </w:r>
      <w:r w:rsidR="0083727B">
        <w:rPr>
          <w:color w:val="000000" w:themeColor="text1"/>
          <w:sz w:val="22"/>
          <w:szCs w:val="22"/>
        </w:rPr>
        <w:t>siace s </w:t>
      </w:r>
      <w:r w:rsidRPr="00074FDC">
        <w:rPr>
          <w:color w:val="000000" w:themeColor="text1"/>
          <w:sz w:val="22"/>
          <w:szCs w:val="22"/>
        </w:rPr>
        <w:t>realizačnými projektmi v rámci obdobia 2014 – 2023, ako aj za týmto horizontom.</w:t>
      </w:r>
    </w:p>
    <w:p w:rsidR="00E92F9B" w:rsidRDefault="00E92F9B" w:rsidP="00E92F9B">
      <w:pPr>
        <w:pStyle w:val="Nadpis4"/>
        <w:spacing w:before="240"/>
      </w:pPr>
      <w:r>
        <w:t>Hlavné princípy výberu projektov</w:t>
      </w:r>
    </w:p>
    <w:p w:rsidR="00E92F9B" w:rsidRDefault="00E92F9B" w:rsidP="00E92F9B">
      <w:pPr>
        <w:tabs>
          <w:tab w:val="left" w:pos="540"/>
        </w:tabs>
        <w:jc w:val="both"/>
        <w:rPr>
          <w:sz w:val="22"/>
          <w:szCs w:val="22"/>
        </w:rPr>
      </w:pPr>
      <w:r>
        <w:rPr>
          <w:sz w:val="22"/>
          <w:szCs w:val="22"/>
        </w:rPr>
        <w:t>Vzhľadom na </w:t>
      </w:r>
      <w:r w:rsidRPr="00FE75AD">
        <w:rPr>
          <w:sz w:val="22"/>
          <w:szCs w:val="22"/>
        </w:rPr>
        <w:t>špecifické postavenie MDVRR SR vo vzťahu k</w:t>
      </w:r>
      <w:r>
        <w:rPr>
          <w:sz w:val="22"/>
          <w:szCs w:val="22"/>
        </w:rPr>
        <w:t> </w:t>
      </w:r>
      <w:r w:rsidRPr="00FE75AD">
        <w:rPr>
          <w:sz w:val="22"/>
          <w:szCs w:val="22"/>
        </w:rPr>
        <w:t>podporovaným aktivitám budú jednotliví prijímatelia stanovení vopred a</w:t>
      </w:r>
      <w:r>
        <w:rPr>
          <w:sz w:val="22"/>
          <w:szCs w:val="22"/>
        </w:rPr>
        <w:t> </w:t>
      </w:r>
      <w:r w:rsidRPr="00FE75AD">
        <w:rPr>
          <w:sz w:val="22"/>
          <w:szCs w:val="22"/>
        </w:rPr>
        <w:t>písomnými vyzvaniami (pre stanovené oblasti) žiadaní o</w:t>
      </w:r>
      <w:r>
        <w:rPr>
          <w:sz w:val="22"/>
          <w:szCs w:val="22"/>
        </w:rPr>
        <w:t> </w:t>
      </w:r>
      <w:r w:rsidRPr="00FE75AD">
        <w:rPr>
          <w:sz w:val="22"/>
          <w:szCs w:val="22"/>
        </w:rPr>
        <w:t>predkladanie projektových žiadostí.</w:t>
      </w:r>
      <w:r>
        <w:rPr>
          <w:sz w:val="22"/>
          <w:szCs w:val="22"/>
        </w:rPr>
        <w:t xml:space="preserve"> </w:t>
      </w:r>
      <w:r w:rsidRPr="00FE75AD">
        <w:rPr>
          <w:sz w:val="22"/>
          <w:szCs w:val="22"/>
        </w:rPr>
        <w:t xml:space="preserve">Výber </w:t>
      </w:r>
      <w:r>
        <w:rPr>
          <w:sz w:val="22"/>
          <w:szCs w:val="22"/>
        </w:rPr>
        <w:t>projektov na </w:t>
      </w:r>
      <w:r w:rsidRPr="00FE75AD">
        <w:rPr>
          <w:sz w:val="22"/>
          <w:szCs w:val="22"/>
        </w:rPr>
        <w:t>implementáci</w:t>
      </w:r>
      <w:r>
        <w:rPr>
          <w:sz w:val="22"/>
          <w:szCs w:val="22"/>
        </w:rPr>
        <w:t>u bude rešpektovať výstupy strategických dokumentov spracovaných pre potreby programového obdobia, ako aj ich prípad</w:t>
      </w:r>
      <w:r w:rsidR="00964182">
        <w:rPr>
          <w:sz w:val="22"/>
          <w:szCs w:val="22"/>
        </w:rPr>
        <w:t>né aktualizácie, ktoré zohľadňujú</w:t>
      </w:r>
      <w:r>
        <w:rPr>
          <w:sz w:val="22"/>
          <w:szCs w:val="22"/>
        </w:rPr>
        <w:t xml:space="preserve"> rezortné potreby v širšom kontexte. Ide predovšetkým o Strategický plán a Stratégiu </w:t>
      </w:r>
      <w:r w:rsidR="008F350F">
        <w:rPr>
          <w:sz w:val="22"/>
          <w:szCs w:val="22"/>
        </w:rPr>
        <w:t>VOD</w:t>
      </w:r>
      <w:r>
        <w:rPr>
          <w:sz w:val="22"/>
          <w:szCs w:val="22"/>
        </w:rPr>
        <w:t>.</w:t>
      </w:r>
    </w:p>
    <w:p w:rsidR="00E42497" w:rsidRDefault="00E42497" w:rsidP="00E41E26">
      <w:pPr>
        <w:pStyle w:val="Nadpis4"/>
        <w:spacing w:before="240"/>
      </w:pPr>
      <w:r>
        <w:t>Plánované využitie finančných nástrojov</w:t>
      </w:r>
    </w:p>
    <w:p w:rsidR="00E42497" w:rsidRPr="00AB00A4" w:rsidRDefault="00E42497" w:rsidP="00E42497">
      <w:pPr>
        <w:jc w:val="both"/>
        <w:rPr>
          <w:sz w:val="22"/>
          <w:szCs w:val="22"/>
        </w:rPr>
      </w:pPr>
      <w:r w:rsidRPr="00AB00A4">
        <w:rPr>
          <w:sz w:val="22"/>
          <w:szCs w:val="22"/>
        </w:rPr>
        <w:t xml:space="preserve">Finančné nástroje budú použité na podporu implementácie tých aktivít, pri ktorých bude preukázané efektívnejšie využitie finančných prostriedkov z EŠIF takouto formou podpory. Pri ekonomicky životaschopných projektoch, kde sa predpokladá návratnosť prostriedkov alebo úspora nákladov, predstavujú finančné nástroje vhodnejšiu formu podpory, ktorá vedie len k minimálnej, prípadne žiadnej deformácii trhu a nenarúša tak hospodársku súťaž. Finančné nástroje budú zamerané </w:t>
      </w:r>
      <w:r w:rsidRPr="00AB00A4">
        <w:rPr>
          <w:sz w:val="22"/>
          <w:szCs w:val="22"/>
        </w:rPr>
        <w:lastRenderedPageBreak/>
        <w:t>na podporu tých aktivít, ktoré nenachádzajú financovanie na trhu, prípadne nenachádzajú adekvátne financovanie, pri ktorom by ich realizácia bola efektívnou.</w:t>
      </w:r>
    </w:p>
    <w:p w:rsidR="00E42497" w:rsidRDefault="00E42497" w:rsidP="00E42497">
      <w:pPr>
        <w:spacing w:before="180"/>
        <w:jc w:val="both"/>
        <w:rPr>
          <w:sz w:val="22"/>
          <w:szCs w:val="22"/>
        </w:rPr>
      </w:pPr>
      <w:r w:rsidRPr="00430B9D">
        <w:rPr>
          <w:sz w:val="22"/>
          <w:szCs w:val="22"/>
        </w:rPr>
        <w:t>Okrem možnosti opakovateľného použitia prostriedkov</w:t>
      </w:r>
      <w:r w:rsidR="00964182">
        <w:rPr>
          <w:sz w:val="22"/>
          <w:szCs w:val="22"/>
        </w:rPr>
        <w:t xml:space="preserve"> na realizáciu cieľov </w:t>
      </w:r>
      <w:r w:rsidRPr="00430B9D">
        <w:rPr>
          <w:sz w:val="22"/>
          <w:szCs w:val="22"/>
        </w:rPr>
        <w:t xml:space="preserve">prioritnej osi patrí medzi výhody využitia finančných nástrojov možnosť navýšenia </w:t>
      </w:r>
      <w:r w:rsidR="00964182">
        <w:rPr>
          <w:sz w:val="22"/>
          <w:szCs w:val="22"/>
        </w:rPr>
        <w:t>prostriedkov na</w:t>
      </w:r>
      <w:r>
        <w:rPr>
          <w:sz w:val="22"/>
          <w:szCs w:val="22"/>
        </w:rPr>
        <w:t> </w:t>
      </w:r>
      <w:r w:rsidRPr="00430B9D">
        <w:rPr>
          <w:sz w:val="22"/>
          <w:szCs w:val="22"/>
        </w:rPr>
        <w:t>dosiahnutie príslušných cieľov prostredníctvom pritiahnutia dodatočného kapitálu vďaka atraktívnemu nastaveniu daných nástrojov. Pritiahnutie dodatočného kapi</w:t>
      </w:r>
      <w:r>
        <w:rPr>
          <w:sz w:val="22"/>
          <w:szCs w:val="22"/>
        </w:rPr>
        <w:t>tálu je potrebné aj vzhľadom na limitovaný</w:t>
      </w:r>
      <w:r w:rsidRPr="00430B9D">
        <w:rPr>
          <w:sz w:val="22"/>
          <w:szCs w:val="22"/>
        </w:rPr>
        <w:t xml:space="preserve"> objem prostriedkov z </w:t>
      </w:r>
      <w:r>
        <w:rPr>
          <w:sz w:val="22"/>
          <w:szCs w:val="22"/>
        </w:rPr>
        <w:t>EŠIF</w:t>
      </w:r>
      <w:r w:rsidRPr="00430B9D">
        <w:rPr>
          <w:sz w:val="22"/>
          <w:szCs w:val="22"/>
        </w:rPr>
        <w:t xml:space="preserve"> na pokrytie všetkých investičných potrieb v príslušných oblastiach. Účasť súkromných investorov môže prispieť aj ku skvalitneniu implementácie projektov, a teda dodatočne prispieva k celkovo efektívnejšiemu po</w:t>
      </w:r>
      <w:r>
        <w:rPr>
          <w:sz w:val="22"/>
          <w:szCs w:val="22"/>
        </w:rPr>
        <w:t>užitiu finančných prostriedkov.</w:t>
      </w:r>
    </w:p>
    <w:p w:rsidR="00E42497" w:rsidRPr="00034021" w:rsidRDefault="00E42497" w:rsidP="00E42497">
      <w:pPr>
        <w:spacing w:before="180"/>
        <w:jc w:val="both"/>
        <w:rPr>
          <w:sz w:val="22"/>
          <w:szCs w:val="22"/>
        </w:rPr>
      </w:pPr>
      <w:r w:rsidRPr="00034021">
        <w:rPr>
          <w:sz w:val="22"/>
          <w:szCs w:val="22"/>
        </w:rPr>
        <w:t>Príslušné aktivity bude možné podporiť rôznymi finančnými produktmi (úvery, záruky, kapitálové vklady, mezanínové financovanie a</w:t>
      </w:r>
      <w:r w:rsidR="000A1A12">
        <w:rPr>
          <w:sz w:val="22"/>
          <w:szCs w:val="22"/>
        </w:rPr>
        <w:t> </w:t>
      </w:r>
      <w:r w:rsidRPr="00034021">
        <w:rPr>
          <w:sz w:val="22"/>
          <w:szCs w:val="22"/>
        </w:rPr>
        <w:t>pod</w:t>
      </w:r>
      <w:r w:rsidR="000A1A12">
        <w:rPr>
          <w:sz w:val="22"/>
          <w:szCs w:val="22"/>
        </w:rPr>
        <w:t>.</w:t>
      </w:r>
      <w:r w:rsidRPr="00034021">
        <w:rPr>
          <w:sz w:val="22"/>
          <w:szCs w:val="22"/>
        </w:rPr>
        <w:t xml:space="preserve">). V súlade s čl. 37(2) nariadenia č. 1303/2013, </w:t>
      </w:r>
      <w:r w:rsidRPr="00034021">
        <w:rPr>
          <w:b/>
          <w:sz w:val="22"/>
          <w:szCs w:val="22"/>
        </w:rPr>
        <w:t>konkrétne aktivity, vhodná suma prostriedkov a podmienky implementácie finančných nástrojov vrátane možnej multiplikácie alokovaných prostriedkov a ich kombinácie s inými formami podpory budú vychádzať z výsledkov ex ante hodnotenia pre finančné nástroje</w:t>
      </w:r>
      <w:r w:rsidR="000A1A12">
        <w:rPr>
          <w:b/>
          <w:sz w:val="22"/>
          <w:szCs w:val="22"/>
        </w:rPr>
        <w:t>.</w:t>
      </w:r>
    </w:p>
    <w:p w:rsidR="00E42497" w:rsidRDefault="00E42497" w:rsidP="00740654">
      <w:pPr>
        <w:pStyle w:val="Nadpis4"/>
      </w:pPr>
      <w:r>
        <w:t>Plánované využitie veľkých projektov</w:t>
      </w:r>
    </w:p>
    <w:p w:rsidR="00E42497" w:rsidRPr="007B3B80" w:rsidRDefault="00E42497" w:rsidP="00E42497">
      <w:pPr>
        <w:jc w:val="both"/>
        <w:rPr>
          <w:sz w:val="22"/>
          <w:szCs w:val="22"/>
        </w:rPr>
      </w:pPr>
      <w:r w:rsidRPr="00FE75AD">
        <w:rPr>
          <w:sz w:val="22"/>
          <w:szCs w:val="22"/>
        </w:rPr>
        <w:t>Zoznam veľkých projektov, ktorých spolufinancovanie z</w:t>
      </w:r>
      <w:r>
        <w:rPr>
          <w:sz w:val="22"/>
          <w:szCs w:val="22"/>
        </w:rPr>
        <w:t> </w:t>
      </w:r>
      <w:r w:rsidRPr="00FE75AD">
        <w:rPr>
          <w:sz w:val="22"/>
          <w:szCs w:val="22"/>
        </w:rPr>
        <w:t>prostriedkov prioritnej osi navrhuje RO </w:t>
      </w:r>
      <w:r>
        <w:rPr>
          <w:sz w:val="22"/>
          <w:szCs w:val="22"/>
        </w:rPr>
        <w:t>OPII</w:t>
      </w:r>
      <w:r w:rsidRPr="00FE75AD">
        <w:rPr>
          <w:sz w:val="22"/>
          <w:szCs w:val="22"/>
        </w:rPr>
        <w:t xml:space="preserve"> je uvedený v</w:t>
      </w:r>
      <w:r>
        <w:rPr>
          <w:sz w:val="22"/>
          <w:szCs w:val="22"/>
        </w:rPr>
        <w:t> kapitole 13.1</w:t>
      </w:r>
      <w:r w:rsidRPr="00FE75AD">
        <w:rPr>
          <w:sz w:val="22"/>
          <w:szCs w:val="22"/>
        </w:rPr>
        <w:t>.</w:t>
      </w:r>
    </w:p>
    <w:p w:rsidR="00E42497" w:rsidRDefault="00E42497" w:rsidP="00740654">
      <w:pPr>
        <w:pStyle w:val="Nadpis4"/>
      </w:pPr>
      <w:r>
        <w:t>Ukazovatele výstupu na úrovni investičnej priority a kategórie regiónu</w:t>
      </w:r>
    </w:p>
    <w:p w:rsidR="00E42497" w:rsidRPr="008C1732" w:rsidRDefault="00E42497" w:rsidP="00E42497">
      <w:pPr>
        <w:pStyle w:val="Tab"/>
      </w:pPr>
      <w:r>
        <w:t>Spoločné a špecifické ukazovatele výstupu</w:t>
      </w:r>
      <w:r w:rsidR="00E41E26">
        <w:t xml:space="preserve"> investičnej priority 7a)</w:t>
      </w:r>
    </w:p>
    <w:tbl>
      <w:tblPr>
        <w:tblStyle w:val="Mriekatabuky"/>
        <w:tblW w:w="941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77"/>
        <w:gridCol w:w="2411"/>
        <w:gridCol w:w="903"/>
        <w:gridCol w:w="656"/>
        <w:gridCol w:w="1225"/>
        <w:gridCol w:w="1246"/>
        <w:gridCol w:w="1010"/>
        <w:gridCol w:w="1384"/>
      </w:tblGrid>
      <w:tr w:rsidR="00E42497" w:rsidTr="003D6170">
        <w:trPr>
          <w:trHeight w:val="487"/>
          <w:jc w:val="center"/>
        </w:trPr>
        <w:tc>
          <w:tcPr>
            <w:tcW w:w="577" w:type="dxa"/>
            <w:shd w:val="clear" w:color="auto" w:fill="C6D9F1" w:themeFill="text2" w:themeFillTint="33"/>
            <w:vAlign w:val="center"/>
          </w:tcPr>
          <w:p w:rsidR="00E42497" w:rsidRPr="008C1732" w:rsidRDefault="00AF56C3" w:rsidP="003D6170">
            <w:pPr>
              <w:ind w:left="0"/>
              <w:jc w:val="center"/>
              <w:rPr>
                <w:b/>
                <w:sz w:val="18"/>
                <w:szCs w:val="18"/>
              </w:rPr>
            </w:pPr>
            <w:r>
              <w:rPr>
                <w:b/>
                <w:sz w:val="18"/>
                <w:szCs w:val="18"/>
              </w:rPr>
              <w:t>P. č.</w:t>
            </w:r>
          </w:p>
        </w:tc>
        <w:tc>
          <w:tcPr>
            <w:tcW w:w="2411" w:type="dxa"/>
            <w:shd w:val="clear" w:color="auto" w:fill="C6D9F1" w:themeFill="text2" w:themeFillTint="33"/>
            <w:vAlign w:val="center"/>
          </w:tcPr>
          <w:p w:rsidR="00E42497" w:rsidRPr="008C1732" w:rsidRDefault="00E42497" w:rsidP="003D6170">
            <w:pPr>
              <w:ind w:left="0"/>
              <w:jc w:val="center"/>
              <w:rPr>
                <w:b/>
                <w:sz w:val="18"/>
                <w:szCs w:val="18"/>
              </w:rPr>
            </w:pPr>
            <w:r w:rsidRPr="008C1732">
              <w:rPr>
                <w:b/>
                <w:sz w:val="18"/>
                <w:szCs w:val="18"/>
              </w:rPr>
              <w:t>Ukazovateľ výstupu</w:t>
            </w:r>
          </w:p>
        </w:tc>
        <w:tc>
          <w:tcPr>
            <w:tcW w:w="903" w:type="dxa"/>
            <w:shd w:val="clear" w:color="auto" w:fill="C6D9F1" w:themeFill="text2" w:themeFillTint="33"/>
            <w:vAlign w:val="center"/>
          </w:tcPr>
          <w:p w:rsidR="00E42497" w:rsidRPr="008C1732" w:rsidRDefault="00E42497" w:rsidP="003D6170">
            <w:pPr>
              <w:ind w:left="0"/>
              <w:jc w:val="center"/>
              <w:rPr>
                <w:b/>
                <w:sz w:val="18"/>
                <w:szCs w:val="18"/>
              </w:rPr>
            </w:pPr>
            <w:r w:rsidRPr="008C1732">
              <w:rPr>
                <w:b/>
                <w:sz w:val="18"/>
                <w:szCs w:val="18"/>
              </w:rPr>
              <w:t>Merná jednotka</w:t>
            </w:r>
          </w:p>
        </w:tc>
        <w:tc>
          <w:tcPr>
            <w:tcW w:w="656" w:type="dxa"/>
            <w:shd w:val="clear" w:color="auto" w:fill="C6D9F1" w:themeFill="text2" w:themeFillTint="33"/>
            <w:vAlign w:val="center"/>
          </w:tcPr>
          <w:p w:rsidR="00E42497" w:rsidRPr="008C1732" w:rsidRDefault="00E42497" w:rsidP="003D6170">
            <w:pPr>
              <w:ind w:left="0"/>
              <w:jc w:val="center"/>
              <w:rPr>
                <w:b/>
                <w:sz w:val="18"/>
                <w:szCs w:val="18"/>
              </w:rPr>
            </w:pPr>
            <w:r w:rsidRPr="008C1732">
              <w:rPr>
                <w:b/>
                <w:sz w:val="18"/>
                <w:szCs w:val="18"/>
              </w:rPr>
              <w:t>Fond</w:t>
            </w:r>
          </w:p>
        </w:tc>
        <w:tc>
          <w:tcPr>
            <w:tcW w:w="1225" w:type="dxa"/>
            <w:shd w:val="clear" w:color="auto" w:fill="C6D9F1" w:themeFill="text2" w:themeFillTint="33"/>
            <w:vAlign w:val="center"/>
          </w:tcPr>
          <w:p w:rsidR="00E42497" w:rsidRPr="008C1732" w:rsidRDefault="00E42497" w:rsidP="003D6170">
            <w:pPr>
              <w:ind w:left="0"/>
              <w:jc w:val="center"/>
              <w:rPr>
                <w:b/>
                <w:sz w:val="18"/>
                <w:szCs w:val="18"/>
              </w:rPr>
            </w:pPr>
            <w:r w:rsidRPr="008C1732">
              <w:rPr>
                <w:b/>
                <w:sz w:val="18"/>
                <w:szCs w:val="18"/>
              </w:rPr>
              <w:t>Kategória regiónu</w:t>
            </w:r>
          </w:p>
        </w:tc>
        <w:tc>
          <w:tcPr>
            <w:tcW w:w="1246" w:type="dxa"/>
            <w:shd w:val="clear" w:color="auto" w:fill="C6D9F1" w:themeFill="text2" w:themeFillTint="33"/>
            <w:vAlign w:val="center"/>
          </w:tcPr>
          <w:p w:rsidR="00E42497" w:rsidRPr="008C1732" w:rsidRDefault="00E42497" w:rsidP="003D6170">
            <w:pPr>
              <w:ind w:left="0"/>
              <w:jc w:val="center"/>
              <w:rPr>
                <w:b/>
                <w:sz w:val="18"/>
                <w:szCs w:val="18"/>
              </w:rPr>
            </w:pPr>
            <w:r w:rsidRPr="008C1732">
              <w:rPr>
                <w:b/>
                <w:sz w:val="18"/>
                <w:szCs w:val="18"/>
              </w:rPr>
              <w:t>Cieľová hodnota (2023)</w:t>
            </w:r>
          </w:p>
        </w:tc>
        <w:tc>
          <w:tcPr>
            <w:tcW w:w="1010" w:type="dxa"/>
            <w:shd w:val="clear" w:color="auto" w:fill="C6D9F1" w:themeFill="text2" w:themeFillTint="33"/>
            <w:vAlign w:val="center"/>
          </w:tcPr>
          <w:p w:rsidR="00E42497" w:rsidRPr="008C1732" w:rsidRDefault="00E42497" w:rsidP="003D6170">
            <w:pPr>
              <w:ind w:left="0"/>
              <w:jc w:val="center"/>
              <w:rPr>
                <w:b/>
                <w:sz w:val="18"/>
                <w:szCs w:val="18"/>
              </w:rPr>
            </w:pPr>
            <w:r w:rsidRPr="008C1732">
              <w:rPr>
                <w:b/>
                <w:sz w:val="18"/>
                <w:szCs w:val="18"/>
              </w:rPr>
              <w:t>Zdroj údajov</w:t>
            </w:r>
          </w:p>
        </w:tc>
        <w:tc>
          <w:tcPr>
            <w:tcW w:w="1384" w:type="dxa"/>
            <w:shd w:val="clear" w:color="auto" w:fill="C6D9F1" w:themeFill="text2" w:themeFillTint="33"/>
            <w:vAlign w:val="center"/>
          </w:tcPr>
          <w:p w:rsidR="00E42497" w:rsidRPr="008C1732" w:rsidRDefault="00E42497" w:rsidP="003D6170">
            <w:pPr>
              <w:ind w:left="0"/>
              <w:jc w:val="center"/>
              <w:rPr>
                <w:b/>
                <w:sz w:val="18"/>
                <w:szCs w:val="18"/>
              </w:rPr>
            </w:pPr>
            <w:r w:rsidRPr="008C1732">
              <w:rPr>
                <w:b/>
                <w:sz w:val="18"/>
                <w:szCs w:val="18"/>
              </w:rPr>
              <w:t>Frekvencia vykazovania</w:t>
            </w:r>
          </w:p>
        </w:tc>
      </w:tr>
      <w:tr w:rsidR="00E42497" w:rsidTr="003D6170">
        <w:trPr>
          <w:trHeight w:val="680"/>
          <w:jc w:val="center"/>
        </w:trPr>
        <w:tc>
          <w:tcPr>
            <w:tcW w:w="577" w:type="dxa"/>
            <w:shd w:val="clear" w:color="auto" w:fill="auto"/>
            <w:vAlign w:val="center"/>
          </w:tcPr>
          <w:p w:rsidR="00E42497" w:rsidRPr="00737ED2" w:rsidRDefault="00E42497" w:rsidP="007C1063">
            <w:pPr>
              <w:ind w:left="0"/>
              <w:jc w:val="center"/>
              <w:rPr>
                <w:sz w:val="18"/>
                <w:szCs w:val="18"/>
              </w:rPr>
            </w:pPr>
            <w:r>
              <w:rPr>
                <w:sz w:val="18"/>
                <w:szCs w:val="18"/>
              </w:rPr>
              <w:t>1</w:t>
            </w:r>
            <w:r w:rsidRPr="00737ED2">
              <w:rPr>
                <w:sz w:val="18"/>
                <w:szCs w:val="18"/>
              </w:rPr>
              <w:t>.</w:t>
            </w:r>
          </w:p>
        </w:tc>
        <w:tc>
          <w:tcPr>
            <w:tcW w:w="2411" w:type="dxa"/>
            <w:shd w:val="clear" w:color="auto" w:fill="auto"/>
            <w:vAlign w:val="center"/>
          </w:tcPr>
          <w:p w:rsidR="00E42497" w:rsidRPr="00737ED2" w:rsidRDefault="00034021" w:rsidP="007C1063">
            <w:pPr>
              <w:ind w:left="0"/>
              <w:rPr>
                <w:sz w:val="18"/>
                <w:szCs w:val="18"/>
              </w:rPr>
            </w:pPr>
            <w:r w:rsidRPr="000E02BD">
              <w:rPr>
                <w:sz w:val="18"/>
                <w:szCs w:val="18"/>
              </w:rPr>
              <w:t xml:space="preserve">Celková dĺžka </w:t>
            </w:r>
            <w:r>
              <w:rPr>
                <w:sz w:val="18"/>
                <w:szCs w:val="18"/>
              </w:rPr>
              <w:t>novovybudovaných ciest</w:t>
            </w:r>
          </w:p>
        </w:tc>
        <w:tc>
          <w:tcPr>
            <w:tcW w:w="903" w:type="dxa"/>
            <w:shd w:val="clear" w:color="auto" w:fill="auto"/>
            <w:vAlign w:val="center"/>
          </w:tcPr>
          <w:p w:rsidR="00E42497" w:rsidRPr="004F0234" w:rsidRDefault="00E42497" w:rsidP="00E41E26">
            <w:pPr>
              <w:ind w:left="0"/>
              <w:jc w:val="center"/>
              <w:rPr>
                <w:i/>
                <w:sz w:val="18"/>
                <w:szCs w:val="18"/>
              </w:rPr>
            </w:pPr>
            <w:r w:rsidRPr="004F0234">
              <w:rPr>
                <w:i/>
                <w:sz w:val="18"/>
                <w:szCs w:val="18"/>
              </w:rPr>
              <w:t>km</w:t>
            </w:r>
          </w:p>
        </w:tc>
        <w:tc>
          <w:tcPr>
            <w:tcW w:w="656" w:type="dxa"/>
            <w:shd w:val="clear" w:color="auto" w:fill="auto"/>
            <w:vAlign w:val="center"/>
          </w:tcPr>
          <w:p w:rsidR="00E42497" w:rsidRPr="004F0234" w:rsidRDefault="00E42497" w:rsidP="00E41E26">
            <w:pPr>
              <w:ind w:left="0"/>
              <w:jc w:val="center"/>
              <w:rPr>
                <w:i/>
                <w:sz w:val="18"/>
                <w:szCs w:val="18"/>
              </w:rPr>
            </w:pPr>
            <w:r>
              <w:rPr>
                <w:i/>
                <w:sz w:val="18"/>
                <w:szCs w:val="18"/>
              </w:rPr>
              <w:t>EFRR</w:t>
            </w:r>
          </w:p>
        </w:tc>
        <w:tc>
          <w:tcPr>
            <w:tcW w:w="1225" w:type="dxa"/>
            <w:shd w:val="clear" w:color="auto" w:fill="auto"/>
            <w:vAlign w:val="center"/>
          </w:tcPr>
          <w:p w:rsidR="00E42497" w:rsidRPr="004F0234" w:rsidRDefault="007C1063" w:rsidP="00E41E26">
            <w:pPr>
              <w:ind w:left="0"/>
              <w:jc w:val="center"/>
              <w:rPr>
                <w:i/>
                <w:sz w:val="18"/>
                <w:szCs w:val="18"/>
              </w:rPr>
            </w:pPr>
            <w:r>
              <w:rPr>
                <w:i/>
                <w:sz w:val="18"/>
                <w:szCs w:val="18"/>
              </w:rPr>
              <w:t>Menej rozvinuté regióny</w:t>
            </w:r>
          </w:p>
        </w:tc>
        <w:tc>
          <w:tcPr>
            <w:tcW w:w="1246" w:type="dxa"/>
            <w:shd w:val="clear" w:color="auto" w:fill="auto"/>
            <w:vAlign w:val="center"/>
          </w:tcPr>
          <w:p w:rsidR="00E42497" w:rsidRPr="004F0234" w:rsidRDefault="00E42497" w:rsidP="00E41E26">
            <w:pPr>
              <w:ind w:left="0"/>
              <w:jc w:val="center"/>
              <w:rPr>
                <w:i/>
                <w:sz w:val="18"/>
                <w:szCs w:val="18"/>
              </w:rPr>
            </w:pPr>
          </w:p>
        </w:tc>
        <w:tc>
          <w:tcPr>
            <w:tcW w:w="1010" w:type="dxa"/>
            <w:vAlign w:val="center"/>
          </w:tcPr>
          <w:p w:rsidR="00E42497" w:rsidRPr="004F0234" w:rsidRDefault="00E42497" w:rsidP="00E41E26">
            <w:pPr>
              <w:ind w:left="0"/>
              <w:jc w:val="center"/>
              <w:rPr>
                <w:i/>
                <w:sz w:val="18"/>
                <w:szCs w:val="18"/>
              </w:rPr>
            </w:pPr>
            <w:r w:rsidRPr="004F0234">
              <w:rPr>
                <w:i/>
                <w:sz w:val="18"/>
                <w:szCs w:val="18"/>
              </w:rPr>
              <w:t>RO OPII</w:t>
            </w:r>
          </w:p>
        </w:tc>
        <w:tc>
          <w:tcPr>
            <w:tcW w:w="1384" w:type="dxa"/>
            <w:vAlign w:val="center"/>
          </w:tcPr>
          <w:p w:rsidR="00E42497" w:rsidRPr="004F0234" w:rsidRDefault="00E42497" w:rsidP="00E41E26">
            <w:pPr>
              <w:ind w:left="0"/>
              <w:jc w:val="center"/>
              <w:rPr>
                <w:i/>
                <w:sz w:val="18"/>
                <w:szCs w:val="18"/>
              </w:rPr>
            </w:pPr>
            <w:r>
              <w:rPr>
                <w:i/>
                <w:sz w:val="18"/>
                <w:szCs w:val="18"/>
              </w:rPr>
              <w:t>Ročne</w:t>
            </w:r>
          </w:p>
        </w:tc>
      </w:tr>
    </w:tbl>
    <w:p w:rsidR="00395D81" w:rsidRPr="00E3616E" w:rsidRDefault="00395D81" w:rsidP="00E3616E">
      <w:pPr>
        <w:rPr>
          <w:sz w:val="20"/>
          <w:szCs w:val="20"/>
        </w:rPr>
      </w:pPr>
      <w:bookmarkStart w:id="67" w:name="_Toc384029144"/>
      <w:r w:rsidRPr="008F243C">
        <w:rPr>
          <w:sz w:val="20"/>
          <w:szCs w:val="20"/>
          <w:u w:val="single"/>
        </w:rPr>
        <w:t>Pozn.</w:t>
      </w:r>
      <w:r w:rsidRPr="00E3616E">
        <w:rPr>
          <w:sz w:val="20"/>
          <w:szCs w:val="20"/>
        </w:rPr>
        <w:t>: Hodnoty ukazovateľov budú doplnené v ďalšom štádiu prípravy dokumentu.</w:t>
      </w:r>
      <w:bookmarkEnd w:id="67"/>
      <w:r w:rsidRPr="00E3616E">
        <w:rPr>
          <w:sz w:val="20"/>
          <w:szCs w:val="20"/>
        </w:rPr>
        <w:t xml:space="preserve"> </w:t>
      </w:r>
    </w:p>
    <w:p w:rsidR="00E41E26" w:rsidRPr="008C1732" w:rsidRDefault="00E41E26" w:rsidP="00E41E26">
      <w:pPr>
        <w:pStyle w:val="Tab"/>
      </w:pPr>
      <w:r>
        <w:t>Spoločné a špecifické ukazovatele výstupu investičnej priority 7b)</w:t>
      </w:r>
    </w:p>
    <w:tbl>
      <w:tblPr>
        <w:tblStyle w:val="Mriekatabuky"/>
        <w:tblW w:w="941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77"/>
        <w:gridCol w:w="2411"/>
        <w:gridCol w:w="903"/>
        <w:gridCol w:w="656"/>
        <w:gridCol w:w="1225"/>
        <w:gridCol w:w="1246"/>
        <w:gridCol w:w="1010"/>
        <w:gridCol w:w="1384"/>
      </w:tblGrid>
      <w:tr w:rsidR="00E41E26" w:rsidTr="003D6170">
        <w:trPr>
          <w:trHeight w:val="487"/>
          <w:jc w:val="center"/>
        </w:trPr>
        <w:tc>
          <w:tcPr>
            <w:tcW w:w="577" w:type="dxa"/>
            <w:shd w:val="clear" w:color="auto" w:fill="C6D9F1" w:themeFill="text2" w:themeFillTint="33"/>
            <w:vAlign w:val="center"/>
          </w:tcPr>
          <w:p w:rsidR="00E41E26" w:rsidRPr="008C1732" w:rsidRDefault="00AF56C3" w:rsidP="003D6170">
            <w:pPr>
              <w:ind w:left="0"/>
              <w:jc w:val="center"/>
              <w:rPr>
                <w:b/>
                <w:sz w:val="18"/>
                <w:szCs w:val="18"/>
              </w:rPr>
            </w:pPr>
            <w:r>
              <w:rPr>
                <w:b/>
                <w:sz w:val="18"/>
                <w:szCs w:val="18"/>
              </w:rPr>
              <w:t>P. č.</w:t>
            </w:r>
          </w:p>
        </w:tc>
        <w:tc>
          <w:tcPr>
            <w:tcW w:w="2411" w:type="dxa"/>
            <w:shd w:val="clear" w:color="auto" w:fill="C6D9F1" w:themeFill="text2" w:themeFillTint="33"/>
            <w:vAlign w:val="center"/>
          </w:tcPr>
          <w:p w:rsidR="00E41E26" w:rsidRPr="008C1732" w:rsidRDefault="00E41E26" w:rsidP="003D6170">
            <w:pPr>
              <w:ind w:left="0"/>
              <w:jc w:val="center"/>
              <w:rPr>
                <w:b/>
                <w:sz w:val="18"/>
                <w:szCs w:val="18"/>
              </w:rPr>
            </w:pPr>
            <w:r w:rsidRPr="008C1732">
              <w:rPr>
                <w:b/>
                <w:sz w:val="18"/>
                <w:szCs w:val="18"/>
              </w:rPr>
              <w:t>Ukazovateľ výstupu</w:t>
            </w:r>
          </w:p>
        </w:tc>
        <w:tc>
          <w:tcPr>
            <w:tcW w:w="903" w:type="dxa"/>
            <w:shd w:val="clear" w:color="auto" w:fill="C6D9F1" w:themeFill="text2" w:themeFillTint="33"/>
            <w:vAlign w:val="center"/>
          </w:tcPr>
          <w:p w:rsidR="00E41E26" w:rsidRPr="008C1732" w:rsidRDefault="00E41E26" w:rsidP="003D6170">
            <w:pPr>
              <w:ind w:left="0"/>
              <w:jc w:val="center"/>
              <w:rPr>
                <w:b/>
                <w:sz w:val="18"/>
                <w:szCs w:val="18"/>
              </w:rPr>
            </w:pPr>
            <w:r w:rsidRPr="008C1732">
              <w:rPr>
                <w:b/>
                <w:sz w:val="18"/>
                <w:szCs w:val="18"/>
              </w:rPr>
              <w:t>Merná jednotka</w:t>
            </w:r>
          </w:p>
        </w:tc>
        <w:tc>
          <w:tcPr>
            <w:tcW w:w="656" w:type="dxa"/>
            <w:shd w:val="clear" w:color="auto" w:fill="C6D9F1" w:themeFill="text2" w:themeFillTint="33"/>
            <w:vAlign w:val="center"/>
          </w:tcPr>
          <w:p w:rsidR="00E41E26" w:rsidRPr="008C1732" w:rsidRDefault="00E41E26" w:rsidP="003D6170">
            <w:pPr>
              <w:ind w:left="0"/>
              <w:jc w:val="center"/>
              <w:rPr>
                <w:b/>
                <w:sz w:val="18"/>
                <w:szCs w:val="18"/>
              </w:rPr>
            </w:pPr>
            <w:r w:rsidRPr="008C1732">
              <w:rPr>
                <w:b/>
                <w:sz w:val="18"/>
                <w:szCs w:val="18"/>
              </w:rPr>
              <w:t>Fond</w:t>
            </w:r>
          </w:p>
        </w:tc>
        <w:tc>
          <w:tcPr>
            <w:tcW w:w="1225" w:type="dxa"/>
            <w:shd w:val="clear" w:color="auto" w:fill="C6D9F1" w:themeFill="text2" w:themeFillTint="33"/>
            <w:vAlign w:val="center"/>
          </w:tcPr>
          <w:p w:rsidR="00E41E26" w:rsidRPr="008C1732" w:rsidRDefault="00E41E26" w:rsidP="003D6170">
            <w:pPr>
              <w:ind w:left="0"/>
              <w:jc w:val="center"/>
              <w:rPr>
                <w:b/>
                <w:sz w:val="18"/>
                <w:szCs w:val="18"/>
              </w:rPr>
            </w:pPr>
            <w:r w:rsidRPr="008C1732">
              <w:rPr>
                <w:b/>
                <w:sz w:val="18"/>
                <w:szCs w:val="18"/>
              </w:rPr>
              <w:t>Kategória regiónu</w:t>
            </w:r>
          </w:p>
        </w:tc>
        <w:tc>
          <w:tcPr>
            <w:tcW w:w="1246" w:type="dxa"/>
            <w:shd w:val="clear" w:color="auto" w:fill="C6D9F1" w:themeFill="text2" w:themeFillTint="33"/>
            <w:vAlign w:val="center"/>
          </w:tcPr>
          <w:p w:rsidR="00E41E26" w:rsidRPr="008C1732" w:rsidRDefault="00E41E26" w:rsidP="003D6170">
            <w:pPr>
              <w:ind w:left="0"/>
              <w:jc w:val="center"/>
              <w:rPr>
                <w:b/>
                <w:sz w:val="18"/>
                <w:szCs w:val="18"/>
              </w:rPr>
            </w:pPr>
            <w:r w:rsidRPr="008C1732">
              <w:rPr>
                <w:b/>
                <w:sz w:val="18"/>
                <w:szCs w:val="18"/>
              </w:rPr>
              <w:t>Cieľová hodnota (2023)</w:t>
            </w:r>
          </w:p>
        </w:tc>
        <w:tc>
          <w:tcPr>
            <w:tcW w:w="1010" w:type="dxa"/>
            <w:shd w:val="clear" w:color="auto" w:fill="C6D9F1" w:themeFill="text2" w:themeFillTint="33"/>
            <w:vAlign w:val="center"/>
          </w:tcPr>
          <w:p w:rsidR="00E41E26" w:rsidRPr="008C1732" w:rsidRDefault="00E41E26" w:rsidP="003D6170">
            <w:pPr>
              <w:ind w:left="0"/>
              <w:jc w:val="center"/>
              <w:rPr>
                <w:b/>
                <w:sz w:val="18"/>
                <w:szCs w:val="18"/>
              </w:rPr>
            </w:pPr>
            <w:r w:rsidRPr="008C1732">
              <w:rPr>
                <w:b/>
                <w:sz w:val="18"/>
                <w:szCs w:val="18"/>
              </w:rPr>
              <w:t>Zdroj údajov</w:t>
            </w:r>
          </w:p>
        </w:tc>
        <w:tc>
          <w:tcPr>
            <w:tcW w:w="1384" w:type="dxa"/>
            <w:shd w:val="clear" w:color="auto" w:fill="C6D9F1" w:themeFill="text2" w:themeFillTint="33"/>
            <w:vAlign w:val="center"/>
          </w:tcPr>
          <w:p w:rsidR="00E41E26" w:rsidRPr="008C1732" w:rsidRDefault="00E41E26" w:rsidP="003D6170">
            <w:pPr>
              <w:ind w:left="0"/>
              <w:jc w:val="center"/>
              <w:rPr>
                <w:b/>
                <w:sz w:val="18"/>
                <w:szCs w:val="18"/>
              </w:rPr>
            </w:pPr>
            <w:r w:rsidRPr="008C1732">
              <w:rPr>
                <w:b/>
                <w:sz w:val="18"/>
                <w:szCs w:val="18"/>
              </w:rPr>
              <w:t>Frekvencia vykazovania</w:t>
            </w:r>
          </w:p>
        </w:tc>
      </w:tr>
      <w:tr w:rsidR="00E41E26" w:rsidTr="003D6170">
        <w:trPr>
          <w:trHeight w:val="680"/>
          <w:jc w:val="center"/>
        </w:trPr>
        <w:tc>
          <w:tcPr>
            <w:tcW w:w="577" w:type="dxa"/>
            <w:shd w:val="clear" w:color="auto" w:fill="auto"/>
            <w:vAlign w:val="center"/>
          </w:tcPr>
          <w:p w:rsidR="00E41E26" w:rsidRPr="00737ED2" w:rsidRDefault="00E41E26" w:rsidP="005139F6">
            <w:pPr>
              <w:ind w:left="0"/>
              <w:jc w:val="center"/>
              <w:rPr>
                <w:sz w:val="18"/>
                <w:szCs w:val="18"/>
              </w:rPr>
            </w:pPr>
            <w:r>
              <w:rPr>
                <w:sz w:val="18"/>
                <w:szCs w:val="18"/>
              </w:rPr>
              <w:t>1</w:t>
            </w:r>
            <w:r w:rsidRPr="00737ED2">
              <w:rPr>
                <w:sz w:val="18"/>
                <w:szCs w:val="18"/>
              </w:rPr>
              <w:t>.</w:t>
            </w:r>
          </w:p>
        </w:tc>
        <w:tc>
          <w:tcPr>
            <w:tcW w:w="2411" w:type="dxa"/>
            <w:shd w:val="clear" w:color="auto" w:fill="auto"/>
            <w:vAlign w:val="center"/>
          </w:tcPr>
          <w:p w:rsidR="00E41E26" w:rsidRPr="00737ED2" w:rsidRDefault="00E41E26" w:rsidP="005139F6">
            <w:pPr>
              <w:ind w:left="0"/>
              <w:rPr>
                <w:sz w:val="18"/>
                <w:szCs w:val="18"/>
              </w:rPr>
            </w:pPr>
            <w:r w:rsidRPr="000E02BD">
              <w:rPr>
                <w:sz w:val="18"/>
                <w:szCs w:val="18"/>
              </w:rPr>
              <w:t xml:space="preserve">Celková dĺžka </w:t>
            </w:r>
            <w:r>
              <w:rPr>
                <w:sz w:val="18"/>
                <w:szCs w:val="18"/>
              </w:rPr>
              <w:t>novovybudovaných ciest</w:t>
            </w:r>
            <w:r w:rsidR="00D65B44">
              <w:rPr>
                <w:sz w:val="18"/>
                <w:szCs w:val="18"/>
              </w:rPr>
              <w:t xml:space="preserve"> </w:t>
            </w:r>
            <w:r w:rsidR="001B1623">
              <w:rPr>
                <w:sz w:val="18"/>
                <w:szCs w:val="18"/>
              </w:rPr>
              <w:t xml:space="preserve">(ciest </w:t>
            </w:r>
            <w:r w:rsidR="00D65B44">
              <w:rPr>
                <w:sz w:val="18"/>
                <w:szCs w:val="18"/>
              </w:rPr>
              <w:t>I. triedy</w:t>
            </w:r>
            <w:r w:rsidR="001B1623">
              <w:rPr>
                <w:sz w:val="18"/>
                <w:szCs w:val="18"/>
              </w:rPr>
              <w:t>)</w:t>
            </w:r>
          </w:p>
        </w:tc>
        <w:tc>
          <w:tcPr>
            <w:tcW w:w="903" w:type="dxa"/>
            <w:shd w:val="clear" w:color="auto" w:fill="auto"/>
            <w:vAlign w:val="center"/>
          </w:tcPr>
          <w:p w:rsidR="00E41E26" w:rsidRPr="004F0234" w:rsidRDefault="00E41E26" w:rsidP="00E41E26">
            <w:pPr>
              <w:ind w:left="0"/>
              <w:jc w:val="center"/>
              <w:rPr>
                <w:i/>
                <w:sz w:val="18"/>
                <w:szCs w:val="18"/>
              </w:rPr>
            </w:pPr>
            <w:r w:rsidRPr="004F0234">
              <w:rPr>
                <w:i/>
                <w:sz w:val="18"/>
                <w:szCs w:val="18"/>
              </w:rPr>
              <w:t>km</w:t>
            </w:r>
          </w:p>
        </w:tc>
        <w:tc>
          <w:tcPr>
            <w:tcW w:w="656" w:type="dxa"/>
            <w:shd w:val="clear" w:color="auto" w:fill="auto"/>
            <w:vAlign w:val="center"/>
          </w:tcPr>
          <w:p w:rsidR="00E41E26" w:rsidRPr="004F0234" w:rsidRDefault="00E41E26" w:rsidP="00E41E26">
            <w:pPr>
              <w:ind w:left="0"/>
              <w:jc w:val="center"/>
              <w:rPr>
                <w:i/>
                <w:sz w:val="18"/>
                <w:szCs w:val="18"/>
              </w:rPr>
            </w:pPr>
            <w:r>
              <w:rPr>
                <w:i/>
                <w:sz w:val="18"/>
                <w:szCs w:val="18"/>
              </w:rPr>
              <w:t>EFRR</w:t>
            </w:r>
          </w:p>
        </w:tc>
        <w:tc>
          <w:tcPr>
            <w:tcW w:w="1225" w:type="dxa"/>
            <w:shd w:val="clear" w:color="auto" w:fill="auto"/>
            <w:vAlign w:val="center"/>
          </w:tcPr>
          <w:p w:rsidR="00E41E26" w:rsidRPr="004F0234" w:rsidRDefault="00E41E26" w:rsidP="00E41E26">
            <w:pPr>
              <w:ind w:left="0"/>
              <w:jc w:val="center"/>
              <w:rPr>
                <w:i/>
                <w:sz w:val="18"/>
                <w:szCs w:val="18"/>
              </w:rPr>
            </w:pPr>
            <w:r>
              <w:rPr>
                <w:i/>
                <w:sz w:val="18"/>
                <w:szCs w:val="18"/>
              </w:rPr>
              <w:t>Menej rozvinuté regióny</w:t>
            </w:r>
          </w:p>
        </w:tc>
        <w:tc>
          <w:tcPr>
            <w:tcW w:w="1246" w:type="dxa"/>
            <w:shd w:val="clear" w:color="auto" w:fill="auto"/>
            <w:vAlign w:val="center"/>
          </w:tcPr>
          <w:p w:rsidR="00E41E26" w:rsidRPr="004F0234" w:rsidRDefault="00E41E26" w:rsidP="00E41E26">
            <w:pPr>
              <w:ind w:left="0"/>
              <w:jc w:val="center"/>
              <w:rPr>
                <w:i/>
                <w:sz w:val="18"/>
                <w:szCs w:val="18"/>
              </w:rPr>
            </w:pPr>
          </w:p>
        </w:tc>
        <w:tc>
          <w:tcPr>
            <w:tcW w:w="1010" w:type="dxa"/>
            <w:vAlign w:val="center"/>
          </w:tcPr>
          <w:p w:rsidR="00E41E26" w:rsidRPr="004F0234" w:rsidRDefault="00E41E26" w:rsidP="00E41E26">
            <w:pPr>
              <w:ind w:left="0"/>
              <w:jc w:val="center"/>
              <w:rPr>
                <w:i/>
                <w:sz w:val="18"/>
                <w:szCs w:val="18"/>
              </w:rPr>
            </w:pPr>
            <w:r w:rsidRPr="004F0234">
              <w:rPr>
                <w:i/>
                <w:sz w:val="18"/>
                <w:szCs w:val="18"/>
              </w:rPr>
              <w:t>RO OPII</w:t>
            </w:r>
          </w:p>
        </w:tc>
        <w:tc>
          <w:tcPr>
            <w:tcW w:w="1384" w:type="dxa"/>
            <w:vAlign w:val="center"/>
          </w:tcPr>
          <w:p w:rsidR="00E41E26" w:rsidRPr="004F0234" w:rsidRDefault="00E41E26" w:rsidP="00E41E26">
            <w:pPr>
              <w:ind w:left="0"/>
              <w:jc w:val="center"/>
              <w:rPr>
                <w:i/>
                <w:sz w:val="18"/>
                <w:szCs w:val="18"/>
              </w:rPr>
            </w:pPr>
            <w:r>
              <w:rPr>
                <w:i/>
                <w:sz w:val="18"/>
                <w:szCs w:val="18"/>
              </w:rPr>
              <w:t>Ročne</w:t>
            </w:r>
          </w:p>
        </w:tc>
      </w:tr>
      <w:tr w:rsidR="00E41E26" w:rsidTr="003D6170">
        <w:trPr>
          <w:trHeight w:val="680"/>
          <w:jc w:val="center"/>
        </w:trPr>
        <w:tc>
          <w:tcPr>
            <w:tcW w:w="577" w:type="dxa"/>
            <w:shd w:val="clear" w:color="auto" w:fill="auto"/>
            <w:vAlign w:val="center"/>
          </w:tcPr>
          <w:p w:rsidR="00E41E26" w:rsidRDefault="00E41E26" w:rsidP="005139F6">
            <w:pPr>
              <w:ind w:left="0"/>
              <w:jc w:val="center"/>
              <w:rPr>
                <w:sz w:val="18"/>
                <w:szCs w:val="18"/>
              </w:rPr>
            </w:pPr>
            <w:r>
              <w:rPr>
                <w:sz w:val="18"/>
                <w:szCs w:val="18"/>
              </w:rPr>
              <w:t>2.</w:t>
            </w:r>
          </w:p>
        </w:tc>
        <w:tc>
          <w:tcPr>
            <w:tcW w:w="2411" w:type="dxa"/>
            <w:shd w:val="clear" w:color="auto" w:fill="auto"/>
            <w:vAlign w:val="center"/>
          </w:tcPr>
          <w:p w:rsidR="00E41E26" w:rsidRPr="00737ED2" w:rsidRDefault="00E41E26" w:rsidP="005139F6">
            <w:pPr>
              <w:ind w:left="0"/>
              <w:rPr>
                <w:sz w:val="18"/>
                <w:szCs w:val="18"/>
              </w:rPr>
            </w:pPr>
            <w:r w:rsidRPr="000E02BD">
              <w:rPr>
                <w:sz w:val="18"/>
                <w:szCs w:val="18"/>
              </w:rPr>
              <w:t>Celková dĺžka rekonštruovaných alebo zrenovovaných ciest</w:t>
            </w:r>
            <w:r w:rsidR="001B1623">
              <w:rPr>
                <w:sz w:val="18"/>
                <w:szCs w:val="18"/>
              </w:rPr>
              <w:t xml:space="preserve"> (ciest</w:t>
            </w:r>
            <w:r w:rsidR="00D65B44">
              <w:rPr>
                <w:sz w:val="18"/>
                <w:szCs w:val="18"/>
              </w:rPr>
              <w:t xml:space="preserve"> I. triedy</w:t>
            </w:r>
            <w:r w:rsidR="001B1623">
              <w:rPr>
                <w:sz w:val="18"/>
                <w:szCs w:val="18"/>
              </w:rPr>
              <w:t>)</w:t>
            </w:r>
          </w:p>
        </w:tc>
        <w:tc>
          <w:tcPr>
            <w:tcW w:w="903" w:type="dxa"/>
            <w:shd w:val="clear" w:color="auto" w:fill="auto"/>
            <w:vAlign w:val="center"/>
          </w:tcPr>
          <w:p w:rsidR="00E41E26" w:rsidRPr="004F0234" w:rsidRDefault="00E41E26" w:rsidP="00E41E26">
            <w:pPr>
              <w:ind w:left="0"/>
              <w:jc w:val="center"/>
              <w:rPr>
                <w:i/>
                <w:sz w:val="18"/>
                <w:szCs w:val="18"/>
              </w:rPr>
            </w:pPr>
            <w:r>
              <w:rPr>
                <w:i/>
                <w:sz w:val="18"/>
                <w:szCs w:val="18"/>
              </w:rPr>
              <w:t>km</w:t>
            </w:r>
          </w:p>
        </w:tc>
        <w:tc>
          <w:tcPr>
            <w:tcW w:w="656" w:type="dxa"/>
            <w:shd w:val="clear" w:color="auto" w:fill="auto"/>
            <w:vAlign w:val="center"/>
          </w:tcPr>
          <w:p w:rsidR="00E41E26" w:rsidRPr="004F0234" w:rsidRDefault="00E41E26" w:rsidP="00E41E26">
            <w:pPr>
              <w:ind w:left="0"/>
              <w:jc w:val="center"/>
              <w:rPr>
                <w:i/>
                <w:sz w:val="18"/>
                <w:szCs w:val="18"/>
              </w:rPr>
            </w:pPr>
            <w:r>
              <w:rPr>
                <w:i/>
                <w:sz w:val="18"/>
                <w:szCs w:val="18"/>
              </w:rPr>
              <w:t>EFRR</w:t>
            </w:r>
          </w:p>
        </w:tc>
        <w:tc>
          <w:tcPr>
            <w:tcW w:w="1225" w:type="dxa"/>
            <w:shd w:val="clear" w:color="auto" w:fill="auto"/>
            <w:vAlign w:val="center"/>
          </w:tcPr>
          <w:p w:rsidR="00E41E26" w:rsidRPr="004F0234" w:rsidRDefault="00E41E26" w:rsidP="00E41E26">
            <w:pPr>
              <w:ind w:left="0"/>
              <w:jc w:val="center"/>
              <w:rPr>
                <w:i/>
                <w:sz w:val="18"/>
                <w:szCs w:val="18"/>
              </w:rPr>
            </w:pPr>
            <w:r>
              <w:rPr>
                <w:i/>
                <w:sz w:val="18"/>
                <w:szCs w:val="18"/>
              </w:rPr>
              <w:t>Menej rozvinuté regióny</w:t>
            </w:r>
          </w:p>
        </w:tc>
        <w:tc>
          <w:tcPr>
            <w:tcW w:w="1246" w:type="dxa"/>
            <w:shd w:val="clear" w:color="auto" w:fill="auto"/>
            <w:vAlign w:val="center"/>
          </w:tcPr>
          <w:p w:rsidR="00E41E26" w:rsidRPr="004F0234" w:rsidRDefault="00E41E26" w:rsidP="00E41E26">
            <w:pPr>
              <w:ind w:left="0"/>
              <w:jc w:val="center"/>
              <w:rPr>
                <w:i/>
                <w:sz w:val="18"/>
                <w:szCs w:val="18"/>
              </w:rPr>
            </w:pPr>
          </w:p>
        </w:tc>
        <w:tc>
          <w:tcPr>
            <w:tcW w:w="1010" w:type="dxa"/>
            <w:vAlign w:val="center"/>
          </w:tcPr>
          <w:p w:rsidR="00E41E26" w:rsidRPr="004F0234" w:rsidRDefault="00E41E26" w:rsidP="00E41E26">
            <w:pPr>
              <w:ind w:left="0"/>
              <w:jc w:val="center"/>
              <w:rPr>
                <w:i/>
                <w:sz w:val="18"/>
                <w:szCs w:val="18"/>
              </w:rPr>
            </w:pPr>
            <w:r w:rsidRPr="004F0234">
              <w:rPr>
                <w:i/>
                <w:sz w:val="18"/>
                <w:szCs w:val="18"/>
              </w:rPr>
              <w:t>RO OPII</w:t>
            </w:r>
          </w:p>
        </w:tc>
        <w:tc>
          <w:tcPr>
            <w:tcW w:w="1384" w:type="dxa"/>
            <w:vAlign w:val="center"/>
          </w:tcPr>
          <w:p w:rsidR="00E41E26" w:rsidRPr="004F0234" w:rsidRDefault="00E41E26" w:rsidP="00E41E26">
            <w:pPr>
              <w:ind w:left="0"/>
              <w:jc w:val="center"/>
              <w:rPr>
                <w:i/>
                <w:sz w:val="18"/>
                <w:szCs w:val="18"/>
              </w:rPr>
            </w:pPr>
            <w:r>
              <w:rPr>
                <w:i/>
                <w:sz w:val="18"/>
                <w:szCs w:val="18"/>
              </w:rPr>
              <w:t>Ročne</w:t>
            </w:r>
          </w:p>
        </w:tc>
      </w:tr>
      <w:tr w:rsidR="00E41E26" w:rsidTr="003D6170">
        <w:trPr>
          <w:trHeight w:val="680"/>
          <w:jc w:val="center"/>
        </w:trPr>
        <w:tc>
          <w:tcPr>
            <w:tcW w:w="577" w:type="dxa"/>
            <w:shd w:val="clear" w:color="auto" w:fill="auto"/>
            <w:vAlign w:val="center"/>
          </w:tcPr>
          <w:p w:rsidR="00E41E26" w:rsidRDefault="00536927" w:rsidP="005139F6">
            <w:pPr>
              <w:ind w:left="0"/>
              <w:jc w:val="center"/>
              <w:rPr>
                <w:sz w:val="18"/>
                <w:szCs w:val="18"/>
              </w:rPr>
            </w:pPr>
            <w:r>
              <w:rPr>
                <w:sz w:val="18"/>
                <w:szCs w:val="18"/>
              </w:rPr>
              <w:t>3</w:t>
            </w:r>
            <w:r w:rsidR="00E41E26">
              <w:rPr>
                <w:sz w:val="18"/>
                <w:szCs w:val="18"/>
              </w:rPr>
              <w:t>.</w:t>
            </w:r>
          </w:p>
        </w:tc>
        <w:tc>
          <w:tcPr>
            <w:tcW w:w="2411" w:type="dxa"/>
            <w:shd w:val="clear" w:color="auto" w:fill="auto"/>
            <w:vAlign w:val="center"/>
          </w:tcPr>
          <w:p w:rsidR="00E41E26" w:rsidRDefault="00E41E26" w:rsidP="005139F6">
            <w:pPr>
              <w:ind w:left="0"/>
              <w:rPr>
                <w:sz w:val="18"/>
                <w:szCs w:val="18"/>
              </w:rPr>
            </w:pPr>
            <w:r w:rsidRPr="00562D40">
              <w:rPr>
                <w:sz w:val="18"/>
                <w:szCs w:val="18"/>
              </w:rPr>
              <w:t>Počet odstránených kritických nehodových</w:t>
            </w:r>
            <w:r>
              <w:rPr>
                <w:sz w:val="18"/>
                <w:szCs w:val="18"/>
              </w:rPr>
              <w:t xml:space="preserve"> lokalít a kolíznych bodov na cestách I. triedy</w:t>
            </w:r>
          </w:p>
        </w:tc>
        <w:tc>
          <w:tcPr>
            <w:tcW w:w="903" w:type="dxa"/>
            <w:shd w:val="clear" w:color="auto" w:fill="auto"/>
            <w:vAlign w:val="center"/>
          </w:tcPr>
          <w:p w:rsidR="00E41E26" w:rsidRDefault="00E41E26" w:rsidP="00E41E26">
            <w:pPr>
              <w:ind w:left="0"/>
              <w:jc w:val="center"/>
              <w:rPr>
                <w:i/>
                <w:sz w:val="18"/>
                <w:szCs w:val="18"/>
              </w:rPr>
            </w:pPr>
            <w:r>
              <w:rPr>
                <w:i/>
                <w:sz w:val="18"/>
                <w:szCs w:val="18"/>
              </w:rPr>
              <w:t>počet</w:t>
            </w:r>
          </w:p>
        </w:tc>
        <w:tc>
          <w:tcPr>
            <w:tcW w:w="656" w:type="dxa"/>
            <w:shd w:val="clear" w:color="auto" w:fill="auto"/>
            <w:vAlign w:val="center"/>
          </w:tcPr>
          <w:p w:rsidR="00E41E26" w:rsidRDefault="00E41E26" w:rsidP="00E41E26">
            <w:pPr>
              <w:ind w:left="0"/>
              <w:jc w:val="center"/>
              <w:rPr>
                <w:i/>
                <w:sz w:val="18"/>
                <w:szCs w:val="18"/>
              </w:rPr>
            </w:pPr>
            <w:r>
              <w:rPr>
                <w:i/>
                <w:sz w:val="18"/>
                <w:szCs w:val="18"/>
              </w:rPr>
              <w:t>EFRR</w:t>
            </w:r>
          </w:p>
        </w:tc>
        <w:tc>
          <w:tcPr>
            <w:tcW w:w="1225" w:type="dxa"/>
            <w:shd w:val="clear" w:color="auto" w:fill="auto"/>
            <w:vAlign w:val="center"/>
          </w:tcPr>
          <w:p w:rsidR="00E41E26" w:rsidRPr="00F55678" w:rsidRDefault="00E41E26" w:rsidP="00E41E26">
            <w:pPr>
              <w:ind w:left="0"/>
              <w:jc w:val="center"/>
              <w:rPr>
                <w:i/>
                <w:sz w:val="18"/>
                <w:szCs w:val="18"/>
              </w:rPr>
            </w:pPr>
            <w:r>
              <w:rPr>
                <w:i/>
                <w:sz w:val="18"/>
                <w:szCs w:val="18"/>
              </w:rPr>
              <w:t>Menej rozvinuté regióny</w:t>
            </w:r>
          </w:p>
        </w:tc>
        <w:tc>
          <w:tcPr>
            <w:tcW w:w="1246" w:type="dxa"/>
            <w:shd w:val="clear" w:color="auto" w:fill="auto"/>
            <w:vAlign w:val="center"/>
          </w:tcPr>
          <w:p w:rsidR="00E41E26" w:rsidRPr="002E2353" w:rsidRDefault="00E41E26" w:rsidP="00E41E26">
            <w:pPr>
              <w:ind w:left="0"/>
              <w:jc w:val="center"/>
              <w:rPr>
                <w:i/>
                <w:sz w:val="18"/>
                <w:szCs w:val="18"/>
                <w:lang w:val="en-US"/>
              </w:rPr>
            </w:pPr>
          </w:p>
        </w:tc>
        <w:tc>
          <w:tcPr>
            <w:tcW w:w="1010" w:type="dxa"/>
            <w:vAlign w:val="center"/>
          </w:tcPr>
          <w:p w:rsidR="00E41E26" w:rsidRPr="004F0234" w:rsidRDefault="00E41E26" w:rsidP="00E41E26">
            <w:pPr>
              <w:ind w:left="0"/>
              <w:jc w:val="center"/>
              <w:rPr>
                <w:i/>
                <w:sz w:val="18"/>
                <w:szCs w:val="18"/>
              </w:rPr>
            </w:pPr>
            <w:r w:rsidRPr="004F0234">
              <w:rPr>
                <w:i/>
                <w:sz w:val="18"/>
                <w:szCs w:val="18"/>
              </w:rPr>
              <w:t>RO OPII</w:t>
            </w:r>
          </w:p>
        </w:tc>
        <w:tc>
          <w:tcPr>
            <w:tcW w:w="1384" w:type="dxa"/>
            <w:vAlign w:val="center"/>
          </w:tcPr>
          <w:p w:rsidR="00E41E26" w:rsidRPr="004F0234" w:rsidRDefault="00E41E26" w:rsidP="00E41E26">
            <w:pPr>
              <w:ind w:left="0"/>
              <w:jc w:val="center"/>
              <w:rPr>
                <w:i/>
                <w:sz w:val="18"/>
                <w:szCs w:val="18"/>
              </w:rPr>
            </w:pPr>
            <w:r>
              <w:rPr>
                <w:i/>
                <w:sz w:val="18"/>
                <w:szCs w:val="18"/>
              </w:rPr>
              <w:t>Ročne</w:t>
            </w:r>
          </w:p>
        </w:tc>
      </w:tr>
    </w:tbl>
    <w:p w:rsidR="00395D81" w:rsidRPr="00E3616E" w:rsidRDefault="00395D81" w:rsidP="00E3616E">
      <w:pPr>
        <w:rPr>
          <w:sz w:val="20"/>
          <w:szCs w:val="20"/>
        </w:rPr>
      </w:pPr>
      <w:bookmarkStart w:id="68" w:name="_Toc384029145"/>
      <w:r w:rsidRPr="008F243C">
        <w:rPr>
          <w:sz w:val="20"/>
          <w:szCs w:val="20"/>
          <w:u w:val="single"/>
        </w:rPr>
        <w:t>Pozn.</w:t>
      </w:r>
      <w:r w:rsidRPr="00E3616E">
        <w:rPr>
          <w:sz w:val="20"/>
          <w:szCs w:val="20"/>
        </w:rPr>
        <w:t>: Hodnoty ukazovateľov budú doplnené v ďalšom štádiu prípravy dokumentu.</w:t>
      </w:r>
      <w:bookmarkEnd w:id="68"/>
      <w:r w:rsidRPr="00E3616E">
        <w:rPr>
          <w:sz w:val="20"/>
          <w:szCs w:val="20"/>
        </w:rPr>
        <w:t xml:space="preserve"> </w:t>
      </w:r>
    </w:p>
    <w:p w:rsidR="00E42497" w:rsidRDefault="00E42497" w:rsidP="00E42497">
      <w:pPr>
        <w:pStyle w:val="Nadpis3"/>
      </w:pPr>
      <w:bookmarkStart w:id="69" w:name="_Toc385310719"/>
      <w:r>
        <w:t>Výkonnostný rámec prioritnej osi</w:t>
      </w:r>
      <w:bookmarkEnd w:id="69"/>
    </w:p>
    <w:p w:rsidR="00E42497" w:rsidRPr="007B3B80" w:rsidRDefault="00E42497" w:rsidP="00E42497">
      <w:pPr>
        <w:pStyle w:val="Tab"/>
      </w:pPr>
      <w:r>
        <w:t>Vý</w:t>
      </w:r>
      <w:r w:rsidR="002E2353">
        <w:t>konnostný rámec Prioritnej osi 6</w:t>
      </w:r>
    </w:p>
    <w:tbl>
      <w:tblPr>
        <w:tblStyle w:val="Mriekatabuky"/>
        <w:tblW w:w="975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1476"/>
        <w:gridCol w:w="417"/>
        <w:gridCol w:w="1636"/>
        <w:gridCol w:w="897"/>
        <w:gridCol w:w="656"/>
        <w:gridCol w:w="986"/>
        <w:gridCol w:w="987"/>
        <w:gridCol w:w="736"/>
        <w:gridCol w:w="747"/>
        <w:gridCol w:w="1217"/>
      </w:tblGrid>
      <w:tr w:rsidR="00E42497" w:rsidTr="00395D81">
        <w:trPr>
          <w:trHeight w:val="340"/>
          <w:jc w:val="center"/>
        </w:trPr>
        <w:tc>
          <w:tcPr>
            <w:tcW w:w="1476" w:type="dxa"/>
            <w:shd w:val="clear" w:color="auto" w:fill="C6D9F1" w:themeFill="text2" w:themeFillTint="33"/>
          </w:tcPr>
          <w:p w:rsidR="00E42497" w:rsidRPr="008C1732" w:rsidRDefault="00E42497" w:rsidP="007C1063">
            <w:pPr>
              <w:ind w:left="0"/>
              <w:rPr>
                <w:b/>
                <w:sz w:val="18"/>
                <w:szCs w:val="18"/>
              </w:rPr>
            </w:pPr>
            <w:r w:rsidRPr="008C1732">
              <w:rPr>
                <w:b/>
                <w:sz w:val="18"/>
                <w:szCs w:val="18"/>
              </w:rPr>
              <w:t>Typ ukazovateľa</w:t>
            </w:r>
          </w:p>
          <w:p w:rsidR="00E42497" w:rsidRPr="008C1732" w:rsidRDefault="00E42497" w:rsidP="007C1063">
            <w:pPr>
              <w:ind w:left="0"/>
              <w:rPr>
                <w:b/>
                <w:sz w:val="18"/>
                <w:szCs w:val="18"/>
              </w:rPr>
            </w:pPr>
          </w:p>
          <w:p w:rsidR="00E42497" w:rsidRPr="008C1732" w:rsidRDefault="00E42497" w:rsidP="007C1063">
            <w:pPr>
              <w:ind w:left="0"/>
              <w:rPr>
                <w:b/>
                <w:sz w:val="18"/>
                <w:szCs w:val="18"/>
              </w:rPr>
            </w:pPr>
            <w:r w:rsidRPr="008C1732">
              <w:rPr>
                <w:b/>
                <w:sz w:val="18"/>
                <w:szCs w:val="18"/>
              </w:rPr>
              <w:t>(Implementačný krok, finančný ukazovateľ, ukazovateľ výstupu alebo výsledku)</w:t>
            </w:r>
            <w:r w:rsidRPr="008C1732">
              <w:rPr>
                <w:b/>
                <w:bCs/>
                <w:sz w:val="16"/>
                <w:szCs w:val="16"/>
              </w:rPr>
              <w:t xml:space="preserve"> </w:t>
            </w:r>
          </w:p>
        </w:tc>
        <w:tc>
          <w:tcPr>
            <w:tcW w:w="417" w:type="dxa"/>
            <w:shd w:val="clear" w:color="auto" w:fill="C6D9F1" w:themeFill="text2" w:themeFillTint="33"/>
          </w:tcPr>
          <w:p w:rsidR="00E42497" w:rsidRPr="008C1732" w:rsidRDefault="00E42497" w:rsidP="007C1063">
            <w:pPr>
              <w:ind w:left="0"/>
              <w:rPr>
                <w:b/>
                <w:sz w:val="18"/>
                <w:szCs w:val="18"/>
              </w:rPr>
            </w:pPr>
            <w:r w:rsidRPr="008C1732">
              <w:rPr>
                <w:b/>
                <w:sz w:val="18"/>
                <w:szCs w:val="18"/>
              </w:rPr>
              <w:t>ID</w:t>
            </w:r>
          </w:p>
        </w:tc>
        <w:tc>
          <w:tcPr>
            <w:tcW w:w="1636" w:type="dxa"/>
            <w:shd w:val="clear" w:color="auto" w:fill="C6D9F1" w:themeFill="text2" w:themeFillTint="33"/>
          </w:tcPr>
          <w:p w:rsidR="00E42497" w:rsidRPr="008C1732" w:rsidRDefault="00E42497" w:rsidP="007C1063">
            <w:pPr>
              <w:ind w:left="0"/>
              <w:rPr>
                <w:b/>
                <w:sz w:val="18"/>
                <w:szCs w:val="18"/>
              </w:rPr>
            </w:pPr>
            <w:r w:rsidRPr="008C1732">
              <w:rPr>
                <w:b/>
                <w:sz w:val="18"/>
                <w:szCs w:val="18"/>
              </w:rPr>
              <w:t>Definícia ukazovateľa alebo implementačného kroku</w:t>
            </w:r>
          </w:p>
        </w:tc>
        <w:tc>
          <w:tcPr>
            <w:tcW w:w="897" w:type="dxa"/>
            <w:shd w:val="clear" w:color="auto" w:fill="C6D9F1" w:themeFill="text2" w:themeFillTint="33"/>
          </w:tcPr>
          <w:p w:rsidR="00E42497" w:rsidRPr="008C1732" w:rsidRDefault="00E42497" w:rsidP="007C1063">
            <w:pPr>
              <w:ind w:left="0"/>
              <w:rPr>
                <w:b/>
                <w:sz w:val="18"/>
                <w:szCs w:val="18"/>
              </w:rPr>
            </w:pPr>
            <w:r w:rsidRPr="008C1732">
              <w:rPr>
                <w:b/>
                <w:sz w:val="18"/>
                <w:szCs w:val="18"/>
              </w:rPr>
              <w:t>Merná jednotka</w:t>
            </w:r>
          </w:p>
        </w:tc>
        <w:tc>
          <w:tcPr>
            <w:tcW w:w="656" w:type="dxa"/>
            <w:shd w:val="clear" w:color="auto" w:fill="C6D9F1" w:themeFill="text2" w:themeFillTint="33"/>
          </w:tcPr>
          <w:p w:rsidR="00E42497" w:rsidRPr="008C1732" w:rsidRDefault="00E42497" w:rsidP="007C1063">
            <w:pPr>
              <w:ind w:left="0"/>
              <w:rPr>
                <w:b/>
                <w:sz w:val="18"/>
                <w:szCs w:val="18"/>
              </w:rPr>
            </w:pPr>
            <w:r w:rsidRPr="008C1732">
              <w:rPr>
                <w:b/>
                <w:sz w:val="18"/>
                <w:szCs w:val="18"/>
              </w:rPr>
              <w:t>Fond</w:t>
            </w:r>
          </w:p>
        </w:tc>
        <w:tc>
          <w:tcPr>
            <w:tcW w:w="986" w:type="dxa"/>
            <w:shd w:val="clear" w:color="auto" w:fill="C6D9F1" w:themeFill="text2" w:themeFillTint="33"/>
          </w:tcPr>
          <w:p w:rsidR="00E42497" w:rsidRPr="008C1732" w:rsidRDefault="00E42497" w:rsidP="007C1063">
            <w:pPr>
              <w:ind w:left="0"/>
              <w:rPr>
                <w:b/>
                <w:sz w:val="18"/>
                <w:szCs w:val="18"/>
              </w:rPr>
            </w:pPr>
            <w:r w:rsidRPr="008C1732">
              <w:rPr>
                <w:b/>
                <w:sz w:val="18"/>
                <w:szCs w:val="18"/>
              </w:rPr>
              <w:t>Kategória regiónu</w:t>
            </w:r>
          </w:p>
        </w:tc>
        <w:tc>
          <w:tcPr>
            <w:tcW w:w="987" w:type="dxa"/>
            <w:shd w:val="clear" w:color="auto" w:fill="C6D9F1" w:themeFill="text2" w:themeFillTint="33"/>
          </w:tcPr>
          <w:p w:rsidR="00E42497" w:rsidRPr="008C1732" w:rsidRDefault="00E42497" w:rsidP="007C1063">
            <w:pPr>
              <w:ind w:left="0"/>
              <w:rPr>
                <w:b/>
                <w:sz w:val="18"/>
                <w:szCs w:val="18"/>
              </w:rPr>
            </w:pPr>
            <w:r w:rsidRPr="008C1732">
              <w:rPr>
                <w:b/>
                <w:sz w:val="18"/>
                <w:szCs w:val="18"/>
              </w:rPr>
              <w:t>Čiastkový cieľ pre rok 2018</w:t>
            </w:r>
          </w:p>
        </w:tc>
        <w:tc>
          <w:tcPr>
            <w:tcW w:w="736" w:type="dxa"/>
            <w:shd w:val="clear" w:color="auto" w:fill="C6D9F1" w:themeFill="text2" w:themeFillTint="33"/>
          </w:tcPr>
          <w:p w:rsidR="00E42497" w:rsidRPr="008C1732" w:rsidRDefault="00E42497" w:rsidP="007C1063">
            <w:pPr>
              <w:ind w:left="0"/>
              <w:rPr>
                <w:b/>
                <w:sz w:val="18"/>
                <w:szCs w:val="18"/>
              </w:rPr>
            </w:pPr>
            <w:r w:rsidRPr="008C1732">
              <w:rPr>
                <w:b/>
                <w:sz w:val="18"/>
                <w:szCs w:val="18"/>
              </w:rPr>
              <w:t>Zámer</w:t>
            </w:r>
          </w:p>
          <w:p w:rsidR="00E42497" w:rsidRPr="008C1732" w:rsidRDefault="00E42497" w:rsidP="007C1063">
            <w:pPr>
              <w:ind w:left="0"/>
              <w:rPr>
                <w:b/>
                <w:sz w:val="18"/>
                <w:szCs w:val="18"/>
              </w:rPr>
            </w:pPr>
            <w:r w:rsidRPr="008C1732">
              <w:rPr>
                <w:b/>
                <w:sz w:val="18"/>
                <w:szCs w:val="18"/>
              </w:rPr>
              <w:t>(2023)</w:t>
            </w:r>
          </w:p>
        </w:tc>
        <w:tc>
          <w:tcPr>
            <w:tcW w:w="747" w:type="dxa"/>
            <w:shd w:val="clear" w:color="auto" w:fill="C6D9F1" w:themeFill="text2" w:themeFillTint="33"/>
          </w:tcPr>
          <w:p w:rsidR="00E42497" w:rsidRPr="008C1732" w:rsidRDefault="00E42497" w:rsidP="007C1063">
            <w:pPr>
              <w:ind w:left="0"/>
              <w:rPr>
                <w:b/>
                <w:sz w:val="18"/>
                <w:szCs w:val="18"/>
              </w:rPr>
            </w:pPr>
            <w:r w:rsidRPr="008C1732">
              <w:rPr>
                <w:b/>
                <w:sz w:val="18"/>
                <w:szCs w:val="18"/>
              </w:rPr>
              <w:t>Zdroj údajov</w:t>
            </w:r>
          </w:p>
        </w:tc>
        <w:tc>
          <w:tcPr>
            <w:tcW w:w="1217" w:type="dxa"/>
            <w:shd w:val="clear" w:color="auto" w:fill="C6D9F1" w:themeFill="text2" w:themeFillTint="33"/>
          </w:tcPr>
          <w:p w:rsidR="00E42497" w:rsidRPr="008C1732" w:rsidRDefault="00E42497" w:rsidP="007C1063">
            <w:pPr>
              <w:ind w:left="0"/>
              <w:rPr>
                <w:b/>
                <w:sz w:val="18"/>
                <w:szCs w:val="18"/>
              </w:rPr>
            </w:pPr>
            <w:r w:rsidRPr="008C1732">
              <w:rPr>
                <w:b/>
                <w:sz w:val="18"/>
                <w:szCs w:val="18"/>
              </w:rPr>
              <w:t>Zdôvodnenie výberu ukazovateľa</w:t>
            </w:r>
          </w:p>
        </w:tc>
      </w:tr>
      <w:tr w:rsidR="00E42497" w:rsidTr="00395D81">
        <w:trPr>
          <w:trHeight w:val="454"/>
          <w:jc w:val="center"/>
        </w:trPr>
        <w:tc>
          <w:tcPr>
            <w:tcW w:w="1476" w:type="dxa"/>
            <w:vAlign w:val="center"/>
          </w:tcPr>
          <w:p w:rsidR="00E42497" w:rsidRPr="00D9570C" w:rsidRDefault="00E42497" w:rsidP="00E41E26">
            <w:pPr>
              <w:ind w:left="0"/>
              <w:rPr>
                <w:i/>
                <w:sz w:val="18"/>
                <w:szCs w:val="18"/>
              </w:rPr>
            </w:pPr>
            <w:r w:rsidRPr="00D9570C">
              <w:rPr>
                <w:i/>
                <w:sz w:val="18"/>
                <w:szCs w:val="18"/>
              </w:rPr>
              <w:lastRenderedPageBreak/>
              <w:t>výstupový ukazovateľ</w:t>
            </w:r>
          </w:p>
        </w:tc>
        <w:tc>
          <w:tcPr>
            <w:tcW w:w="417" w:type="dxa"/>
          </w:tcPr>
          <w:p w:rsidR="00E42497" w:rsidRPr="00D9570C" w:rsidRDefault="00E42497" w:rsidP="007C1063">
            <w:pPr>
              <w:rPr>
                <w:sz w:val="18"/>
                <w:szCs w:val="18"/>
              </w:rPr>
            </w:pPr>
          </w:p>
        </w:tc>
        <w:tc>
          <w:tcPr>
            <w:tcW w:w="1636" w:type="dxa"/>
          </w:tcPr>
          <w:p w:rsidR="00E42497" w:rsidRPr="00D9570C" w:rsidRDefault="002E2353" w:rsidP="007C1063">
            <w:pPr>
              <w:ind w:left="0"/>
              <w:rPr>
                <w:sz w:val="18"/>
                <w:szCs w:val="18"/>
              </w:rPr>
            </w:pPr>
            <w:r w:rsidRPr="00DA54CE">
              <w:rPr>
                <w:sz w:val="18"/>
                <w:szCs w:val="18"/>
              </w:rPr>
              <w:t xml:space="preserve">Celková dĺžka </w:t>
            </w:r>
            <w:r>
              <w:rPr>
                <w:sz w:val="18"/>
                <w:szCs w:val="18"/>
              </w:rPr>
              <w:t>novovybudovaných</w:t>
            </w:r>
            <w:r w:rsidRPr="00DA54CE">
              <w:rPr>
                <w:sz w:val="18"/>
                <w:szCs w:val="18"/>
              </w:rPr>
              <w:t xml:space="preserve"> ciest</w:t>
            </w:r>
          </w:p>
        </w:tc>
        <w:tc>
          <w:tcPr>
            <w:tcW w:w="897" w:type="dxa"/>
            <w:vAlign w:val="center"/>
          </w:tcPr>
          <w:p w:rsidR="00E42497" w:rsidRPr="00D9570C" w:rsidRDefault="00E42497" w:rsidP="00E41E26">
            <w:pPr>
              <w:ind w:left="0"/>
              <w:jc w:val="center"/>
              <w:rPr>
                <w:i/>
                <w:sz w:val="18"/>
                <w:szCs w:val="18"/>
              </w:rPr>
            </w:pPr>
            <w:r>
              <w:rPr>
                <w:i/>
                <w:sz w:val="18"/>
                <w:szCs w:val="18"/>
              </w:rPr>
              <w:t>km</w:t>
            </w:r>
          </w:p>
        </w:tc>
        <w:tc>
          <w:tcPr>
            <w:tcW w:w="656" w:type="dxa"/>
            <w:vAlign w:val="center"/>
          </w:tcPr>
          <w:p w:rsidR="00E42497" w:rsidRPr="00D9570C" w:rsidRDefault="00E42497" w:rsidP="00E41E26">
            <w:pPr>
              <w:ind w:left="0"/>
              <w:jc w:val="center"/>
              <w:rPr>
                <w:i/>
                <w:sz w:val="18"/>
                <w:szCs w:val="18"/>
              </w:rPr>
            </w:pPr>
            <w:r>
              <w:rPr>
                <w:i/>
                <w:sz w:val="18"/>
                <w:szCs w:val="18"/>
              </w:rPr>
              <w:t>EFRR</w:t>
            </w:r>
          </w:p>
        </w:tc>
        <w:tc>
          <w:tcPr>
            <w:tcW w:w="986" w:type="dxa"/>
            <w:vAlign w:val="center"/>
          </w:tcPr>
          <w:p w:rsidR="00E42497" w:rsidRPr="00D9570C" w:rsidRDefault="00E42497" w:rsidP="00E41E26">
            <w:pPr>
              <w:ind w:left="0"/>
              <w:jc w:val="center"/>
              <w:rPr>
                <w:i/>
                <w:sz w:val="18"/>
                <w:szCs w:val="18"/>
              </w:rPr>
            </w:pPr>
            <w:r>
              <w:rPr>
                <w:i/>
                <w:sz w:val="18"/>
                <w:szCs w:val="18"/>
              </w:rPr>
              <w:t>Menej rozvinuté regióny</w:t>
            </w:r>
          </w:p>
        </w:tc>
        <w:tc>
          <w:tcPr>
            <w:tcW w:w="987" w:type="dxa"/>
            <w:vAlign w:val="center"/>
          </w:tcPr>
          <w:p w:rsidR="00E42497" w:rsidRPr="00D9570C" w:rsidRDefault="00E42497" w:rsidP="00E41E26">
            <w:pPr>
              <w:ind w:left="0"/>
              <w:jc w:val="center"/>
              <w:rPr>
                <w:i/>
                <w:sz w:val="18"/>
                <w:szCs w:val="18"/>
              </w:rPr>
            </w:pPr>
          </w:p>
        </w:tc>
        <w:tc>
          <w:tcPr>
            <w:tcW w:w="736" w:type="dxa"/>
            <w:vAlign w:val="center"/>
          </w:tcPr>
          <w:p w:rsidR="00E42497" w:rsidRPr="00D9570C" w:rsidRDefault="00E42497" w:rsidP="00E41E26">
            <w:pPr>
              <w:ind w:left="0"/>
              <w:jc w:val="center"/>
              <w:rPr>
                <w:i/>
                <w:sz w:val="18"/>
                <w:szCs w:val="18"/>
              </w:rPr>
            </w:pPr>
          </w:p>
        </w:tc>
        <w:tc>
          <w:tcPr>
            <w:tcW w:w="747" w:type="dxa"/>
            <w:vAlign w:val="center"/>
          </w:tcPr>
          <w:p w:rsidR="00E42497" w:rsidRPr="00D9570C" w:rsidRDefault="00E42497" w:rsidP="00E41E26">
            <w:pPr>
              <w:ind w:left="0"/>
              <w:jc w:val="center"/>
              <w:rPr>
                <w:i/>
                <w:sz w:val="18"/>
                <w:szCs w:val="18"/>
              </w:rPr>
            </w:pPr>
            <w:r w:rsidRPr="00D9570C">
              <w:rPr>
                <w:i/>
                <w:sz w:val="18"/>
                <w:szCs w:val="18"/>
              </w:rPr>
              <w:t>RO OPII</w:t>
            </w:r>
          </w:p>
        </w:tc>
        <w:tc>
          <w:tcPr>
            <w:tcW w:w="1217" w:type="dxa"/>
            <w:vAlign w:val="center"/>
          </w:tcPr>
          <w:p w:rsidR="00E42497" w:rsidRPr="00D9570C" w:rsidRDefault="00E42497" w:rsidP="00E41E26">
            <w:pPr>
              <w:ind w:left="0"/>
              <w:jc w:val="center"/>
              <w:rPr>
                <w:i/>
                <w:sz w:val="18"/>
                <w:szCs w:val="18"/>
              </w:rPr>
            </w:pPr>
            <w:r>
              <w:rPr>
                <w:i/>
                <w:sz w:val="18"/>
                <w:szCs w:val="18"/>
              </w:rPr>
              <w:t>Spoločný ukazovateľ</w:t>
            </w:r>
          </w:p>
        </w:tc>
      </w:tr>
      <w:tr w:rsidR="00E42497" w:rsidTr="00395D81">
        <w:trPr>
          <w:trHeight w:val="454"/>
          <w:jc w:val="center"/>
        </w:trPr>
        <w:tc>
          <w:tcPr>
            <w:tcW w:w="1476" w:type="dxa"/>
            <w:vAlign w:val="center"/>
          </w:tcPr>
          <w:p w:rsidR="00E42497" w:rsidRPr="00D9570C" w:rsidRDefault="00E42497" w:rsidP="00E41E26">
            <w:pPr>
              <w:ind w:left="0"/>
              <w:rPr>
                <w:sz w:val="18"/>
                <w:szCs w:val="18"/>
              </w:rPr>
            </w:pPr>
            <w:r w:rsidRPr="00D9570C">
              <w:rPr>
                <w:i/>
                <w:sz w:val="18"/>
                <w:szCs w:val="18"/>
              </w:rPr>
              <w:t xml:space="preserve"> finančný ukazovateľ</w:t>
            </w:r>
          </w:p>
        </w:tc>
        <w:tc>
          <w:tcPr>
            <w:tcW w:w="417" w:type="dxa"/>
          </w:tcPr>
          <w:p w:rsidR="00E42497" w:rsidRPr="00D9570C" w:rsidRDefault="00E42497" w:rsidP="007C1063">
            <w:pPr>
              <w:rPr>
                <w:sz w:val="18"/>
                <w:szCs w:val="18"/>
              </w:rPr>
            </w:pPr>
          </w:p>
        </w:tc>
        <w:tc>
          <w:tcPr>
            <w:tcW w:w="1636" w:type="dxa"/>
          </w:tcPr>
          <w:p w:rsidR="00E42497" w:rsidRPr="00D9570C" w:rsidRDefault="00E42497" w:rsidP="007C1063">
            <w:pPr>
              <w:ind w:left="0"/>
              <w:rPr>
                <w:sz w:val="18"/>
                <w:szCs w:val="18"/>
              </w:rPr>
            </w:pPr>
            <w:r w:rsidRPr="00D9570C">
              <w:rPr>
                <w:sz w:val="18"/>
                <w:szCs w:val="18"/>
              </w:rPr>
              <w:t>Celková suma oprávnených výdavkov po ich certifikácii zo strany Certifikačného orgánu</w:t>
            </w:r>
          </w:p>
        </w:tc>
        <w:tc>
          <w:tcPr>
            <w:tcW w:w="897" w:type="dxa"/>
            <w:vAlign w:val="center"/>
          </w:tcPr>
          <w:p w:rsidR="00E42497" w:rsidRPr="00D9570C" w:rsidRDefault="00E42497" w:rsidP="00E41E26">
            <w:pPr>
              <w:ind w:left="0"/>
              <w:jc w:val="center"/>
              <w:rPr>
                <w:i/>
                <w:sz w:val="18"/>
                <w:szCs w:val="18"/>
              </w:rPr>
            </w:pPr>
            <w:r w:rsidRPr="00D9570C">
              <w:rPr>
                <w:i/>
                <w:sz w:val="18"/>
                <w:szCs w:val="18"/>
              </w:rPr>
              <w:t>%</w:t>
            </w:r>
          </w:p>
        </w:tc>
        <w:tc>
          <w:tcPr>
            <w:tcW w:w="656" w:type="dxa"/>
            <w:vAlign w:val="center"/>
          </w:tcPr>
          <w:p w:rsidR="00E42497" w:rsidRPr="00D9570C" w:rsidRDefault="00E42497" w:rsidP="00E41E26">
            <w:pPr>
              <w:ind w:left="0"/>
              <w:jc w:val="center"/>
              <w:rPr>
                <w:i/>
                <w:sz w:val="18"/>
                <w:szCs w:val="18"/>
              </w:rPr>
            </w:pPr>
            <w:r>
              <w:rPr>
                <w:i/>
                <w:sz w:val="18"/>
                <w:szCs w:val="18"/>
              </w:rPr>
              <w:t>EFRR</w:t>
            </w:r>
          </w:p>
        </w:tc>
        <w:tc>
          <w:tcPr>
            <w:tcW w:w="986" w:type="dxa"/>
            <w:vAlign w:val="center"/>
          </w:tcPr>
          <w:p w:rsidR="00E42497" w:rsidRPr="00D9570C" w:rsidRDefault="00E42497" w:rsidP="00E41E26">
            <w:pPr>
              <w:ind w:left="0"/>
              <w:jc w:val="center"/>
              <w:rPr>
                <w:i/>
                <w:sz w:val="18"/>
                <w:szCs w:val="18"/>
              </w:rPr>
            </w:pPr>
            <w:r>
              <w:rPr>
                <w:i/>
                <w:sz w:val="18"/>
                <w:szCs w:val="18"/>
              </w:rPr>
              <w:t>Menej rozvinuté regióny</w:t>
            </w:r>
          </w:p>
        </w:tc>
        <w:tc>
          <w:tcPr>
            <w:tcW w:w="987" w:type="dxa"/>
            <w:vAlign w:val="center"/>
          </w:tcPr>
          <w:p w:rsidR="00E42497" w:rsidRPr="00D9570C" w:rsidRDefault="00E42497" w:rsidP="00E41E26">
            <w:pPr>
              <w:ind w:left="0"/>
              <w:jc w:val="center"/>
              <w:rPr>
                <w:i/>
                <w:sz w:val="18"/>
                <w:szCs w:val="18"/>
              </w:rPr>
            </w:pPr>
          </w:p>
        </w:tc>
        <w:tc>
          <w:tcPr>
            <w:tcW w:w="736" w:type="dxa"/>
            <w:vAlign w:val="center"/>
          </w:tcPr>
          <w:p w:rsidR="00E42497" w:rsidRPr="00D9570C" w:rsidRDefault="00E42497" w:rsidP="00E41E26">
            <w:pPr>
              <w:ind w:left="0"/>
              <w:jc w:val="center"/>
              <w:rPr>
                <w:i/>
                <w:sz w:val="18"/>
                <w:szCs w:val="18"/>
              </w:rPr>
            </w:pPr>
          </w:p>
        </w:tc>
        <w:tc>
          <w:tcPr>
            <w:tcW w:w="747" w:type="dxa"/>
            <w:vAlign w:val="center"/>
          </w:tcPr>
          <w:p w:rsidR="00E42497" w:rsidRPr="00D9570C" w:rsidRDefault="00E42497" w:rsidP="00E41E26">
            <w:pPr>
              <w:ind w:left="0"/>
              <w:jc w:val="center"/>
              <w:rPr>
                <w:i/>
                <w:sz w:val="18"/>
                <w:szCs w:val="18"/>
              </w:rPr>
            </w:pPr>
            <w:r w:rsidRPr="00D9570C">
              <w:rPr>
                <w:i/>
                <w:sz w:val="18"/>
                <w:szCs w:val="18"/>
              </w:rPr>
              <w:t>RO OPII</w:t>
            </w:r>
          </w:p>
        </w:tc>
        <w:tc>
          <w:tcPr>
            <w:tcW w:w="1217" w:type="dxa"/>
            <w:vAlign w:val="center"/>
          </w:tcPr>
          <w:p w:rsidR="00E42497" w:rsidRPr="00D9570C" w:rsidRDefault="00E42497" w:rsidP="00E41E26">
            <w:pPr>
              <w:ind w:left="0"/>
              <w:jc w:val="center"/>
              <w:rPr>
                <w:i/>
                <w:sz w:val="18"/>
                <w:szCs w:val="18"/>
              </w:rPr>
            </w:pPr>
            <w:r w:rsidRPr="00D9570C">
              <w:rPr>
                <w:i/>
                <w:sz w:val="18"/>
                <w:szCs w:val="18"/>
              </w:rPr>
              <w:t>Základný finančný ukazovateľ</w:t>
            </w:r>
          </w:p>
        </w:tc>
      </w:tr>
    </w:tbl>
    <w:p w:rsidR="00395D81" w:rsidRPr="00E3616E" w:rsidRDefault="00395D81" w:rsidP="00E3616E">
      <w:pPr>
        <w:rPr>
          <w:sz w:val="20"/>
          <w:szCs w:val="20"/>
        </w:rPr>
      </w:pPr>
      <w:bookmarkStart w:id="70" w:name="_Toc384029147"/>
      <w:r w:rsidRPr="008F243C">
        <w:rPr>
          <w:sz w:val="20"/>
          <w:szCs w:val="20"/>
          <w:u w:val="single"/>
        </w:rPr>
        <w:t>Pozn.</w:t>
      </w:r>
      <w:r w:rsidRPr="00E3616E">
        <w:rPr>
          <w:sz w:val="20"/>
          <w:szCs w:val="20"/>
        </w:rPr>
        <w:t>: Hodnoty ukazovateľov budú doplnené v ďalšom štádiu prípravy dokumentu.</w:t>
      </w:r>
      <w:bookmarkEnd w:id="70"/>
    </w:p>
    <w:p w:rsidR="00E42497" w:rsidRDefault="00E42497" w:rsidP="00E42497">
      <w:pPr>
        <w:pStyle w:val="Nadpis3"/>
      </w:pPr>
      <w:bookmarkStart w:id="71" w:name="_Toc385310720"/>
      <w:r>
        <w:t>Kategórie intervencií</w:t>
      </w:r>
      <w:bookmarkEnd w:id="71"/>
    </w:p>
    <w:p w:rsidR="00E42497" w:rsidRPr="006579CE" w:rsidRDefault="00E42497" w:rsidP="00E42497">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E42497" w:rsidTr="007C1063">
        <w:trPr>
          <w:trHeight w:val="284"/>
          <w:jc w:val="center"/>
        </w:trPr>
        <w:tc>
          <w:tcPr>
            <w:tcW w:w="9072" w:type="dxa"/>
            <w:gridSpan w:val="3"/>
            <w:shd w:val="clear" w:color="auto" w:fill="DBE5F1" w:themeFill="accent1" w:themeFillTint="33"/>
            <w:vAlign w:val="center"/>
          </w:tcPr>
          <w:p w:rsidR="00E42497" w:rsidRPr="006579CE" w:rsidRDefault="00E42497" w:rsidP="007C1063">
            <w:pPr>
              <w:pStyle w:val="Default"/>
              <w:autoSpaceDE/>
              <w:autoSpaceDN/>
              <w:adjustRightInd/>
              <w:ind w:left="0"/>
              <w:rPr>
                <w:sz w:val="20"/>
                <w:szCs w:val="20"/>
              </w:rPr>
            </w:pPr>
            <w:r>
              <w:rPr>
                <w:b/>
                <w:bCs/>
                <w:sz w:val="20"/>
                <w:szCs w:val="20"/>
              </w:rPr>
              <w:t xml:space="preserve">Rozmer 1 – Oblasť intervencie </w:t>
            </w:r>
          </w:p>
        </w:tc>
      </w:tr>
      <w:tr w:rsidR="00E42497" w:rsidTr="007C1063">
        <w:trPr>
          <w:trHeight w:val="284"/>
          <w:jc w:val="center"/>
        </w:trPr>
        <w:tc>
          <w:tcPr>
            <w:tcW w:w="4913" w:type="dxa"/>
            <w:shd w:val="clear" w:color="auto" w:fill="DBE5F1" w:themeFill="accent1" w:themeFillTint="33"/>
            <w:vAlign w:val="center"/>
          </w:tcPr>
          <w:p w:rsidR="00E42497" w:rsidRPr="006579CE" w:rsidRDefault="00E42497" w:rsidP="007C1063">
            <w:pPr>
              <w:pStyle w:val="Default"/>
              <w:autoSpaceDE/>
              <w:autoSpaceDN/>
              <w:adjustRightInd/>
              <w:ind w:left="0"/>
              <w:rPr>
                <w:b/>
                <w:bCs/>
                <w:sz w:val="20"/>
                <w:szCs w:val="20"/>
              </w:rPr>
            </w:pPr>
            <w:r w:rsidRPr="006579CE">
              <w:rPr>
                <w:b/>
                <w:bCs/>
                <w:sz w:val="20"/>
                <w:szCs w:val="20"/>
              </w:rPr>
              <w:t>Fond</w:t>
            </w:r>
          </w:p>
        </w:tc>
        <w:tc>
          <w:tcPr>
            <w:tcW w:w="4159" w:type="dxa"/>
            <w:gridSpan w:val="2"/>
            <w:shd w:val="clear" w:color="auto" w:fill="DBE5F1" w:themeFill="accent1" w:themeFillTint="33"/>
            <w:vAlign w:val="center"/>
          </w:tcPr>
          <w:p w:rsidR="00E42497" w:rsidRPr="006579CE" w:rsidRDefault="002E2353" w:rsidP="007C1063">
            <w:pPr>
              <w:pStyle w:val="Default"/>
              <w:autoSpaceDE/>
              <w:autoSpaceDN/>
              <w:adjustRightInd/>
              <w:ind w:left="0"/>
              <w:rPr>
                <w:bCs/>
                <w:sz w:val="20"/>
                <w:szCs w:val="20"/>
              </w:rPr>
            </w:pPr>
            <w:r>
              <w:rPr>
                <w:bCs/>
                <w:sz w:val="20"/>
                <w:szCs w:val="20"/>
              </w:rPr>
              <w:t>EFRR</w:t>
            </w:r>
          </w:p>
        </w:tc>
      </w:tr>
      <w:tr w:rsidR="00E42497" w:rsidTr="007C1063">
        <w:trPr>
          <w:trHeight w:val="284"/>
          <w:jc w:val="center"/>
        </w:trPr>
        <w:tc>
          <w:tcPr>
            <w:tcW w:w="4913" w:type="dxa"/>
            <w:shd w:val="clear" w:color="auto" w:fill="DBE5F1" w:themeFill="accent1" w:themeFillTint="33"/>
            <w:vAlign w:val="center"/>
          </w:tcPr>
          <w:p w:rsidR="00E42497" w:rsidRPr="006579CE" w:rsidRDefault="00E42497" w:rsidP="007C1063">
            <w:pPr>
              <w:ind w:left="0"/>
              <w:rPr>
                <w:sz w:val="20"/>
                <w:szCs w:val="20"/>
              </w:rPr>
            </w:pPr>
            <w:r w:rsidRPr="006579CE">
              <w:rPr>
                <w:b/>
                <w:bCs/>
                <w:color w:val="000000"/>
                <w:sz w:val="20"/>
                <w:szCs w:val="20"/>
              </w:rPr>
              <w:t>Kategória regiónu</w:t>
            </w:r>
          </w:p>
        </w:tc>
        <w:tc>
          <w:tcPr>
            <w:tcW w:w="4159" w:type="dxa"/>
            <w:gridSpan w:val="2"/>
            <w:shd w:val="clear" w:color="auto" w:fill="DBE5F1" w:themeFill="accent1" w:themeFillTint="33"/>
            <w:vAlign w:val="center"/>
          </w:tcPr>
          <w:p w:rsidR="00E42497" w:rsidRPr="006579CE" w:rsidRDefault="002E2353" w:rsidP="007C1063">
            <w:pPr>
              <w:ind w:left="0"/>
              <w:rPr>
                <w:sz w:val="20"/>
                <w:szCs w:val="20"/>
              </w:rPr>
            </w:pPr>
            <w:r>
              <w:rPr>
                <w:sz w:val="20"/>
                <w:szCs w:val="20"/>
              </w:rPr>
              <w:t>Menej rozvinuté regióny</w:t>
            </w:r>
          </w:p>
        </w:tc>
      </w:tr>
      <w:tr w:rsidR="00E42497" w:rsidTr="007C1063">
        <w:trPr>
          <w:trHeight w:val="284"/>
          <w:jc w:val="center"/>
        </w:trPr>
        <w:tc>
          <w:tcPr>
            <w:tcW w:w="4913" w:type="dxa"/>
            <w:vAlign w:val="center"/>
          </w:tcPr>
          <w:p w:rsidR="00E42497" w:rsidRPr="00D479A4" w:rsidRDefault="00E42497" w:rsidP="007C1063">
            <w:pPr>
              <w:ind w:left="0"/>
              <w:jc w:val="center"/>
              <w:rPr>
                <w:b/>
                <w:sz w:val="20"/>
                <w:szCs w:val="20"/>
              </w:rPr>
            </w:pPr>
            <w:r w:rsidRPr="00D479A4">
              <w:rPr>
                <w:b/>
                <w:sz w:val="20"/>
                <w:szCs w:val="20"/>
              </w:rPr>
              <w:t>Prioritná os</w:t>
            </w:r>
          </w:p>
        </w:tc>
        <w:tc>
          <w:tcPr>
            <w:tcW w:w="2120" w:type="dxa"/>
            <w:vAlign w:val="center"/>
          </w:tcPr>
          <w:p w:rsidR="00E42497" w:rsidRPr="00D479A4" w:rsidRDefault="00E42497" w:rsidP="007C1063">
            <w:pPr>
              <w:ind w:left="0"/>
              <w:jc w:val="center"/>
              <w:rPr>
                <w:b/>
                <w:sz w:val="20"/>
                <w:szCs w:val="20"/>
              </w:rPr>
            </w:pPr>
            <w:r w:rsidRPr="00D479A4">
              <w:rPr>
                <w:b/>
                <w:sz w:val="20"/>
                <w:szCs w:val="20"/>
              </w:rPr>
              <w:t>Kód</w:t>
            </w:r>
          </w:p>
        </w:tc>
        <w:tc>
          <w:tcPr>
            <w:tcW w:w="2039" w:type="dxa"/>
            <w:vAlign w:val="center"/>
          </w:tcPr>
          <w:p w:rsidR="00E42497" w:rsidRPr="00D479A4" w:rsidRDefault="00E42497" w:rsidP="007C1063">
            <w:pPr>
              <w:ind w:left="0"/>
              <w:jc w:val="center"/>
              <w:rPr>
                <w:b/>
                <w:sz w:val="20"/>
                <w:szCs w:val="20"/>
              </w:rPr>
            </w:pPr>
            <w:r w:rsidRPr="00D479A4">
              <w:rPr>
                <w:b/>
                <w:sz w:val="20"/>
                <w:szCs w:val="20"/>
              </w:rPr>
              <w:t>Suma (v EUR)</w:t>
            </w:r>
          </w:p>
        </w:tc>
      </w:tr>
      <w:tr w:rsidR="002E2353" w:rsidTr="007C1063">
        <w:trPr>
          <w:trHeight w:val="284"/>
          <w:jc w:val="center"/>
        </w:trPr>
        <w:tc>
          <w:tcPr>
            <w:tcW w:w="4913" w:type="dxa"/>
            <w:vMerge w:val="restart"/>
            <w:vAlign w:val="center"/>
          </w:tcPr>
          <w:p w:rsidR="002E2353" w:rsidRPr="00E572D9" w:rsidRDefault="002E2353" w:rsidP="002E2353">
            <w:pPr>
              <w:ind w:left="0"/>
              <w:rPr>
                <w:sz w:val="20"/>
                <w:szCs w:val="20"/>
              </w:rPr>
            </w:pPr>
            <w:r w:rsidRPr="00E572D9">
              <w:rPr>
                <w:sz w:val="20"/>
                <w:szCs w:val="20"/>
              </w:rPr>
              <w:t xml:space="preserve">Prioritná os </w:t>
            </w:r>
            <w:r>
              <w:rPr>
                <w:sz w:val="20"/>
                <w:szCs w:val="20"/>
              </w:rPr>
              <w:t>6</w:t>
            </w:r>
            <w:r w:rsidRPr="00E572D9">
              <w:rPr>
                <w:sz w:val="20"/>
                <w:szCs w:val="20"/>
              </w:rPr>
              <w:t xml:space="preserve"> – </w:t>
            </w:r>
            <w:r>
              <w:rPr>
                <w:sz w:val="20"/>
                <w:szCs w:val="20"/>
              </w:rPr>
              <w:t>Cestná</w:t>
            </w:r>
            <w:r w:rsidRPr="00E572D9">
              <w:rPr>
                <w:sz w:val="20"/>
                <w:szCs w:val="20"/>
              </w:rPr>
              <w:t xml:space="preserve"> infraštruktúra (mimo TEN-T CORE)</w:t>
            </w:r>
          </w:p>
        </w:tc>
        <w:tc>
          <w:tcPr>
            <w:tcW w:w="2120" w:type="dxa"/>
            <w:vAlign w:val="center"/>
          </w:tcPr>
          <w:p w:rsidR="002E2353" w:rsidRPr="002E2353" w:rsidRDefault="002E2353" w:rsidP="002E2353">
            <w:pPr>
              <w:ind w:left="0"/>
              <w:jc w:val="center"/>
              <w:rPr>
                <w:sz w:val="20"/>
                <w:szCs w:val="20"/>
              </w:rPr>
            </w:pPr>
            <w:r w:rsidRPr="002E2353">
              <w:rPr>
                <w:sz w:val="20"/>
                <w:szCs w:val="20"/>
              </w:rPr>
              <w:t>029</w:t>
            </w:r>
          </w:p>
        </w:tc>
        <w:tc>
          <w:tcPr>
            <w:tcW w:w="2039" w:type="dxa"/>
            <w:vAlign w:val="center"/>
          </w:tcPr>
          <w:p w:rsidR="002E2353" w:rsidRPr="002E2353" w:rsidRDefault="002E2353" w:rsidP="002E2353">
            <w:pPr>
              <w:ind w:left="0"/>
              <w:jc w:val="center"/>
              <w:rPr>
                <w:sz w:val="20"/>
                <w:szCs w:val="20"/>
              </w:rPr>
            </w:pPr>
            <w:r w:rsidRPr="002E2353">
              <w:rPr>
                <w:sz w:val="20"/>
                <w:szCs w:val="20"/>
              </w:rPr>
              <w:t>171 507 228</w:t>
            </w:r>
          </w:p>
        </w:tc>
      </w:tr>
      <w:tr w:rsidR="002E2353" w:rsidTr="007C1063">
        <w:trPr>
          <w:trHeight w:val="284"/>
          <w:jc w:val="center"/>
        </w:trPr>
        <w:tc>
          <w:tcPr>
            <w:tcW w:w="4913" w:type="dxa"/>
            <w:vMerge/>
            <w:vAlign w:val="center"/>
          </w:tcPr>
          <w:p w:rsidR="002E2353" w:rsidRPr="00D479A4" w:rsidRDefault="002E2353" w:rsidP="007C1063">
            <w:pPr>
              <w:ind w:left="0"/>
              <w:rPr>
                <w:sz w:val="20"/>
                <w:szCs w:val="20"/>
              </w:rPr>
            </w:pPr>
          </w:p>
        </w:tc>
        <w:tc>
          <w:tcPr>
            <w:tcW w:w="2120" w:type="dxa"/>
            <w:vAlign w:val="center"/>
          </w:tcPr>
          <w:p w:rsidR="002E2353" w:rsidRPr="002E2353" w:rsidRDefault="002E2353" w:rsidP="002E2353">
            <w:pPr>
              <w:ind w:left="0"/>
              <w:jc w:val="center"/>
              <w:rPr>
                <w:sz w:val="20"/>
                <w:szCs w:val="20"/>
              </w:rPr>
            </w:pPr>
            <w:r w:rsidRPr="002E2353">
              <w:rPr>
                <w:sz w:val="20"/>
                <w:szCs w:val="20"/>
              </w:rPr>
              <w:t>031</w:t>
            </w:r>
          </w:p>
        </w:tc>
        <w:tc>
          <w:tcPr>
            <w:tcW w:w="2039" w:type="dxa"/>
            <w:vAlign w:val="center"/>
          </w:tcPr>
          <w:p w:rsidR="002E2353" w:rsidRPr="002E2353" w:rsidRDefault="002E2353" w:rsidP="002E2353">
            <w:pPr>
              <w:ind w:left="0"/>
              <w:jc w:val="center"/>
              <w:rPr>
                <w:sz w:val="20"/>
                <w:szCs w:val="20"/>
              </w:rPr>
            </w:pPr>
            <w:r w:rsidRPr="002E2353">
              <w:rPr>
                <w:sz w:val="20"/>
                <w:szCs w:val="20"/>
              </w:rPr>
              <w:t>129 400 000</w:t>
            </w:r>
          </w:p>
        </w:tc>
      </w:tr>
      <w:tr w:rsidR="002E2353" w:rsidTr="007C1063">
        <w:trPr>
          <w:trHeight w:val="284"/>
          <w:jc w:val="center"/>
        </w:trPr>
        <w:tc>
          <w:tcPr>
            <w:tcW w:w="4913" w:type="dxa"/>
            <w:vMerge/>
            <w:vAlign w:val="center"/>
          </w:tcPr>
          <w:p w:rsidR="002E2353" w:rsidRPr="00D479A4" w:rsidRDefault="002E2353" w:rsidP="007C1063">
            <w:pPr>
              <w:rPr>
                <w:sz w:val="20"/>
                <w:szCs w:val="20"/>
              </w:rPr>
            </w:pPr>
          </w:p>
        </w:tc>
        <w:tc>
          <w:tcPr>
            <w:tcW w:w="2120" w:type="dxa"/>
            <w:vAlign w:val="center"/>
          </w:tcPr>
          <w:p w:rsidR="002E2353" w:rsidRPr="002E2353" w:rsidRDefault="002E2353" w:rsidP="002E2353">
            <w:pPr>
              <w:ind w:left="0"/>
              <w:jc w:val="center"/>
              <w:rPr>
                <w:sz w:val="20"/>
                <w:szCs w:val="20"/>
              </w:rPr>
            </w:pPr>
            <w:r w:rsidRPr="002E2353">
              <w:rPr>
                <w:sz w:val="20"/>
                <w:szCs w:val="20"/>
              </w:rPr>
              <w:t>034</w:t>
            </w:r>
          </w:p>
        </w:tc>
        <w:tc>
          <w:tcPr>
            <w:tcW w:w="2039" w:type="dxa"/>
            <w:vAlign w:val="center"/>
          </w:tcPr>
          <w:p w:rsidR="002E2353" w:rsidRPr="002E2353" w:rsidRDefault="002E2353" w:rsidP="002E2353">
            <w:pPr>
              <w:ind w:left="0"/>
              <w:jc w:val="center"/>
              <w:rPr>
                <w:sz w:val="20"/>
                <w:szCs w:val="20"/>
              </w:rPr>
            </w:pPr>
            <w:r w:rsidRPr="002E2353">
              <w:rPr>
                <w:sz w:val="20"/>
                <w:szCs w:val="20"/>
              </w:rPr>
              <w:t>192 100 000</w:t>
            </w:r>
          </w:p>
        </w:tc>
      </w:tr>
      <w:tr w:rsidR="002E2353" w:rsidTr="007C1063">
        <w:trPr>
          <w:trHeight w:val="284"/>
          <w:jc w:val="center"/>
        </w:trPr>
        <w:tc>
          <w:tcPr>
            <w:tcW w:w="4913" w:type="dxa"/>
            <w:vMerge/>
            <w:vAlign w:val="center"/>
          </w:tcPr>
          <w:p w:rsidR="002E2353" w:rsidRPr="00D479A4" w:rsidRDefault="002E2353" w:rsidP="007C1063">
            <w:pPr>
              <w:rPr>
                <w:sz w:val="20"/>
                <w:szCs w:val="20"/>
              </w:rPr>
            </w:pPr>
          </w:p>
        </w:tc>
        <w:tc>
          <w:tcPr>
            <w:tcW w:w="2120" w:type="dxa"/>
            <w:vAlign w:val="center"/>
          </w:tcPr>
          <w:p w:rsidR="002E2353" w:rsidRPr="002E2353" w:rsidRDefault="002E2353" w:rsidP="002E2353">
            <w:pPr>
              <w:ind w:left="0"/>
              <w:jc w:val="center"/>
              <w:rPr>
                <w:sz w:val="20"/>
                <w:szCs w:val="20"/>
              </w:rPr>
            </w:pPr>
            <w:r w:rsidRPr="002E2353">
              <w:rPr>
                <w:sz w:val="20"/>
                <w:szCs w:val="20"/>
              </w:rPr>
              <w:t>044</w:t>
            </w:r>
          </w:p>
        </w:tc>
        <w:tc>
          <w:tcPr>
            <w:tcW w:w="2039" w:type="dxa"/>
            <w:vAlign w:val="center"/>
          </w:tcPr>
          <w:p w:rsidR="002E2353" w:rsidRPr="002E2353" w:rsidRDefault="002E2353" w:rsidP="002E2353">
            <w:pPr>
              <w:ind w:left="0"/>
              <w:jc w:val="center"/>
              <w:rPr>
                <w:sz w:val="20"/>
                <w:szCs w:val="20"/>
              </w:rPr>
            </w:pPr>
            <w:r w:rsidRPr="002E2353">
              <w:rPr>
                <w:sz w:val="20"/>
                <w:szCs w:val="20"/>
              </w:rPr>
              <w:t>10 000 000</w:t>
            </w:r>
          </w:p>
        </w:tc>
      </w:tr>
    </w:tbl>
    <w:p w:rsidR="00E42497" w:rsidRPr="006579CE" w:rsidRDefault="00E42497" w:rsidP="00E42497">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E42497" w:rsidTr="007C1063">
        <w:trPr>
          <w:trHeight w:val="255"/>
          <w:jc w:val="center"/>
        </w:trPr>
        <w:tc>
          <w:tcPr>
            <w:tcW w:w="9098" w:type="dxa"/>
            <w:gridSpan w:val="3"/>
            <w:shd w:val="clear" w:color="auto" w:fill="DBE5F1" w:themeFill="accent1" w:themeFillTint="33"/>
            <w:vAlign w:val="center"/>
          </w:tcPr>
          <w:p w:rsidR="00E42497" w:rsidRPr="00304255" w:rsidRDefault="00E42497" w:rsidP="007C1063">
            <w:pPr>
              <w:pStyle w:val="Default"/>
              <w:autoSpaceDE/>
              <w:autoSpaceDN/>
              <w:adjustRightInd/>
              <w:ind w:left="0"/>
              <w:rPr>
                <w:sz w:val="20"/>
                <w:szCs w:val="20"/>
              </w:rPr>
            </w:pPr>
            <w:r w:rsidRPr="00304255">
              <w:rPr>
                <w:b/>
                <w:bCs/>
                <w:sz w:val="20"/>
                <w:szCs w:val="20"/>
              </w:rPr>
              <w:t xml:space="preserve">Rozmer 2 – Forma financovania </w:t>
            </w:r>
          </w:p>
        </w:tc>
      </w:tr>
      <w:tr w:rsidR="00E42497" w:rsidTr="007C1063">
        <w:trPr>
          <w:trHeight w:val="255"/>
          <w:jc w:val="center"/>
        </w:trPr>
        <w:tc>
          <w:tcPr>
            <w:tcW w:w="4928" w:type="dxa"/>
            <w:shd w:val="clear" w:color="auto" w:fill="DBE5F1" w:themeFill="accent1" w:themeFillTint="33"/>
            <w:vAlign w:val="center"/>
          </w:tcPr>
          <w:p w:rsidR="00E42497" w:rsidRPr="00304255" w:rsidRDefault="00E42497" w:rsidP="007C1063">
            <w:pPr>
              <w:pStyle w:val="Default"/>
              <w:autoSpaceDE/>
              <w:autoSpaceDN/>
              <w:adjustRightInd/>
              <w:ind w:left="0"/>
              <w:rPr>
                <w:b/>
                <w:bCs/>
                <w:sz w:val="20"/>
                <w:szCs w:val="20"/>
              </w:rPr>
            </w:pPr>
            <w:r w:rsidRPr="00304255">
              <w:rPr>
                <w:b/>
                <w:bCs/>
                <w:sz w:val="20"/>
                <w:szCs w:val="20"/>
              </w:rPr>
              <w:t>Fond</w:t>
            </w:r>
          </w:p>
        </w:tc>
        <w:tc>
          <w:tcPr>
            <w:tcW w:w="4170" w:type="dxa"/>
            <w:gridSpan w:val="2"/>
            <w:shd w:val="clear" w:color="auto" w:fill="DBE5F1" w:themeFill="accent1" w:themeFillTint="33"/>
            <w:vAlign w:val="center"/>
          </w:tcPr>
          <w:p w:rsidR="00E42497" w:rsidRPr="00304255" w:rsidRDefault="002E2353" w:rsidP="007C1063">
            <w:pPr>
              <w:pStyle w:val="Default"/>
              <w:autoSpaceDE/>
              <w:autoSpaceDN/>
              <w:adjustRightInd/>
              <w:ind w:left="0"/>
              <w:rPr>
                <w:bCs/>
                <w:sz w:val="20"/>
                <w:szCs w:val="20"/>
              </w:rPr>
            </w:pPr>
            <w:r>
              <w:rPr>
                <w:bCs/>
                <w:sz w:val="20"/>
                <w:szCs w:val="20"/>
              </w:rPr>
              <w:t>EFRR</w:t>
            </w:r>
          </w:p>
        </w:tc>
      </w:tr>
      <w:tr w:rsidR="00E42497" w:rsidTr="007C1063">
        <w:trPr>
          <w:trHeight w:val="255"/>
          <w:jc w:val="center"/>
        </w:trPr>
        <w:tc>
          <w:tcPr>
            <w:tcW w:w="4928" w:type="dxa"/>
            <w:shd w:val="clear" w:color="auto" w:fill="DBE5F1" w:themeFill="accent1" w:themeFillTint="33"/>
            <w:vAlign w:val="center"/>
          </w:tcPr>
          <w:p w:rsidR="00E42497" w:rsidRPr="00304255" w:rsidRDefault="00E42497" w:rsidP="007C1063">
            <w:pPr>
              <w:ind w:left="0"/>
              <w:rPr>
                <w:sz w:val="20"/>
                <w:szCs w:val="20"/>
              </w:rPr>
            </w:pPr>
            <w:r w:rsidRPr="00304255">
              <w:rPr>
                <w:b/>
                <w:bCs/>
                <w:color w:val="000000"/>
                <w:sz w:val="20"/>
                <w:szCs w:val="20"/>
              </w:rPr>
              <w:t>Kategória regiónu</w:t>
            </w:r>
          </w:p>
        </w:tc>
        <w:tc>
          <w:tcPr>
            <w:tcW w:w="4170" w:type="dxa"/>
            <w:gridSpan w:val="2"/>
            <w:shd w:val="clear" w:color="auto" w:fill="DBE5F1" w:themeFill="accent1" w:themeFillTint="33"/>
            <w:vAlign w:val="center"/>
          </w:tcPr>
          <w:p w:rsidR="00E42497" w:rsidRPr="00304255" w:rsidRDefault="002E2353" w:rsidP="007C1063">
            <w:pPr>
              <w:ind w:left="0"/>
              <w:rPr>
                <w:sz w:val="20"/>
                <w:szCs w:val="20"/>
              </w:rPr>
            </w:pPr>
            <w:r>
              <w:rPr>
                <w:sz w:val="20"/>
                <w:szCs w:val="20"/>
              </w:rPr>
              <w:t>Menej rozvinuté regióny</w:t>
            </w:r>
          </w:p>
        </w:tc>
      </w:tr>
      <w:tr w:rsidR="00E42497" w:rsidTr="007C1063">
        <w:trPr>
          <w:trHeight w:val="255"/>
          <w:jc w:val="center"/>
        </w:trPr>
        <w:tc>
          <w:tcPr>
            <w:tcW w:w="4928" w:type="dxa"/>
            <w:vAlign w:val="center"/>
          </w:tcPr>
          <w:p w:rsidR="00E42497" w:rsidRPr="00304255" w:rsidRDefault="00E42497" w:rsidP="007C1063">
            <w:pPr>
              <w:ind w:left="0"/>
              <w:jc w:val="center"/>
              <w:rPr>
                <w:b/>
                <w:sz w:val="20"/>
                <w:szCs w:val="20"/>
              </w:rPr>
            </w:pPr>
            <w:r w:rsidRPr="00304255">
              <w:rPr>
                <w:b/>
                <w:sz w:val="20"/>
                <w:szCs w:val="20"/>
              </w:rPr>
              <w:t>Prioritná os</w:t>
            </w:r>
          </w:p>
        </w:tc>
        <w:tc>
          <w:tcPr>
            <w:tcW w:w="2126" w:type="dxa"/>
            <w:vAlign w:val="center"/>
          </w:tcPr>
          <w:p w:rsidR="00E42497" w:rsidRPr="00304255" w:rsidRDefault="00E42497" w:rsidP="007C1063">
            <w:pPr>
              <w:ind w:left="0"/>
              <w:jc w:val="center"/>
              <w:rPr>
                <w:b/>
                <w:sz w:val="20"/>
                <w:szCs w:val="20"/>
              </w:rPr>
            </w:pPr>
            <w:r w:rsidRPr="00304255">
              <w:rPr>
                <w:b/>
                <w:sz w:val="20"/>
                <w:szCs w:val="20"/>
              </w:rPr>
              <w:t>Kód</w:t>
            </w:r>
          </w:p>
        </w:tc>
        <w:tc>
          <w:tcPr>
            <w:tcW w:w="2044" w:type="dxa"/>
            <w:vAlign w:val="center"/>
          </w:tcPr>
          <w:p w:rsidR="00E42497" w:rsidRPr="00304255" w:rsidRDefault="00E42497" w:rsidP="007C1063">
            <w:pPr>
              <w:ind w:left="0"/>
              <w:jc w:val="center"/>
              <w:rPr>
                <w:b/>
                <w:sz w:val="20"/>
                <w:szCs w:val="20"/>
              </w:rPr>
            </w:pPr>
            <w:r w:rsidRPr="00304255">
              <w:rPr>
                <w:b/>
                <w:sz w:val="20"/>
                <w:szCs w:val="20"/>
              </w:rPr>
              <w:t>Suma (v EUR)</w:t>
            </w:r>
          </w:p>
        </w:tc>
      </w:tr>
      <w:tr w:rsidR="00E42497" w:rsidTr="007C1063">
        <w:trPr>
          <w:trHeight w:val="255"/>
          <w:jc w:val="center"/>
        </w:trPr>
        <w:tc>
          <w:tcPr>
            <w:tcW w:w="4928" w:type="dxa"/>
            <w:vMerge w:val="restart"/>
            <w:vAlign w:val="center"/>
          </w:tcPr>
          <w:p w:rsidR="00E42497" w:rsidRPr="00304255" w:rsidRDefault="002E2353" w:rsidP="007C1063">
            <w:pPr>
              <w:ind w:left="0"/>
              <w:rPr>
                <w:sz w:val="20"/>
                <w:szCs w:val="20"/>
              </w:rPr>
            </w:pPr>
            <w:r w:rsidRPr="00E572D9">
              <w:rPr>
                <w:sz w:val="20"/>
                <w:szCs w:val="20"/>
              </w:rPr>
              <w:t xml:space="preserve">Prioritná os </w:t>
            </w:r>
            <w:r>
              <w:rPr>
                <w:sz w:val="20"/>
                <w:szCs w:val="20"/>
              </w:rPr>
              <w:t>6</w:t>
            </w:r>
            <w:r w:rsidRPr="00E572D9">
              <w:rPr>
                <w:sz w:val="20"/>
                <w:szCs w:val="20"/>
              </w:rPr>
              <w:t xml:space="preserve"> – </w:t>
            </w:r>
            <w:r>
              <w:rPr>
                <w:sz w:val="20"/>
                <w:szCs w:val="20"/>
              </w:rPr>
              <w:t>Cestná</w:t>
            </w:r>
            <w:r w:rsidRPr="00E572D9">
              <w:rPr>
                <w:sz w:val="20"/>
                <w:szCs w:val="20"/>
              </w:rPr>
              <w:t xml:space="preserve"> infraštruktúra (mimo TEN-T CORE)</w:t>
            </w:r>
          </w:p>
        </w:tc>
        <w:tc>
          <w:tcPr>
            <w:tcW w:w="2126" w:type="dxa"/>
            <w:vAlign w:val="center"/>
          </w:tcPr>
          <w:p w:rsidR="00E42497" w:rsidRPr="00304255" w:rsidRDefault="00E42497" w:rsidP="007C1063">
            <w:pPr>
              <w:ind w:left="0"/>
              <w:jc w:val="center"/>
              <w:rPr>
                <w:sz w:val="20"/>
                <w:szCs w:val="20"/>
              </w:rPr>
            </w:pPr>
            <w:r w:rsidRPr="00304255">
              <w:rPr>
                <w:sz w:val="20"/>
                <w:szCs w:val="20"/>
              </w:rPr>
              <w:t>01</w:t>
            </w:r>
          </w:p>
        </w:tc>
        <w:tc>
          <w:tcPr>
            <w:tcW w:w="2044" w:type="dxa"/>
            <w:vAlign w:val="center"/>
          </w:tcPr>
          <w:p w:rsidR="00E42497" w:rsidRPr="00304255" w:rsidRDefault="002E2353" w:rsidP="007C1063">
            <w:pPr>
              <w:ind w:left="0"/>
              <w:jc w:val="center"/>
              <w:rPr>
                <w:sz w:val="20"/>
                <w:szCs w:val="20"/>
              </w:rPr>
            </w:pPr>
            <w:r w:rsidRPr="002E2353">
              <w:rPr>
                <w:sz w:val="20"/>
                <w:szCs w:val="20"/>
              </w:rPr>
              <w:t>487 917 011</w:t>
            </w:r>
          </w:p>
        </w:tc>
      </w:tr>
      <w:tr w:rsidR="00E42497" w:rsidTr="007C1063">
        <w:trPr>
          <w:trHeight w:val="255"/>
          <w:jc w:val="center"/>
        </w:trPr>
        <w:tc>
          <w:tcPr>
            <w:tcW w:w="4928" w:type="dxa"/>
            <w:vMerge/>
            <w:vAlign w:val="center"/>
          </w:tcPr>
          <w:p w:rsidR="00E42497" w:rsidRPr="00304255" w:rsidRDefault="00E42497" w:rsidP="007C1063">
            <w:pPr>
              <w:ind w:left="0"/>
              <w:rPr>
                <w:sz w:val="20"/>
                <w:szCs w:val="20"/>
              </w:rPr>
            </w:pPr>
          </w:p>
        </w:tc>
        <w:tc>
          <w:tcPr>
            <w:tcW w:w="2126" w:type="dxa"/>
            <w:vAlign w:val="center"/>
          </w:tcPr>
          <w:p w:rsidR="00E42497" w:rsidRPr="00304255" w:rsidRDefault="00E42497" w:rsidP="007C1063">
            <w:pPr>
              <w:ind w:left="0"/>
              <w:jc w:val="center"/>
              <w:rPr>
                <w:sz w:val="20"/>
                <w:szCs w:val="20"/>
              </w:rPr>
            </w:pPr>
            <w:r w:rsidRPr="00304255">
              <w:rPr>
                <w:sz w:val="20"/>
                <w:szCs w:val="20"/>
              </w:rPr>
              <w:t>02</w:t>
            </w:r>
          </w:p>
        </w:tc>
        <w:tc>
          <w:tcPr>
            <w:tcW w:w="2044" w:type="dxa"/>
            <w:vAlign w:val="center"/>
          </w:tcPr>
          <w:p w:rsidR="00E42497" w:rsidRPr="00304255" w:rsidRDefault="002E2353" w:rsidP="007C1063">
            <w:pPr>
              <w:ind w:left="0"/>
              <w:jc w:val="center"/>
              <w:rPr>
                <w:sz w:val="20"/>
                <w:szCs w:val="20"/>
              </w:rPr>
            </w:pPr>
            <w:r w:rsidRPr="002E2353">
              <w:rPr>
                <w:sz w:val="20"/>
                <w:szCs w:val="20"/>
              </w:rPr>
              <w:t>15 090 217</w:t>
            </w:r>
          </w:p>
        </w:tc>
      </w:tr>
    </w:tbl>
    <w:p w:rsidR="00E42497" w:rsidRPr="006579CE" w:rsidRDefault="00E42497" w:rsidP="00E42497">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E42497" w:rsidTr="007C1063">
        <w:trPr>
          <w:trHeight w:val="255"/>
          <w:jc w:val="center"/>
        </w:trPr>
        <w:tc>
          <w:tcPr>
            <w:tcW w:w="9072" w:type="dxa"/>
            <w:gridSpan w:val="3"/>
            <w:shd w:val="clear" w:color="auto" w:fill="DBE5F1" w:themeFill="accent1" w:themeFillTint="33"/>
            <w:vAlign w:val="center"/>
          </w:tcPr>
          <w:p w:rsidR="00E42497" w:rsidRPr="00304255" w:rsidRDefault="00E42497" w:rsidP="007C1063">
            <w:pPr>
              <w:pStyle w:val="Default"/>
              <w:autoSpaceDE/>
              <w:autoSpaceDN/>
              <w:adjustRightInd/>
              <w:ind w:left="0"/>
              <w:rPr>
                <w:sz w:val="20"/>
                <w:szCs w:val="20"/>
              </w:rPr>
            </w:pPr>
            <w:r w:rsidRPr="00304255">
              <w:rPr>
                <w:b/>
                <w:bCs/>
                <w:sz w:val="20"/>
                <w:szCs w:val="20"/>
              </w:rPr>
              <w:t xml:space="preserve">Rozmer 3 – Druh územia </w:t>
            </w:r>
          </w:p>
        </w:tc>
      </w:tr>
      <w:tr w:rsidR="00E42497" w:rsidTr="007C1063">
        <w:trPr>
          <w:trHeight w:val="255"/>
          <w:jc w:val="center"/>
        </w:trPr>
        <w:tc>
          <w:tcPr>
            <w:tcW w:w="4913" w:type="dxa"/>
            <w:shd w:val="clear" w:color="auto" w:fill="DBE5F1" w:themeFill="accent1" w:themeFillTint="33"/>
            <w:vAlign w:val="center"/>
          </w:tcPr>
          <w:p w:rsidR="00E42497" w:rsidRPr="00304255" w:rsidRDefault="00E42497" w:rsidP="007C1063">
            <w:pPr>
              <w:pStyle w:val="Default"/>
              <w:autoSpaceDE/>
              <w:autoSpaceDN/>
              <w:adjustRightInd/>
              <w:ind w:left="0"/>
              <w:rPr>
                <w:b/>
                <w:bCs/>
                <w:sz w:val="20"/>
                <w:szCs w:val="20"/>
              </w:rPr>
            </w:pPr>
            <w:r w:rsidRPr="00304255">
              <w:rPr>
                <w:b/>
                <w:bCs/>
                <w:sz w:val="20"/>
                <w:szCs w:val="20"/>
              </w:rPr>
              <w:t>Fond</w:t>
            </w:r>
          </w:p>
        </w:tc>
        <w:tc>
          <w:tcPr>
            <w:tcW w:w="4159" w:type="dxa"/>
            <w:gridSpan w:val="2"/>
            <w:shd w:val="clear" w:color="auto" w:fill="DBE5F1" w:themeFill="accent1" w:themeFillTint="33"/>
            <w:vAlign w:val="center"/>
          </w:tcPr>
          <w:p w:rsidR="00E42497" w:rsidRPr="00304255" w:rsidRDefault="002E2353" w:rsidP="007C1063">
            <w:pPr>
              <w:pStyle w:val="Default"/>
              <w:autoSpaceDE/>
              <w:autoSpaceDN/>
              <w:adjustRightInd/>
              <w:ind w:left="0"/>
              <w:rPr>
                <w:bCs/>
                <w:sz w:val="20"/>
                <w:szCs w:val="20"/>
              </w:rPr>
            </w:pPr>
            <w:r>
              <w:rPr>
                <w:bCs/>
                <w:sz w:val="20"/>
                <w:szCs w:val="20"/>
              </w:rPr>
              <w:t>EFRR</w:t>
            </w:r>
          </w:p>
        </w:tc>
      </w:tr>
      <w:tr w:rsidR="00E42497" w:rsidTr="007C1063">
        <w:trPr>
          <w:trHeight w:val="255"/>
          <w:jc w:val="center"/>
        </w:trPr>
        <w:tc>
          <w:tcPr>
            <w:tcW w:w="4913" w:type="dxa"/>
            <w:shd w:val="clear" w:color="auto" w:fill="DBE5F1" w:themeFill="accent1" w:themeFillTint="33"/>
            <w:vAlign w:val="center"/>
          </w:tcPr>
          <w:p w:rsidR="00E42497" w:rsidRPr="00304255" w:rsidRDefault="00E42497" w:rsidP="007C1063">
            <w:pPr>
              <w:ind w:left="0"/>
              <w:rPr>
                <w:sz w:val="20"/>
                <w:szCs w:val="20"/>
              </w:rPr>
            </w:pPr>
            <w:r w:rsidRPr="00304255">
              <w:rPr>
                <w:b/>
                <w:bCs/>
                <w:color w:val="000000"/>
                <w:sz w:val="20"/>
                <w:szCs w:val="20"/>
              </w:rPr>
              <w:t>Kategória regiónu</w:t>
            </w:r>
          </w:p>
        </w:tc>
        <w:tc>
          <w:tcPr>
            <w:tcW w:w="4159" w:type="dxa"/>
            <w:gridSpan w:val="2"/>
            <w:shd w:val="clear" w:color="auto" w:fill="DBE5F1" w:themeFill="accent1" w:themeFillTint="33"/>
            <w:vAlign w:val="center"/>
          </w:tcPr>
          <w:p w:rsidR="00E42497" w:rsidRPr="00304255" w:rsidRDefault="002E2353" w:rsidP="007C1063">
            <w:pPr>
              <w:ind w:left="0"/>
              <w:rPr>
                <w:sz w:val="20"/>
                <w:szCs w:val="20"/>
              </w:rPr>
            </w:pPr>
            <w:r>
              <w:rPr>
                <w:sz w:val="20"/>
                <w:szCs w:val="20"/>
              </w:rPr>
              <w:t>Menej rozvinuté regióny</w:t>
            </w:r>
          </w:p>
        </w:tc>
      </w:tr>
      <w:tr w:rsidR="00E42497" w:rsidTr="007C1063">
        <w:trPr>
          <w:trHeight w:val="255"/>
          <w:jc w:val="center"/>
        </w:trPr>
        <w:tc>
          <w:tcPr>
            <w:tcW w:w="4913" w:type="dxa"/>
            <w:vAlign w:val="center"/>
          </w:tcPr>
          <w:p w:rsidR="00E42497" w:rsidRPr="00304255" w:rsidRDefault="00E42497" w:rsidP="007C1063">
            <w:pPr>
              <w:ind w:left="0"/>
              <w:jc w:val="center"/>
              <w:rPr>
                <w:b/>
                <w:sz w:val="20"/>
                <w:szCs w:val="20"/>
              </w:rPr>
            </w:pPr>
            <w:r w:rsidRPr="00304255">
              <w:rPr>
                <w:b/>
                <w:sz w:val="20"/>
                <w:szCs w:val="20"/>
              </w:rPr>
              <w:t>Prioritná os</w:t>
            </w:r>
          </w:p>
        </w:tc>
        <w:tc>
          <w:tcPr>
            <w:tcW w:w="2120" w:type="dxa"/>
            <w:vAlign w:val="center"/>
          </w:tcPr>
          <w:p w:rsidR="00E42497" w:rsidRPr="00304255" w:rsidRDefault="00E42497" w:rsidP="007C1063">
            <w:pPr>
              <w:ind w:left="0"/>
              <w:jc w:val="center"/>
              <w:rPr>
                <w:b/>
                <w:sz w:val="20"/>
                <w:szCs w:val="20"/>
              </w:rPr>
            </w:pPr>
            <w:r w:rsidRPr="00304255">
              <w:rPr>
                <w:b/>
                <w:sz w:val="20"/>
                <w:szCs w:val="20"/>
              </w:rPr>
              <w:t>Kód</w:t>
            </w:r>
          </w:p>
        </w:tc>
        <w:tc>
          <w:tcPr>
            <w:tcW w:w="2039" w:type="dxa"/>
            <w:vAlign w:val="center"/>
          </w:tcPr>
          <w:p w:rsidR="00E42497" w:rsidRPr="00304255" w:rsidRDefault="00E42497" w:rsidP="007C1063">
            <w:pPr>
              <w:ind w:left="0"/>
              <w:jc w:val="center"/>
              <w:rPr>
                <w:b/>
                <w:sz w:val="20"/>
                <w:szCs w:val="20"/>
              </w:rPr>
            </w:pPr>
            <w:r w:rsidRPr="00304255">
              <w:rPr>
                <w:b/>
                <w:sz w:val="20"/>
                <w:szCs w:val="20"/>
              </w:rPr>
              <w:t>Suma (v EUR)</w:t>
            </w:r>
          </w:p>
        </w:tc>
      </w:tr>
      <w:tr w:rsidR="00E42497" w:rsidTr="007C1063">
        <w:trPr>
          <w:trHeight w:val="255"/>
          <w:jc w:val="center"/>
        </w:trPr>
        <w:tc>
          <w:tcPr>
            <w:tcW w:w="4913" w:type="dxa"/>
            <w:vAlign w:val="center"/>
          </w:tcPr>
          <w:p w:rsidR="00E42497" w:rsidRPr="00304255" w:rsidRDefault="002E2353" w:rsidP="007C1063">
            <w:pPr>
              <w:ind w:left="0"/>
              <w:rPr>
                <w:sz w:val="20"/>
                <w:szCs w:val="20"/>
              </w:rPr>
            </w:pPr>
            <w:r w:rsidRPr="00E572D9">
              <w:rPr>
                <w:sz w:val="20"/>
                <w:szCs w:val="20"/>
              </w:rPr>
              <w:t xml:space="preserve">Prioritná os </w:t>
            </w:r>
            <w:r>
              <w:rPr>
                <w:sz w:val="20"/>
                <w:szCs w:val="20"/>
              </w:rPr>
              <w:t>6</w:t>
            </w:r>
            <w:r w:rsidRPr="00E572D9">
              <w:rPr>
                <w:sz w:val="20"/>
                <w:szCs w:val="20"/>
              </w:rPr>
              <w:t xml:space="preserve"> – </w:t>
            </w:r>
            <w:r>
              <w:rPr>
                <w:sz w:val="20"/>
                <w:szCs w:val="20"/>
              </w:rPr>
              <w:t>Cestná</w:t>
            </w:r>
            <w:r w:rsidRPr="00E572D9">
              <w:rPr>
                <w:sz w:val="20"/>
                <w:szCs w:val="20"/>
              </w:rPr>
              <w:t xml:space="preserve"> infraštruktúra (mimo TEN-T CORE)</w:t>
            </w:r>
          </w:p>
        </w:tc>
        <w:tc>
          <w:tcPr>
            <w:tcW w:w="2120" w:type="dxa"/>
            <w:vAlign w:val="center"/>
          </w:tcPr>
          <w:p w:rsidR="00E42497" w:rsidRPr="00304255" w:rsidRDefault="00E42497" w:rsidP="007C1063">
            <w:pPr>
              <w:ind w:left="0"/>
              <w:jc w:val="center"/>
              <w:rPr>
                <w:sz w:val="20"/>
                <w:szCs w:val="20"/>
              </w:rPr>
            </w:pPr>
            <w:r w:rsidRPr="00304255">
              <w:rPr>
                <w:sz w:val="20"/>
                <w:szCs w:val="20"/>
              </w:rPr>
              <w:t>0</w:t>
            </w:r>
            <w:r>
              <w:rPr>
                <w:sz w:val="20"/>
                <w:szCs w:val="20"/>
              </w:rPr>
              <w:t>7</w:t>
            </w:r>
          </w:p>
        </w:tc>
        <w:tc>
          <w:tcPr>
            <w:tcW w:w="2039" w:type="dxa"/>
            <w:vAlign w:val="center"/>
          </w:tcPr>
          <w:p w:rsidR="00E42497" w:rsidRPr="00304255" w:rsidRDefault="00C1088B" w:rsidP="007C1063">
            <w:pPr>
              <w:ind w:left="0"/>
              <w:jc w:val="center"/>
              <w:rPr>
                <w:sz w:val="20"/>
                <w:szCs w:val="20"/>
                <w:lang w:val="en-US"/>
              </w:rPr>
            </w:pPr>
            <w:r w:rsidRPr="002E2353">
              <w:rPr>
                <w:sz w:val="20"/>
                <w:szCs w:val="20"/>
              </w:rPr>
              <w:t>503 007 228</w:t>
            </w:r>
          </w:p>
        </w:tc>
      </w:tr>
    </w:tbl>
    <w:p w:rsidR="00E42497" w:rsidRPr="006579CE" w:rsidRDefault="00E42497" w:rsidP="00E42497">
      <w:pPr>
        <w:pStyle w:val="Tab"/>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E42497" w:rsidTr="007C1063">
        <w:trPr>
          <w:trHeight w:val="255"/>
          <w:jc w:val="center"/>
        </w:trPr>
        <w:tc>
          <w:tcPr>
            <w:tcW w:w="9098" w:type="dxa"/>
            <w:gridSpan w:val="3"/>
            <w:shd w:val="clear" w:color="auto" w:fill="DBE5F1" w:themeFill="accent1" w:themeFillTint="33"/>
            <w:vAlign w:val="center"/>
          </w:tcPr>
          <w:p w:rsidR="00E42497" w:rsidRPr="00304255" w:rsidRDefault="00E42497" w:rsidP="007C1063">
            <w:pPr>
              <w:pStyle w:val="Default"/>
              <w:autoSpaceDE/>
              <w:autoSpaceDN/>
              <w:adjustRightInd/>
              <w:ind w:left="0"/>
              <w:rPr>
                <w:b/>
                <w:bCs/>
                <w:sz w:val="20"/>
                <w:szCs w:val="20"/>
              </w:rPr>
            </w:pPr>
            <w:r w:rsidRPr="00304255">
              <w:rPr>
                <w:b/>
                <w:bCs/>
                <w:sz w:val="20"/>
                <w:szCs w:val="20"/>
              </w:rPr>
              <w:t>Rozmer 4 – Územné mechanizmy realizácie</w:t>
            </w:r>
          </w:p>
        </w:tc>
      </w:tr>
      <w:tr w:rsidR="00E42497" w:rsidTr="007C1063">
        <w:trPr>
          <w:trHeight w:val="255"/>
          <w:jc w:val="center"/>
        </w:trPr>
        <w:tc>
          <w:tcPr>
            <w:tcW w:w="4928" w:type="dxa"/>
            <w:shd w:val="clear" w:color="auto" w:fill="DBE5F1" w:themeFill="accent1" w:themeFillTint="33"/>
            <w:vAlign w:val="center"/>
          </w:tcPr>
          <w:p w:rsidR="00E42497" w:rsidRPr="00304255" w:rsidRDefault="00E42497" w:rsidP="007C1063">
            <w:pPr>
              <w:pStyle w:val="Default"/>
              <w:autoSpaceDE/>
              <w:autoSpaceDN/>
              <w:adjustRightInd/>
              <w:ind w:left="0"/>
              <w:rPr>
                <w:b/>
                <w:bCs/>
                <w:sz w:val="20"/>
                <w:szCs w:val="20"/>
              </w:rPr>
            </w:pPr>
            <w:r w:rsidRPr="00304255">
              <w:rPr>
                <w:b/>
                <w:bCs/>
                <w:sz w:val="20"/>
                <w:szCs w:val="20"/>
              </w:rPr>
              <w:t>Fond</w:t>
            </w:r>
          </w:p>
        </w:tc>
        <w:tc>
          <w:tcPr>
            <w:tcW w:w="4170" w:type="dxa"/>
            <w:gridSpan w:val="2"/>
            <w:shd w:val="clear" w:color="auto" w:fill="DBE5F1" w:themeFill="accent1" w:themeFillTint="33"/>
            <w:vAlign w:val="center"/>
          </w:tcPr>
          <w:p w:rsidR="00E42497" w:rsidRPr="00304255" w:rsidRDefault="002E2353" w:rsidP="007C1063">
            <w:pPr>
              <w:pStyle w:val="Default"/>
              <w:autoSpaceDE/>
              <w:autoSpaceDN/>
              <w:adjustRightInd/>
              <w:ind w:left="0"/>
              <w:rPr>
                <w:bCs/>
                <w:sz w:val="20"/>
                <w:szCs w:val="20"/>
              </w:rPr>
            </w:pPr>
            <w:r>
              <w:rPr>
                <w:bCs/>
                <w:sz w:val="20"/>
                <w:szCs w:val="20"/>
              </w:rPr>
              <w:t>EFRR</w:t>
            </w:r>
          </w:p>
        </w:tc>
      </w:tr>
      <w:tr w:rsidR="00E42497" w:rsidTr="007C1063">
        <w:trPr>
          <w:trHeight w:val="255"/>
          <w:jc w:val="center"/>
        </w:trPr>
        <w:tc>
          <w:tcPr>
            <w:tcW w:w="4928" w:type="dxa"/>
            <w:shd w:val="clear" w:color="auto" w:fill="DBE5F1" w:themeFill="accent1" w:themeFillTint="33"/>
            <w:vAlign w:val="center"/>
          </w:tcPr>
          <w:p w:rsidR="00E42497" w:rsidRPr="00304255" w:rsidRDefault="00E42497" w:rsidP="007C1063">
            <w:pPr>
              <w:ind w:left="0"/>
              <w:rPr>
                <w:sz w:val="20"/>
                <w:szCs w:val="20"/>
              </w:rPr>
            </w:pPr>
            <w:r w:rsidRPr="00304255">
              <w:rPr>
                <w:b/>
                <w:bCs/>
                <w:color w:val="000000"/>
                <w:sz w:val="20"/>
                <w:szCs w:val="20"/>
              </w:rPr>
              <w:t>Kategória regiónu</w:t>
            </w:r>
          </w:p>
        </w:tc>
        <w:tc>
          <w:tcPr>
            <w:tcW w:w="4170" w:type="dxa"/>
            <w:gridSpan w:val="2"/>
            <w:shd w:val="clear" w:color="auto" w:fill="DBE5F1" w:themeFill="accent1" w:themeFillTint="33"/>
            <w:vAlign w:val="center"/>
          </w:tcPr>
          <w:p w:rsidR="00E42497" w:rsidRPr="00304255" w:rsidRDefault="002E2353" w:rsidP="007C1063">
            <w:pPr>
              <w:ind w:left="0"/>
              <w:rPr>
                <w:sz w:val="20"/>
                <w:szCs w:val="20"/>
              </w:rPr>
            </w:pPr>
            <w:r>
              <w:rPr>
                <w:sz w:val="20"/>
                <w:szCs w:val="20"/>
              </w:rPr>
              <w:t>Menej rozvinuté regióny</w:t>
            </w:r>
          </w:p>
        </w:tc>
      </w:tr>
      <w:tr w:rsidR="00E42497" w:rsidTr="007C1063">
        <w:trPr>
          <w:trHeight w:val="255"/>
          <w:jc w:val="center"/>
        </w:trPr>
        <w:tc>
          <w:tcPr>
            <w:tcW w:w="4928" w:type="dxa"/>
            <w:vAlign w:val="center"/>
          </w:tcPr>
          <w:p w:rsidR="00E42497" w:rsidRPr="00304255" w:rsidRDefault="00E42497" w:rsidP="007C1063">
            <w:pPr>
              <w:ind w:left="0"/>
              <w:jc w:val="center"/>
              <w:rPr>
                <w:b/>
                <w:sz w:val="20"/>
                <w:szCs w:val="20"/>
              </w:rPr>
            </w:pPr>
            <w:r w:rsidRPr="00304255">
              <w:rPr>
                <w:b/>
                <w:sz w:val="20"/>
                <w:szCs w:val="20"/>
              </w:rPr>
              <w:t>Prioritná os</w:t>
            </w:r>
          </w:p>
        </w:tc>
        <w:tc>
          <w:tcPr>
            <w:tcW w:w="2126" w:type="dxa"/>
            <w:vAlign w:val="center"/>
          </w:tcPr>
          <w:p w:rsidR="00E42497" w:rsidRPr="00304255" w:rsidRDefault="00E42497" w:rsidP="007C1063">
            <w:pPr>
              <w:ind w:left="0"/>
              <w:jc w:val="center"/>
              <w:rPr>
                <w:b/>
                <w:sz w:val="20"/>
                <w:szCs w:val="20"/>
              </w:rPr>
            </w:pPr>
            <w:r w:rsidRPr="00304255">
              <w:rPr>
                <w:b/>
                <w:sz w:val="20"/>
                <w:szCs w:val="20"/>
              </w:rPr>
              <w:t>Kód</w:t>
            </w:r>
          </w:p>
        </w:tc>
        <w:tc>
          <w:tcPr>
            <w:tcW w:w="2044" w:type="dxa"/>
            <w:vAlign w:val="center"/>
          </w:tcPr>
          <w:p w:rsidR="00E42497" w:rsidRPr="00304255" w:rsidRDefault="00E42497" w:rsidP="007C1063">
            <w:pPr>
              <w:ind w:left="0"/>
              <w:jc w:val="center"/>
              <w:rPr>
                <w:b/>
                <w:sz w:val="20"/>
                <w:szCs w:val="20"/>
              </w:rPr>
            </w:pPr>
            <w:r w:rsidRPr="00304255">
              <w:rPr>
                <w:b/>
                <w:sz w:val="20"/>
                <w:szCs w:val="20"/>
              </w:rPr>
              <w:t>Suma (v EUR)</w:t>
            </w:r>
          </w:p>
        </w:tc>
      </w:tr>
      <w:tr w:rsidR="00E42497" w:rsidTr="007C1063">
        <w:trPr>
          <w:trHeight w:val="255"/>
          <w:jc w:val="center"/>
        </w:trPr>
        <w:tc>
          <w:tcPr>
            <w:tcW w:w="4928" w:type="dxa"/>
            <w:vAlign w:val="center"/>
          </w:tcPr>
          <w:p w:rsidR="00E42497" w:rsidRPr="00304255" w:rsidRDefault="002E2353" w:rsidP="007C1063">
            <w:pPr>
              <w:ind w:left="0"/>
              <w:rPr>
                <w:sz w:val="20"/>
                <w:szCs w:val="20"/>
              </w:rPr>
            </w:pPr>
            <w:r w:rsidRPr="00E572D9">
              <w:rPr>
                <w:sz w:val="20"/>
                <w:szCs w:val="20"/>
              </w:rPr>
              <w:t xml:space="preserve">Prioritná os </w:t>
            </w:r>
            <w:r>
              <w:rPr>
                <w:sz w:val="20"/>
                <w:szCs w:val="20"/>
              </w:rPr>
              <w:t>6</w:t>
            </w:r>
            <w:r w:rsidRPr="00E572D9">
              <w:rPr>
                <w:sz w:val="20"/>
                <w:szCs w:val="20"/>
              </w:rPr>
              <w:t xml:space="preserve"> – </w:t>
            </w:r>
            <w:r>
              <w:rPr>
                <w:sz w:val="20"/>
                <w:szCs w:val="20"/>
              </w:rPr>
              <w:t>Cestná</w:t>
            </w:r>
            <w:r w:rsidRPr="00E572D9">
              <w:rPr>
                <w:sz w:val="20"/>
                <w:szCs w:val="20"/>
              </w:rPr>
              <w:t xml:space="preserve"> infraštruktúra (mimo TEN-T CORE)</w:t>
            </w:r>
          </w:p>
        </w:tc>
        <w:tc>
          <w:tcPr>
            <w:tcW w:w="2126" w:type="dxa"/>
            <w:vAlign w:val="center"/>
          </w:tcPr>
          <w:p w:rsidR="00E42497" w:rsidRPr="00304255" w:rsidRDefault="00E42497" w:rsidP="007C1063">
            <w:pPr>
              <w:ind w:left="0"/>
              <w:jc w:val="center"/>
              <w:rPr>
                <w:sz w:val="20"/>
                <w:szCs w:val="20"/>
              </w:rPr>
            </w:pPr>
            <w:r w:rsidRPr="00304255">
              <w:rPr>
                <w:sz w:val="20"/>
                <w:szCs w:val="20"/>
              </w:rPr>
              <w:t>0</w:t>
            </w:r>
            <w:r>
              <w:rPr>
                <w:sz w:val="20"/>
                <w:szCs w:val="20"/>
              </w:rPr>
              <w:t>7</w:t>
            </w:r>
          </w:p>
        </w:tc>
        <w:tc>
          <w:tcPr>
            <w:tcW w:w="2044" w:type="dxa"/>
            <w:vAlign w:val="center"/>
          </w:tcPr>
          <w:p w:rsidR="00E42497" w:rsidRPr="002E2353" w:rsidRDefault="002E2353" w:rsidP="007C1063">
            <w:pPr>
              <w:ind w:left="0"/>
              <w:jc w:val="center"/>
              <w:rPr>
                <w:sz w:val="20"/>
                <w:szCs w:val="20"/>
                <w:lang w:val="en-US"/>
              </w:rPr>
            </w:pPr>
            <w:r w:rsidRPr="002E2353">
              <w:rPr>
                <w:sz w:val="20"/>
                <w:szCs w:val="20"/>
              </w:rPr>
              <w:t>503 007 228</w:t>
            </w:r>
          </w:p>
        </w:tc>
      </w:tr>
    </w:tbl>
    <w:p w:rsidR="00E42497" w:rsidRDefault="00E42497" w:rsidP="00E42497">
      <w:pPr>
        <w:pStyle w:val="Nadpis3"/>
        <w:jc w:val="both"/>
      </w:pPr>
      <w:bookmarkStart w:id="72" w:name="_Toc385310721"/>
      <w:r>
        <w:t>Súhrn plánovaného využitia technickej pomoci vrátane, ak je to vhodné, akcií na posilnenie administratívnej kapacity orgánov zapojených do riadenia a kontroly programu a prijímateľov (ak je to vhodné)</w:t>
      </w:r>
      <w:bookmarkEnd w:id="72"/>
    </w:p>
    <w:p w:rsidR="00E42497" w:rsidRDefault="00E42497" w:rsidP="00E42497">
      <w:pPr>
        <w:rPr>
          <w:sz w:val="22"/>
          <w:szCs w:val="22"/>
        </w:rPr>
      </w:pPr>
      <w:r w:rsidRPr="008C1732">
        <w:rPr>
          <w:sz w:val="22"/>
          <w:szCs w:val="22"/>
        </w:rPr>
        <w:t>N/A</w:t>
      </w:r>
    </w:p>
    <w:p w:rsidR="000767A2" w:rsidRDefault="000767A2" w:rsidP="007F1C63">
      <w:pPr>
        <w:keepNext/>
        <w:numPr>
          <w:ilvl w:val="1"/>
          <w:numId w:val="1"/>
        </w:numPr>
        <w:tabs>
          <w:tab w:val="clear" w:pos="851"/>
          <w:tab w:val="left" w:pos="709"/>
        </w:tabs>
        <w:spacing w:after="180"/>
        <w:ind w:left="709" w:hanging="709"/>
        <w:outlineLvl w:val="1"/>
        <w:rPr>
          <w:rFonts w:ascii="Arial Narrow" w:hAnsi="Arial Narrow" w:cs="Arial"/>
          <w:b/>
          <w:bCs/>
          <w:iCs/>
          <w:color w:val="4F81BD" w:themeColor="accent1"/>
          <w:sz w:val="23"/>
          <w:szCs w:val="28"/>
        </w:rPr>
        <w:sectPr w:rsidR="000767A2" w:rsidSect="00D1658B">
          <w:headerReference w:type="default" r:id="rId26"/>
          <w:pgSz w:w="11906" w:h="16838"/>
          <w:pgMar w:top="1418" w:right="1361" w:bottom="1304" w:left="1474" w:header="709" w:footer="709" w:gutter="0"/>
          <w:cols w:space="708"/>
          <w:docGrid w:linePitch="360"/>
        </w:sectPr>
      </w:pPr>
    </w:p>
    <w:p w:rsidR="007F1C63" w:rsidRPr="007F1C63" w:rsidRDefault="007F1C63" w:rsidP="003A2893">
      <w:pPr>
        <w:pStyle w:val="Nadpis2"/>
      </w:pPr>
      <w:bookmarkStart w:id="73" w:name="_Toc385310722"/>
      <w:r w:rsidRPr="007F1C63">
        <w:lastRenderedPageBreak/>
        <w:t xml:space="preserve">PRIORITNÁ OS </w:t>
      </w:r>
      <w:r w:rsidR="00B55F34">
        <w:t>7</w:t>
      </w:r>
      <w:r w:rsidRPr="007F1C63">
        <w:t>:</w:t>
      </w:r>
      <w:r w:rsidR="003C15FD">
        <w:t xml:space="preserve"> </w:t>
      </w:r>
      <w:r w:rsidR="00B55F34">
        <w:t>INFORMAČNÁ SPOLOČNOSŤ</w:t>
      </w:r>
      <w:bookmarkEnd w:id="73"/>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033"/>
        <w:gridCol w:w="4039"/>
      </w:tblGrid>
      <w:tr w:rsidR="007F1C63" w:rsidRPr="007F1C63" w:rsidTr="002E1021">
        <w:trPr>
          <w:trHeight w:val="284"/>
          <w:jc w:val="center"/>
        </w:trPr>
        <w:tc>
          <w:tcPr>
            <w:tcW w:w="4404" w:type="dxa"/>
            <w:shd w:val="clear" w:color="auto" w:fill="DBE5F1" w:themeFill="accent1" w:themeFillTint="33"/>
            <w:vAlign w:val="center"/>
          </w:tcPr>
          <w:p w:rsidR="007F1C63" w:rsidRPr="007F1C63" w:rsidRDefault="007F1C63" w:rsidP="007F1C63">
            <w:pPr>
              <w:ind w:left="0"/>
            </w:pPr>
            <w:r w:rsidRPr="007F1C63">
              <w:rPr>
                <w:b/>
                <w:i/>
                <w:sz w:val="20"/>
                <w:szCs w:val="20"/>
              </w:rPr>
              <w:t>ID prioritnej osi</w:t>
            </w:r>
          </w:p>
        </w:tc>
        <w:tc>
          <w:tcPr>
            <w:tcW w:w="3534" w:type="dxa"/>
            <w:vAlign w:val="center"/>
          </w:tcPr>
          <w:p w:rsidR="007F1C63" w:rsidRPr="007F1C63" w:rsidRDefault="007F1C63" w:rsidP="007F1C63">
            <w:pPr>
              <w:keepNext/>
              <w:tabs>
                <w:tab w:val="left" w:pos="709"/>
              </w:tabs>
              <w:ind w:left="0"/>
              <w:rPr>
                <w:rFonts w:ascii="Arial Narrow" w:hAnsi="Arial Narrow" w:cs="Arial"/>
                <w:b/>
                <w:bCs/>
                <w:iCs/>
                <w:color w:val="4F81BD" w:themeColor="accent1"/>
                <w:sz w:val="23"/>
                <w:szCs w:val="28"/>
              </w:rPr>
            </w:pPr>
          </w:p>
        </w:tc>
      </w:tr>
      <w:tr w:rsidR="007F1C63" w:rsidRPr="007F1C63" w:rsidTr="002E1021">
        <w:trPr>
          <w:trHeight w:val="284"/>
          <w:jc w:val="center"/>
        </w:trPr>
        <w:tc>
          <w:tcPr>
            <w:tcW w:w="4404" w:type="dxa"/>
            <w:shd w:val="clear" w:color="auto" w:fill="DBE5F1" w:themeFill="accent1" w:themeFillTint="33"/>
            <w:vAlign w:val="center"/>
          </w:tcPr>
          <w:p w:rsidR="007F1C63" w:rsidRPr="007F1C63" w:rsidRDefault="007F1C63" w:rsidP="007F1C63">
            <w:pPr>
              <w:keepNext/>
              <w:tabs>
                <w:tab w:val="left" w:pos="709"/>
              </w:tabs>
              <w:ind w:left="0"/>
              <w:rPr>
                <w:b/>
                <w:i/>
                <w:sz w:val="20"/>
                <w:szCs w:val="20"/>
              </w:rPr>
            </w:pPr>
            <w:r w:rsidRPr="007F1C63">
              <w:rPr>
                <w:b/>
                <w:i/>
                <w:sz w:val="20"/>
                <w:szCs w:val="20"/>
              </w:rPr>
              <w:t>Názov prioritnej osi</w:t>
            </w:r>
          </w:p>
        </w:tc>
        <w:tc>
          <w:tcPr>
            <w:tcW w:w="3534" w:type="dxa"/>
            <w:vAlign w:val="center"/>
          </w:tcPr>
          <w:p w:rsidR="007F1C63" w:rsidRPr="007F1C63" w:rsidRDefault="00B55F34" w:rsidP="007F1C63">
            <w:pPr>
              <w:ind w:left="0"/>
              <w:rPr>
                <w:sz w:val="20"/>
                <w:szCs w:val="20"/>
              </w:rPr>
            </w:pPr>
            <w:r>
              <w:rPr>
                <w:sz w:val="20"/>
                <w:szCs w:val="20"/>
              </w:rPr>
              <w:t>Informačná spoločnosť</w:t>
            </w:r>
          </w:p>
        </w:tc>
      </w:tr>
    </w:tbl>
    <w:p w:rsidR="007F1C63" w:rsidRPr="007F1C63" w:rsidRDefault="007F1C63" w:rsidP="007F1C63">
      <w:pPr>
        <w:keepNext/>
        <w:tabs>
          <w:tab w:val="left" w:pos="709"/>
        </w:tabs>
        <w:jc w:val="both"/>
        <w:outlineLvl w:val="1"/>
        <w:rPr>
          <w:rFonts w:ascii="Arial Narrow" w:hAnsi="Arial Narrow" w:cs="Arial"/>
          <w:b/>
          <w:bCs/>
          <w:iCs/>
          <w:color w:val="4F81BD" w:themeColor="accent1"/>
          <w:sz w:val="23"/>
          <w:szCs w:val="28"/>
        </w:rPr>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024"/>
        <w:gridCol w:w="4048"/>
      </w:tblGrid>
      <w:tr w:rsidR="007F1C63" w:rsidRPr="007F1C63" w:rsidTr="002E1021">
        <w:trPr>
          <w:trHeight w:val="255"/>
          <w:jc w:val="center"/>
        </w:trPr>
        <w:tc>
          <w:tcPr>
            <w:tcW w:w="4396" w:type="dxa"/>
            <w:shd w:val="clear" w:color="auto" w:fill="DBE5F1" w:themeFill="accent1" w:themeFillTint="33"/>
            <w:vAlign w:val="center"/>
          </w:tcPr>
          <w:p w:rsidR="007F1C63" w:rsidRPr="007F1C63" w:rsidRDefault="007F1C63" w:rsidP="007F1C63">
            <w:pPr>
              <w:ind w:left="0"/>
              <w:rPr>
                <w:b/>
                <w:i/>
                <w:sz w:val="20"/>
                <w:szCs w:val="20"/>
              </w:rPr>
            </w:pPr>
            <w:r w:rsidRPr="007F1C63">
              <w:rPr>
                <w:b/>
                <w:i/>
                <w:sz w:val="20"/>
                <w:szCs w:val="20"/>
              </w:rPr>
              <w:t xml:space="preserve">Celá prioritná os bude realizovaná výhradne prostredníctvom finančných nástrojov </w:t>
            </w:r>
          </w:p>
        </w:tc>
        <w:tc>
          <w:tcPr>
            <w:tcW w:w="3542" w:type="dxa"/>
            <w:vAlign w:val="center"/>
          </w:tcPr>
          <w:p w:rsidR="007F1C63" w:rsidRPr="007F1C63" w:rsidRDefault="007F1C63" w:rsidP="007F1C63">
            <w:pPr>
              <w:ind w:left="0"/>
              <w:rPr>
                <w:sz w:val="20"/>
                <w:szCs w:val="20"/>
              </w:rPr>
            </w:pPr>
            <w:r w:rsidRPr="007F1C63">
              <w:rPr>
                <w:sz w:val="20"/>
                <w:szCs w:val="20"/>
              </w:rPr>
              <w:t>Nie</w:t>
            </w:r>
          </w:p>
        </w:tc>
      </w:tr>
      <w:tr w:rsidR="007F1C63" w:rsidRPr="007F1C63" w:rsidTr="002E1021">
        <w:trPr>
          <w:trHeight w:val="255"/>
          <w:jc w:val="center"/>
        </w:trPr>
        <w:tc>
          <w:tcPr>
            <w:tcW w:w="4396" w:type="dxa"/>
            <w:shd w:val="clear" w:color="auto" w:fill="DBE5F1" w:themeFill="accent1" w:themeFillTint="33"/>
            <w:vAlign w:val="center"/>
          </w:tcPr>
          <w:p w:rsidR="007F1C63" w:rsidRPr="007F1C63" w:rsidRDefault="007F1C63" w:rsidP="007F1C63">
            <w:pPr>
              <w:ind w:left="0"/>
              <w:rPr>
                <w:b/>
                <w:i/>
                <w:sz w:val="20"/>
                <w:szCs w:val="20"/>
              </w:rPr>
            </w:pPr>
            <w:r w:rsidRPr="007F1C63">
              <w:rPr>
                <w:b/>
                <w:i/>
                <w:sz w:val="20"/>
                <w:szCs w:val="20"/>
              </w:rPr>
              <w:t>Celá prioritná os bude realizovaná výhradne prostredníctvom finančných nástrojov vytvorených na úrovni Únie</w:t>
            </w:r>
          </w:p>
        </w:tc>
        <w:tc>
          <w:tcPr>
            <w:tcW w:w="3542" w:type="dxa"/>
            <w:vAlign w:val="center"/>
          </w:tcPr>
          <w:p w:rsidR="007F1C63" w:rsidRPr="007F1C63" w:rsidRDefault="007F1C63" w:rsidP="007F1C63">
            <w:pPr>
              <w:ind w:left="0"/>
              <w:rPr>
                <w:sz w:val="20"/>
                <w:szCs w:val="20"/>
              </w:rPr>
            </w:pPr>
            <w:r w:rsidRPr="007F1C63">
              <w:rPr>
                <w:sz w:val="20"/>
                <w:szCs w:val="20"/>
              </w:rPr>
              <w:t>Nie</w:t>
            </w:r>
          </w:p>
        </w:tc>
      </w:tr>
      <w:tr w:rsidR="007F1C63" w:rsidRPr="007F1C63" w:rsidTr="002E1021">
        <w:trPr>
          <w:trHeight w:val="70"/>
          <w:jc w:val="center"/>
        </w:trPr>
        <w:tc>
          <w:tcPr>
            <w:tcW w:w="4396" w:type="dxa"/>
            <w:shd w:val="clear" w:color="auto" w:fill="DBE5F1" w:themeFill="accent1" w:themeFillTint="33"/>
            <w:vAlign w:val="center"/>
          </w:tcPr>
          <w:p w:rsidR="007F1C63" w:rsidRPr="007F1C63" w:rsidRDefault="007F1C63" w:rsidP="007F1C63">
            <w:pPr>
              <w:ind w:left="0"/>
              <w:rPr>
                <w:b/>
                <w:i/>
                <w:sz w:val="20"/>
                <w:szCs w:val="20"/>
              </w:rPr>
            </w:pPr>
            <w:r w:rsidRPr="007F1C63">
              <w:rPr>
                <w:b/>
                <w:i/>
                <w:sz w:val="20"/>
                <w:szCs w:val="20"/>
              </w:rPr>
              <w:t>Celá prioritná os bude realizovaná prostredníctvom komunitne vedeného miestneho rozvoja</w:t>
            </w:r>
          </w:p>
        </w:tc>
        <w:tc>
          <w:tcPr>
            <w:tcW w:w="3542" w:type="dxa"/>
            <w:vAlign w:val="center"/>
          </w:tcPr>
          <w:p w:rsidR="007F1C63" w:rsidRPr="007F1C63" w:rsidRDefault="007F1C63" w:rsidP="007F1C63">
            <w:pPr>
              <w:ind w:left="0"/>
              <w:rPr>
                <w:sz w:val="20"/>
                <w:szCs w:val="20"/>
              </w:rPr>
            </w:pPr>
            <w:r w:rsidRPr="007F1C63">
              <w:rPr>
                <w:sz w:val="20"/>
                <w:szCs w:val="20"/>
              </w:rPr>
              <w:t>Nie</w:t>
            </w:r>
          </w:p>
        </w:tc>
      </w:tr>
      <w:tr w:rsidR="007F1C63" w:rsidRPr="007F1C63" w:rsidTr="002E1021">
        <w:trPr>
          <w:jc w:val="center"/>
        </w:trPr>
        <w:tc>
          <w:tcPr>
            <w:tcW w:w="4396" w:type="dxa"/>
            <w:shd w:val="clear" w:color="auto" w:fill="DBE5F1" w:themeFill="accent1" w:themeFillTint="33"/>
          </w:tcPr>
          <w:p w:rsidR="007F1C63" w:rsidRPr="007F1C63" w:rsidRDefault="007F1C63" w:rsidP="007F1C63">
            <w:pPr>
              <w:ind w:left="0"/>
              <w:rPr>
                <w:b/>
                <w:i/>
                <w:sz w:val="20"/>
                <w:szCs w:val="20"/>
              </w:rPr>
            </w:pPr>
            <w:r w:rsidRPr="007F1C63">
              <w:rPr>
                <w:b/>
                <w:i/>
                <w:sz w:val="20"/>
                <w:szCs w:val="20"/>
              </w:rPr>
              <w:t>Pre ESF: Celá prioritná os je zameraná na sociálnu inováciu alebo nadnárodnú spoluprácu, alebo oboje</w:t>
            </w:r>
          </w:p>
        </w:tc>
        <w:tc>
          <w:tcPr>
            <w:tcW w:w="3542" w:type="dxa"/>
            <w:vAlign w:val="center"/>
          </w:tcPr>
          <w:p w:rsidR="007F1C63" w:rsidRPr="007F1C63" w:rsidRDefault="007F1C63" w:rsidP="007F1C63">
            <w:pPr>
              <w:ind w:left="0"/>
              <w:rPr>
                <w:sz w:val="20"/>
                <w:szCs w:val="20"/>
              </w:rPr>
            </w:pPr>
            <w:r w:rsidRPr="007F1C63">
              <w:rPr>
                <w:sz w:val="20"/>
                <w:szCs w:val="20"/>
              </w:rPr>
              <w:t>N/A</w:t>
            </w:r>
          </w:p>
        </w:tc>
      </w:tr>
    </w:tbl>
    <w:p w:rsidR="007F1C63" w:rsidRPr="007F1C63" w:rsidRDefault="007F1C63" w:rsidP="000767A2">
      <w:pPr>
        <w:pStyle w:val="Nadpis3"/>
      </w:pPr>
      <w:bookmarkStart w:id="74" w:name="_Toc385310723"/>
      <w:r w:rsidRPr="007F1C63">
        <w:t>Fond, kategória regiónu a základ pre výpočet podpory Únie</w:t>
      </w:r>
      <w:bookmarkEnd w:id="74"/>
    </w:p>
    <w:tbl>
      <w:tblPr>
        <w:tblStyle w:val="Mriekatabuky"/>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042"/>
        <w:gridCol w:w="3361"/>
      </w:tblGrid>
      <w:tr w:rsidR="007F1C63" w:rsidRPr="007F1C63" w:rsidTr="007F1C63">
        <w:trPr>
          <w:trHeight w:val="255"/>
          <w:jc w:val="center"/>
        </w:trPr>
        <w:tc>
          <w:tcPr>
            <w:tcW w:w="4042" w:type="dxa"/>
            <w:shd w:val="clear" w:color="auto" w:fill="DBE5F1" w:themeFill="accent1" w:themeFillTint="33"/>
            <w:vAlign w:val="center"/>
          </w:tcPr>
          <w:p w:rsidR="007F1C63" w:rsidRPr="007F1C63" w:rsidRDefault="007F1C63" w:rsidP="007F1C63">
            <w:pPr>
              <w:ind w:left="0"/>
              <w:rPr>
                <w:b/>
                <w:i/>
                <w:sz w:val="20"/>
                <w:szCs w:val="20"/>
              </w:rPr>
            </w:pPr>
            <w:r w:rsidRPr="007F1C63">
              <w:rPr>
                <w:b/>
                <w:i/>
                <w:sz w:val="20"/>
                <w:szCs w:val="20"/>
              </w:rPr>
              <w:t>Fond</w:t>
            </w:r>
          </w:p>
        </w:tc>
        <w:tc>
          <w:tcPr>
            <w:tcW w:w="3361" w:type="dxa"/>
            <w:vAlign w:val="center"/>
          </w:tcPr>
          <w:p w:rsidR="007F1C63" w:rsidRPr="007F1C63" w:rsidRDefault="007F1C63" w:rsidP="007F1C63">
            <w:pPr>
              <w:ind w:left="0"/>
              <w:rPr>
                <w:sz w:val="20"/>
                <w:szCs w:val="20"/>
              </w:rPr>
            </w:pPr>
            <w:r w:rsidRPr="007F1C63">
              <w:rPr>
                <w:sz w:val="20"/>
                <w:szCs w:val="20"/>
              </w:rPr>
              <w:t>EFRR</w:t>
            </w:r>
          </w:p>
        </w:tc>
      </w:tr>
      <w:tr w:rsidR="007F1C63" w:rsidRPr="007F1C63" w:rsidTr="007F1C63">
        <w:trPr>
          <w:trHeight w:val="255"/>
          <w:jc w:val="center"/>
        </w:trPr>
        <w:tc>
          <w:tcPr>
            <w:tcW w:w="4042" w:type="dxa"/>
            <w:shd w:val="clear" w:color="auto" w:fill="DBE5F1" w:themeFill="accent1" w:themeFillTint="33"/>
            <w:vAlign w:val="center"/>
          </w:tcPr>
          <w:p w:rsidR="007F1C63" w:rsidRPr="007F1C63" w:rsidRDefault="007F1C63" w:rsidP="007F1C63">
            <w:pPr>
              <w:ind w:left="0"/>
              <w:rPr>
                <w:b/>
                <w:i/>
                <w:sz w:val="20"/>
                <w:szCs w:val="20"/>
              </w:rPr>
            </w:pPr>
            <w:r w:rsidRPr="007F1C63">
              <w:rPr>
                <w:b/>
                <w:i/>
                <w:sz w:val="20"/>
                <w:szCs w:val="20"/>
              </w:rPr>
              <w:t>Kategória regiónu</w:t>
            </w:r>
          </w:p>
        </w:tc>
        <w:tc>
          <w:tcPr>
            <w:tcW w:w="3361" w:type="dxa"/>
            <w:vAlign w:val="center"/>
          </w:tcPr>
          <w:p w:rsidR="007F1C63" w:rsidRPr="007F1C63" w:rsidRDefault="00B55F34" w:rsidP="007F1C63">
            <w:pPr>
              <w:ind w:left="0"/>
              <w:rPr>
                <w:sz w:val="20"/>
                <w:szCs w:val="20"/>
              </w:rPr>
            </w:pPr>
            <w:r>
              <w:rPr>
                <w:sz w:val="20"/>
                <w:szCs w:val="20"/>
              </w:rPr>
              <w:t>Menej rozvinuté regióny</w:t>
            </w:r>
          </w:p>
        </w:tc>
      </w:tr>
      <w:tr w:rsidR="007F1C63" w:rsidRPr="007F1C63" w:rsidTr="007F1C63">
        <w:trPr>
          <w:trHeight w:val="255"/>
          <w:jc w:val="center"/>
        </w:trPr>
        <w:tc>
          <w:tcPr>
            <w:tcW w:w="4042" w:type="dxa"/>
            <w:shd w:val="clear" w:color="auto" w:fill="DBE5F1" w:themeFill="accent1" w:themeFillTint="33"/>
            <w:vAlign w:val="center"/>
          </w:tcPr>
          <w:p w:rsidR="007F1C63" w:rsidRPr="007F1C63" w:rsidRDefault="007F1C63" w:rsidP="007F1C63">
            <w:pPr>
              <w:ind w:left="0"/>
              <w:rPr>
                <w:b/>
                <w:i/>
                <w:sz w:val="20"/>
                <w:szCs w:val="20"/>
              </w:rPr>
            </w:pPr>
            <w:r w:rsidRPr="007F1C63">
              <w:rPr>
                <w:b/>
                <w:i/>
                <w:sz w:val="20"/>
                <w:szCs w:val="20"/>
              </w:rPr>
              <w:t>Základ pre výpočet (celkový príspevok)</w:t>
            </w:r>
          </w:p>
        </w:tc>
        <w:tc>
          <w:tcPr>
            <w:tcW w:w="3361" w:type="dxa"/>
            <w:vAlign w:val="center"/>
          </w:tcPr>
          <w:p w:rsidR="007F1C63" w:rsidRPr="007F1C63" w:rsidRDefault="002D5849" w:rsidP="007F1C63">
            <w:pPr>
              <w:ind w:left="0"/>
              <w:rPr>
                <w:sz w:val="20"/>
                <w:szCs w:val="20"/>
                <w:lang w:val="en-US"/>
              </w:rPr>
            </w:pPr>
            <w:r w:rsidRPr="002D5849">
              <w:rPr>
                <w:sz w:val="20"/>
                <w:szCs w:val="20"/>
              </w:rPr>
              <w:t>989 431 473</w:t>
            </w:r>
          </w:p>
        </w:tc>
      </w:tr>
      <w:tr w:rsidR="007F1C63" w:rsidRPr="007F1C63" w:rsidTr="007F1C63">
        <w:trPr>
          <w:trHeight w:val="255"/>
          <w:jc w:val="center"/>
        </w:trPr>
        <w:tc>
          <w:tcPr>
            <w:tcW w:w="4042" w:type="dxa"/>
            <w:shd w:val="clear" w:color="auto" w:fill="DBE5F1" w:themeFill="accent1" w:themeFillTint="33"/>
          </w:tcPr>
          <w:p w:rsidR="007F1C63" w:rsidRPr="007F1C63" w:rsidRDefault="007F1C63" w:rsidP="007F1C63">
            <w:pPr>
              <w:ind w:left="0"/>
              <w:rPr>
                <w:b/>
                <w:i/>
                <w:sz w:val="20"/>
                <w:szCs w:val="20"/>
              </w:rPr>
            </w:pPr>
            <w:r w:rsidRPr="007F1C63">
              <w:rPr>
                <w:b/>
                <w:i/>
                <w:sz w:val="20"/>
                <w:szCs w:val="20"/>
              </w:rPr>
              <w:t>Kategória regiónu pre najvzdialenejšie a severné riedko osídlené regióny (ak je to vhodné)</w:t>
            </w:r>
          </w:p>
        </w:tc>
        <w:tc>
          <w:tcPr>
            <w:tcW w:w="3361" w:type="dxa"/>
          </w:tcPr>
          <w:p w:rsidR="007F1C63" w:rsidRPr="007F1C63" w:rsidRDefault="007F1C63" w:rsidP="007F1C63">
            <w:pPr>
              <w:ind w:left="0"/>
              <w:rPr>
                <w:sz w:val="20"/>
                <w:szCs w:val="20"/>
              </w:rPr>
            </w:pPr>
            <w:r w:rsidRPr="007F1C63">
              <w:rPr>
                <w:sz w:val="20"/>
                <w:szCs w:val="20"/>
              </w:rPr>
              <w:t>N/A</w:t>
            </w:r>
          </w:p>
        </w:tc>
      </w:tr>
    </w:tbl>
    <w:p w:rsidR="00E92F9B" w:rsidRDefault="007F1C63">
      <w:pPr>
        <w:pStyle w:val="Nadpis3"/>
        <w:jc w:val="both"/>
      </w:pPr>
      <w:bookmarkStart w:id="75" w:name="_Toc385310724"/>
      <w:r w:rsidRPr="007F1C63">
        <w:t xml:space="preserve">INVESTIČNÁ PRIORITA </w:t>
      </w:r>
      <w:r w:rsidR="00D90E59">
        <w:t>2</w:t>
      </w:r>
      <w:r w:rsidRPr="007F1C63">
        <w:t xml:space="preserve">a): </w:t>
      </w:r>
      <w:r w:rsidR="00B55F34" w:rsidRPr="00B55F34">
        <w:t>Rozšírenie širokopásmového pripojenia a zavádzanie vysokorýchlostných sietí a podpora zavádzania nastupujúcich technológií a sietí pre digitálne hospodárstvo</w:t>
      </w:r>
      <w:bookmarkEnd w:id="75"/>
    </w:p>
    <w:p w:rsidR="007F1C63" w:rsidRPr="007F1C63" w:rsidRDefault="007F1C63" w:rsidP="007F1C63">
      <w:pPr>
        <w:keepNext/>
        <w:numPr>
          <w:ilvl w:val="3"/>
          <w:numId w:val="18"/>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Špecifické ciele investičnej priority a očakávané výsledky</w:t>
      </w:r>
    </w:p>
    <w:p w:rsidR="007F1C63" w:rsidRPr="007F1C63" w:rsidRDefault="007F1C63" w:rsidP="002E1021">
      <w:pPr>
        <w:shd w:val="clear" w:color="auto" w:fill="FFFFCC"/>
        <w:jc w:val="both"/>
        <w:rPr>
          <w:b/>
          <w:i/>
        </w:rPr>
      </w:pPr>
      <w:r w:rsidRPr="007F1C63">
        <w:rPr>
          <w:i/>
        </w:rPr>
        <w:t xml:space="preserve">ŠPECIFICKÝ CIEĽ </w:t>
      </w:r>
      <w:r w:rsidR="002D5849">
        <w:rPr>
          <w:i/>
        </w:rPr>
        <w:t>7</w:t>
      </w:r>
      <w:r w:rsidRPr="007F1C63">
        <w:rPr>
          <w:i/>
        </w:rPr>
        <w:t xml:space="preserve">.1: </w:t>
      </w:r>
      <w:r w:rsidR="001218A8" w:rsidRPr="001218A8">
        <w:rPr>
          <w:b/>
          <w:i/>
        </w:rPr>
        <w:t>Zvýšenie pokrytia širokopásmovým internetom / NGN</w:t>
      </w:r>
    </w:p>
    <w:p w:rsidR="002D5849" w:rsidRPr="002D5849" w:rsidRDefault="001218A8" w:rsidP="002D5849">
      <w:pPr>
        <w:spacing w:before="180"/>
        <w:jc w:val="both"/>
        <w:rPr>
          <w:rFonts w:ascii="Arial Narrow" w:hAnsi="Arial Narrow"/>
          <w:b/>
          <w:i/>
          <w:color w:val="548DD4" w:themeColor="text2" w:themeTint="99"/>
          <w:sz w:val="22"/>
          <w:szCs w:val="22"/>
        </w:rPr>
      </w:pPr>
      <w:r w:rsidRPr="001218A8">
        <w:rPr>
          <w:rFonts w:ascii="Arial Narrow" w:hAnsi="Arial Narrow"/>
          <w:b/>
          <w:i/>
          <w:color w:val="548DD4" w:themeColor="text2" w:themeTint="99"/>
          <w:sz w:val="22"/>
          <w:szCs w:val="22"/>
        </w:rPr>
        <w:t>Opis východiskovej situácie</w:t>
      </w:r>
    </w:p>
    <w:p w:rsidR="002D5849" w:rsidRPr="002D5849" w:rsidRDefault="002D5849" w:rsidP="002D5849">
      <w:pPr>
        <w:spacing w:before="180"/>
        <w:jc w:val="both"/>
        <w:rPr>
          <w:sz w:val="22"/>
          <w:szCs w:val="22"/>
        </w:rPr>
      </w:pPr>
      <w:r w:rsidRPr="002D5849">
        <w:rPr>
          <w:sz w:val="22"/>
          <w:szCs w:val="22"/>
        </w:rPr>
        <w:t>Základným rámcom pre uvažovanie pri zavádzaní a používaní širokopásmového pripojenia je splnenie cieľa Digitálnej agendy pre Európu 100% pokrytia vysokorýchlostným internetom nad 30 Mbit/s a vytvorenie podmienok pre dosiahnutie cieľa v oblasti používania vysokorýchlostného internetu nad 100 Mbit/s. Cieľ 100Mbit/s nebude priamo podporený aktivitami v rámci tohto špecifického cieľa, keďže je reálny predpoklad, že jeho splnenie bude realizované telekomunikačnými operátormi pôsobiacimi na trhu. Oba ciele podporia inováciu v sieťových technológiách a ponuke nových služieb využívajúcich vysoké prenosové rýchlosti.</w:t>
      </w:r>
    </w:p>
    <w:p w:rsidR="002D5849" w:rsidRPr="002D5849" w:rsidRDefault="002D5849" w:rsidP="002D5849">
      <w:pPr>
        <w:spacing w:before="180"/>
        <w:jc w:val="both"/>
        <w:rPr>
          <w:sz w:val="22"/>
          <w:szCs w:val="22"/>
        </w:rPr>
      </w:pPr>
      <w:r w:rsidRPr="002D5849">
        <w:rPr>
          <w:sz w:val="22"/>
          <w:szCs w:val="22"/>
        </w:rPr>
        <w:t>Jednou z aktivít pre zabezpečenie pokrytia širokopásmovým internetom boli opatrenia prioritnej osi 3 Operačného programu Informatizácie spoločnosti (OPIS PO3) smerované na pokrývanie bielych a šedých miest. Opatrenia tejto prioritnej osi sa však nepodarilo úplne úspešne zrealizovať (iba v rozsahu prípravy projektovej dokumentácie</w:t>
      </w:r>
      <w:r w:rsidRPr="002D5849" w:rsidDel="00A81AC8">
        <w:rPr>
          <w:sz w:val="22"/>
          <w:szCs w:val="22"/>
        </w:rPr>
        <w:t xml:space="preserve"> </w:t>
      </w:r>
      <w:r w:rsidRPr="002D5849">
        <w:rPr>
          <w:sz w:val="22"/>
          <w:szCs w:val="22"/>
        </w:rPr>
        <w:t>). Zámerom preto ostáva realizovať tieto aktivity v období 2014 až 2020 spôsobom, pri ktorom bude aktualizovaná pôvodná požiadavka na pokrytie širokopásmovým pripojením s rýchlosťou minimálne 1 Mbit/s novou ambicióznejšou požiadavkou rýchlosti minimálne 30 Mbit/s podľa cieľov Digitálnej agendy pre Európu.</w:t>
      </w:r>
    </w:p>
    <w:p w:rsidR="002D5849" w:rsidRPr="002D5849" w:rsidRDefault="005F3C3E" w:rsidP="002D5849">
      <w:pPr>
        <w:spacing w:before="180"/>
        <w:jc w:val="both"/>
        <w:rPr>
          <w:sz w:val="22"/>
          <w:szCs w:val="22"/>
        </w:rPr>
      </w:pPr>
      <w:r>
        <w:rPr>
          <w:sz w:val="22"/>
          <w:szCs w:val="22"/>
        </w:rPr>
        <w:t>V tomto kontexte je potrebné</w:t>
      </w:r>
      <w:r w:rsidR="002D5849" w:rsidRPr="002D5849">
        <w:rPr>
          <w:sz w:val="22"/>
          <w:szCs w:val="22"/>
        </w:rPr>
        <w:t xml:space="preserve"> zamerať</w:t>
      </w:r>
      <w:r>
        <w:rPr>
          <w:sz w:val="22"/>
          <w:szCs w:val="22"/>
        </w:rPr>
        <w:t xml:space="preserve"> sa</w:t>
      </w:r>
      <w:r w:rsidR="002D5849" w:rsidRPr="002D5849">
        <w:rPr>
          <w:sz w:val="22"/>
          <w:szCs w:val="22"/>
        </w:rPr>
        <w:t xml:space="preserve"> na budovanie regionálnych sietí na báze optických káblov, ktoré zabezpečia prepojenie relatívne dobre rozvinutej chrbticovej siete s lokálnymi prístupovými sieťami. Prenosová kapacita týchto sietí by mala byť dostatočne široká, a to nie len pre zabezpečenie cieľov do roku 2020, ale tiež pre bezproblémové využívanie širokopásmového pripojenia v dlhom období. Len v obciach s veľmi nízkym počtom obyvateľov rádovo v desiatkach, ktoré sú veľmi od seba vzdialené, možno uvažovať s alternatívnym riešením rádioreleových spojov kvôli efektívnemu využitiu finančných zdrojov.</w:t>
      </w:r>
    </w:p>
    <w:p w:rsidR="002D5849" w:rsidRPr="002D5849" w:rsidRDefault="002D5849" w:rsidP="002D5849">
      <w:pPr>
        <w:spacing w:before="180"/>
        <w:jc w:val="both"/>
        <w:rPr>
          <w:sz w:val="22"/>
          <w:szCs w:val="22"/>
        </w:rPr>
      </w:pPr>
      <w:r w:rsidRPr="002D5849">
        <w:rPr>
          <w:sz w:val="22"/>
          <w:szCs w:val="22"/>
        </w:rPr>
        <w:lastRenderedPageBreak/>
        <w:t xml:space="preserve">Pre úplné splnenie cieľa širokopásmového pripojenia o rýchlosti minimálne 30 Mbit/s pre všetkých je vhodné sa pri štátnej podpore sústrediť na pokrývanie bielych miest, ktorými sú vidiecke a riedko osídlené oblasti bez dostupnosti takéhoto pripojenia za bežných cenových podmienok. Následnou prioritou sú šedé miesta, v ktorých už je širokopásmové pripojenie v súčasnosti poskytované, ale nie v dostatočne konkurenčnom prostredí alebo v uspokojivej kvalite. </w:t>
      </w:r>
    </w:p>
    <w:p w:rsidR="002D5849" w:rsidRPr="002D5849" w:rsidRDefault="002D5849" w:rsidP="002D5849">
      <w:pPr>
        <w:spacing w:before="180"/>
        <w:jc w:val="both"/>
        <w:rPr>
          <w:sz w:val="22"/>
          <w:szCs w:val="22"/>
        </w:rPr>
      </w:pPr>
      <w:r w:rsidRPr="002D5849">
        <w:rPr>
          <w:sz w:val="22"/>
          <w:szCs w:val="22"/>
        </w:rPr>
        <w:t>Voľba technologickej platformy pre budovanie regionálnych sietí bude založená na princípe technologickej neutrality, pričom budované siete musia byť schopné zabezpečiť potrebnú kapacitu a rýchlosť pre poskytovanie širokopásmových služieb koncovým zákazníkom. Regionálne siete budované z verejných zdrojov musia byť otvorené všetkým poskytovateľom širokopásmových služieb. Cieľom je motivovanie komerčných operátorov k dobudovaniu potrebných prístupových sietí.</w:t>
      </w:r>
    </w:p>
    <w:p w:rsidR="007F1C63" w:rsidRPr="007F1C63" w:rsidRDefault="007F1C63" w:rsidP="007F1C63">
      <w:pPr>
        <w:spacing w:before="180" w:after="120"/>
        <w:rPr>
          <w:rFonts w:ascii="Arial Narrow" w:hAnsi="Arial Narrow"/>
          <w:b/>
          <w:i/>
          <w:color w:val="548DD4" w:themeColor="text2" w:themeTint="99"/>
          <w:sz w:val="22"/>
          <w:szCs w:val="22"/>
        </w:rPr>
      </w:pPr>
      <w:r w:rsidRPr="007F1C63">
        <w:rPr>
          <w:rFonts w:ascii="Arial Narrow" w:hAnsi="Arial Narrow"/>
          <w:b/>
          <w:i/>
          <w:color w:val="548DD4" w:themeColor="text2" w:themeTint="99"/>
          <w:sz w:val="22"/>
          <w:szCs w:val="22"/>
        </w:rPr>
        <w:t>VÝSLEDKY</w:t>
      </w:r>
    </w:p>
    <w:p w:rsidR="00E92F9B" w:rsidRDefault="001218A8" w:rsidP="00FE6025">
      <w:pPr>
        <w:pStyle w:val="Odsekzoznamu"/>
        <w:numPr>
          <w:ilvl w:val="0"/>
          <w:numId w:val="28"/>
        </w:numPr>
        <w:autoSpaceDE w:val="0"/>
        <w:autoSpaceDN w:val="0"/>
        <w:adjustRightInd w:val="0"/>
        <w:jc w:val="both"/>
        <w:rPr>
          <w:snapToGrid w:val="0"/>
          <w:sz w:val="22"/>
          <w:szCs w:val="23"/>
          <w:lang w:eastAsia="cs-CZ"/>
        </w:rPr>
      </w:pPr>
      <w:r w:rsidRPr="001218A8">
        <w:rPr>
          <w:snapToGrid w:val="0"/>
          <w:sz w:val="22"/>
          <w:szCs w:val="23"/>
          <w:lang w:eastAsia="cs-CZ"/>
        </w:rPr>
        <w:t>Zvýšenie pokrytia všetkých domácností širokopásmovým pripojením s rýchlosťou minimálne 30 Mbit/s;</w:t>
      </w:r>
    </w:p>
    <w:p w:rsidR="00E92F9B" w:rsidRDefault="001218A8" w:rsidP="00FE6025">
      <w:pPr>
        <w:pStyle w:val="Odsekzoznamu"/>
        <w:numPr>
          <w:ilvl w:val="0"/>
          <w:numId w:val="28"/>
        </w:numPr>
        <w:autoSpaceDE w:val="0"/>
        <w:autoSpaceDN w:val="0"/>
        <w:adjustRightInd w:val="0"/>
        <w:jc w:val="both"/>
        <w:rPr>
          <w:snapToGrid w:val="0"/>
          <w:sz w:val="22"/>
          <w:szCs w:val="23"/>
          <w:lang w:eastAsia="cs-CZ"/>
        </w:rPr>
      </w:pPr>
      <w:r w:rsidRPr="001218A8">
        <w:rPr>
          <w:snapToGrid w:val="0"/>
          <w:sz w:val="22"/>
          <w:szCs w:val="23"/>
          <w:lang w:eastAsia="cs-CZ"/>
        </w:rPr>
        <w:t>Zvýšenie dopytu po širokopásmovom pripojení s rýchlosťou minimálne 30 Mbit/s, a to ako u občanov, tak aj u podnikateľov a verejných inštitúcií;</w:t>
      </w:r>
    </w:p>
    <w:p w:rsidR="00E92F9B" w:rsidRDefault="001218A8" w:rsidP="00FE6025">
      <w:pPr>
        <w:pStyle w:val="Odsekzoznamu"/>
        <w:numPr>
          <w:ilvl w:val="0"/>
          <w:numId w:val="28"/>
        </w:numPr>
        <w:autoSpaceDE w:val="0"/>
        <w:autoSpaceDN w:val="0"/>
        <w:adjustRightInd w:val="0"/>
        <w:jc w:val="both"/>
        <w:rPr>
          <w:snapToGrid w:val="0"/>
          <w:sz w:val="22"/>
          <w:szCs w:val="23"/>
          <w:lang w:eastAsia="cs-CZ"/>
        </w:rPr>
      </w:pPr>
      <w:r w:rsidRPr="001218A8">
        <w:rPr>
          <w:snapToGrid w:val="0"/>
          <w:sz w:val="22"/>
          <w:szCs w:val="23"/>
          <w:lang w:eastAsia="cs-CZ"/>
        </w:rPr>
        <w:t>Zvýšenie nasadenia technologických inovácií v prístupových sieťach (LTE, FTTH a podobne);</w:t>
      </w:r>
    </w:p>
    <w:p w:rsidR="00E92F9B" w:rsidRDefault="001218A8" w:rsidP="00FE6025">
      <w:pPr>
        <w:pStyle w:val="Odsekzoznamu"/>
        <w:numPr>
          <w:ilvl w:val="0"/>
          <w:numId w:val="28"/>
        </w:numPr>
        <w:autoSpaceDE w:val="0"/>
        <w:autoSpaceDN w:val="0"/>
        <w:adjustRightInd w:val="0"/>
        <w:jc w:val="both"/>
        <w:rPr>
          <w:snapToGrid w:val="0"/>
          <w:sz w:val="22"/>
          <w:szCs w:val="23"/>
          <w:lang w:eastAsia="cs-CZ"/>
        </w:rPr>
      </w:pPr>
      <w:r w:rsidRPr="001218A8">
        <w:rPr>
          <w:snapToGrid w:val="0"/>
          <w:sz w:val="22"/>
          <w:szCs w:val="23"/>
          <w:lang w:eastAsia="cs-CZ"/>
        </w:rPr>
        <w:t>Zvýšenie HDP v oblasti informačných a komunikačných technológií;</w:t>
      </w:r>
    </w:p>
    <w:p w:rsidR="00E92F9B" w:rsidRDefault="001218A8" w:rsidP="00FE6025">
      <w:pPr>
        <w:pStyle w:val="Odsekzoznamu"/>
        <w:numPr>
          <w:ilvl w:val="0"/>
          <w:numId w:val="28"/>
        </w:numPr>
        <w:autoSpaceDE w:val="0"/>
        <w:autoSpaceDN w:val="0"/>
        <w:adjustRightInd w:val="0"/>
        <w:jc w:val="both"/>
        <w:rPr>
          <w:snapToGrid w:val="0"/>
          <w:sz w:val="22"/>
          <w:szCs w:val="23"/>
          <w:lang w:eastAsia="cs-CZ"/>
        </w:rPr>
      </w:pPr>
      <w:r w:rsidRPr="001218A8">
        <w:rPr>
          <w:snapToGrid w:val="0"/>
          <w:sz w:val="22"/>
          <w:szCs w:val="23"/>
          <w:lang w:eastAsia="cs-CZ"/>
        </w:rPr>
        <w:t>Zvýšenie rastu zamestnanosti v digitálnej ekonomike.</w:t>
      </w:r>
    </w:p>
    <w:p w:rsidR="00E92F9B" w:rsidRDefault="00BE1DDE">
      <w:pPr>
        <w:pStyle w:val="Tab"/>
      </w:pPr>
      <w:r>
        <w:t xml:space="preserve">Špecifické </w:t>
      </w:r>
      <w:r w:rsidR="007F1C63" w:rsidRPr="007F1C63">
        <w:t>ukazovatele</w:t>
      </w:r>
      <w:r>
        <w:t xml:space="preserve"> výsledkov programu</w:t>
      </w:r>
      <w:r w:rsidR="007F1C63" w:rsidRPr="007F1C63">
        <w:t xml:space="preserve"> zodpovedajúce špecifickému cieľu</w:t>
      </w:r>
      <w:r w:rsidR="00445E30">
        <w:t xml:space="preserve"> 7.1</w:t>
      </w:r>
    </w:p>
    <w:tbl>
      <w:tblPr>
        <w:tblStyle w:val="Mriekatabuky"/>
        <w:tblW w:w="9866" w:type="dxa"/>
        <w:tblLayout w:type="fixed"/>
        <w:tblLook w:val="04A0"/>
      </w:tblPr>
      <w:tblGrid>
        <w:gridCol w:w="556"/>
        <w:gridCol w:w="1834"/>
        <w:gridCol w:w="910"/>
        <w:gridCol w:w="994"/>
        <w:gridCol w:w="1330"/>
        <w:gridCol w:w="1301"/>
        <w:gridCol w:w="896"/>
        <w:gridCol w:w="854"/>
        <w:gridCol w:w="1191"/>
      </w:tblGrid>
      <w:tr w:rsidR="002D5849" w:rsidRPr="00B02869" w:rsidTr="00B80F3A">
        <w:trPr>
          <w:trHeight w:val="454"/>
        </w:trPr>
        <w:tc>
          <w:tcPr>
            <w:tcW w:w="556" w:type="dxa"/>
            <w:shd w:val="clear" w:color="auto" w:fill="C6D9F1" w:themeFill="text2" w:themeFillTint="33"/>
            <w:vAlign w:val="center"/>
          </w:tcPr>
          <w:p w:rsidR="002D5849" w:rsidRPr="002D5849" w:rsidRDefault="00BE1DDE" w:rsidP="00D90E59">
            <w:pPr>
              <w:ind w:left="0"/>
              <w:rPr>
                <w:b/>
                <w:sz w:val="18"/>
                <w:szCs w:val="18"/>
              </w:rPr>
            </w:pPr>
            <w:r>
              <w:rPr>
                <w:b/>
                <w:sz w:val="18"/>
                <w:szCs w:val="18"/>
              </w:rPr>
              <w:t>P.</w:t>
            </w:r>
            <w:r w:rsidR="000767A2">
              <w:rPr>
                <w:b/>
                <w:sz w:val="18"/>
                <w:szCs w:val="18"/>
              </w:rPr>
              <w:t xml:space="preserve"> </w:t>
            </w:r>
            <w:r>
              <w:rPr>
                <w:b/>
                <w:sz w:val="18"/>
                <w:szCs w:val="18"/>
              </w:rPr>
              <w:t>č.</w:t>
            </w:r>
          </w:p>
        </w:tc>
        <w:tc>
          <w:tcPr>
            <w:tcW w:w="1834" w:type="dxa"/>
            <w:shd w:val="clear" w:color="auto" w:fill="C6D9F1" w:themeFill="text2" w:themeFillTint="33"/>
            <w:vAlign w:val="center"/>
          </w:tcPr>
          <w:p w:rsidR="002D5849" w:rsidRPr="002D5849" w:rsidRDefault="001218A8" w:rsidP="00B80F3A">
            <w:pPr>
              <w:ind w:left="0"/>
              <w:rPr>
                <w:b/>
                <w:sz w:val="18"/>
                <w:szCs w:val="18"/>
              </w:rPr>
            </w:pPr>
            <w:r w:rsidRPr="001218A8">
              <w:rPr>
                <w:b/>
                <w:sz w:val="18"/>
                <w:szCs w:val="18"/>
              </w:rPr>
              <w:t>Ukazovateľ</w:t>
            </w:r>
          </w:p>
        </w:tc>
        <w:tc>
          <w:tcPr>
            <w:tcW w:w="910" w:type="dxa"/>
            <w:shd w:val="clear" w:color="auto" w:fill="C6D9F1" w:themeFill="text2" w:themeFillTint="33"/>
            <w:vAlign w:val="center"/>
          </w:tcPr>
          <w:p w:rsidR="002D5849" w:rsidRPr="002D5849" w:rsidRDefault="001218A8" w:rsidP="00B80F3A">
            <w:pPr>
              <w:ind w:left="0"/>
              <w:jc w:val="center"/>
              <w:rPr>
                <w:b/>
                <w:sz w:val="18"/>
                <w:szCs w:val="18"/>
              </w:rPr>
            </w:pPr>
            <w:r w:rsidRPr="001218A8">
              <w:rPr>
                <w:b/>
                <w:sz w:val="18"/>
                <w:szCs w:val="18"/>
              </w:rPr>
              <w:t>Merná jednotka</w:t>
            </w:r>
          </w:p>
        </w:tc>
        <w:tc>
          <w:tcPr>
            <w:tcW w:w="994" w:type="dxa"/>
            <w:shd w:val="clear" w:color="auto" w:fill="C6D9F1" w:themeFill="text2" w:themeFillTint="33"/>
            <w:vAlign w:val="center"/>
          </w:tcPr>
          <w:p w:rsidR="002D5849" w:rsidRPr="002D5849" w:rsidRDefault="001218A8" w:rsidP="00B80F3A">
            <w:pPr>
              <w:ind w:left="0"/>
              <w:jc w:val="center"/>
              <w:rPr>
                <w:b/>
                <w:sz w:val="18"/>
                <w:szCs w:val="18"/>
                <w:highlight w:val="yellow"/>
              </w:rPr>
            </w:pPr>
            <w:r w:rsidRPr="001218A8">
              <w:rPr>
                <w:b/>
                <w:sz w:val="18"/>
                <w:szCs w:val="18"/>
              </w:rPr>
              <w:t>Kategória regiónu</w:t>
            </w:r>
          </w:p>
        </w:tc>
        <w:tc>
          <w:tcPr>
            <w:tcW w:w="1330" w:type="dxa"/>
            <w:shd w:val="clear" w:color="auto" w:fill="C6D9F1" w:themeFill="text2" w:themeFillTint="33"/>
            <w:vAlign w:val="center"/>
          </w:tcPr>
          <w:p w:rsidR="002D5849" w:rsidRPr="002D5849" w:rsidRDefault="001218A8" w:rsidP="00B80F3A">
            <w:pPr>
              <w:ind w:left="0"/>
              <w:jc w:val="center"/>
              <w:rPr>
                <w:b/>
                <w:sz w:val="18"/>
                <w:szCs w:val="18"/>
              </w:rPr>
            </w:pPr>
            <w:r w:rsidRPr="001218A8">
              <w:rPr>
                <w:b/>
                <w:sz w:val="18"/>
                <w:szCs w:val="18"/>
              </w:rPr>
              <w:t>Východisková hodnota</w:t>
            </w:r>
          </w:p>
        </w:tc>
        <w:tc>
          <w:tcPr>
            <w:tcW w:w="1301" w:type="dxa"/>
            <w:shd w:val="clear" w:color="auto" w:fill="C6D9F1" w:themeFill="text2" w:themeFillTint="33"/>
            <w:vAlign w:val="center"/>
          </w:tcPr>
          <w:p w:rsidR="002D5849" w:rsidRPr="002D5849" w:rsidRDefault="001218A8" w:rsidP="00B80F3A">
            <w:pPr>
              <w:ind w:left="0"/>
              <w:jc w:val="center"/>
              <w:rPr>
                <w:b/>
                <w:sz w:val="18"/>
                <w:szCs w:val="18"/>
              </w:rPr>
            </w:pPr>
            <w:r w:rsidRPr="001218A8">
              <w:rPr>
                <w:b/>
                <w:sz w:val="18"/>
                <w:szCs w:val="18"/>
              </w:rPr>
              <w:t>Východiskový rok</w:t>
            </w:r>
          </w:p>
        </w:tc>
        <w:tc>
          <w:tcPr>
            <w:tcW w:w="896" w:type="dxa"/>
            <w:shd w:val="clear" w:color="auto" w:fill="C6D9F1" w:themeFill="text2" w:themeFillTint="33"/>
            <w:vAlign w:val="center"/>
          </w:tcPr>
          <w:p w:rsidR="002D5849" w:rsidRDefault="001218A8" w:rsidP="00B80F3A">
            <w:pPr>
              <w:ind w:left="0"/>
              <w:jc w:val="center"/>
              <w:rPr>
                <w:b/>
                <w:sz w:val="18"/>
                <w:szCs w:val="18"/>
              </w:rPr>
            </w:pPr>
            <w:r w:rsidRPr="001218A8">
              <w:rPr>
                <w:b/>
                <w:sz w:val="18"/>
                <w:szCs w:val="18"/>
              </w:rPr>
              <w:t>Cieľová hodnota</w:t>
            </w:r>
          </w:p>
          <w:p w:rsidR="002D5849" w:rsidRPr="002D5849" w:rsidRDefault="002D5849" w:rsidP="00B80F3A">
            <w:pPr>
              <w:ind w:left="0"/>
              <w:jc w:val="center"/>
              <w:rPr>
                <w:b/>
                <w:sz w:val="18"/>
                <w:szCs w:val="18"/>
              </w:rPr>
            </w:pPr>
            <w:r>
              <w:rPr>
                <w:b/>
                <w:sz w:val="18"/>
                <w:szCs w:val="18"/>
              </w:rPr>
              <w:t>(2023)</w:t>
            </w:r>
          </w:p>
        </w:tc>
        <w:tc>
          <w:tcPr>
            <w:tcW w:w="854" w:type="dxa"/>
            <w:shd w:val="clear" w:color="auto" w:fill="C6D9F1" w:themeFill="text2" w:themeFillTint="33"/>
            <w:vAlign w:val="center"/>
          </w:tcPr>
          <w:p w:rsidR="002D5849" w:rsidRPr="002D5849" w:rsidRDefault="001218A8" w:rsidP="00B80F3A">
            <w:pPr>
              <w:ind w:left="0"/>
              <w:jc w:val="center"/>
              <w:rPr>
                <w:b/>
                <w:sz w:val="18"/>
                <w:szCs w:val="18"/>
              </w:rPr>
            </w:pPr>
            <w:r w:rsidRPr="001218A8">
              <w:rPr>
                <w:b/>
                <w:sz w:val="18"/>
                <w:szCs w:val="18"/>
              </w:rPr>
              <w:t>Zdroj údajov</w:t>
            </w:r>
          </w:p>
        </w:tc>
        <w:tc>
          <w:tcPr>
            <w:tcW w:w="1191" w:type="dxa"/>
            <w:shd w:val="clear" w:color="auto" w:fill="C6D9F1" w:themeFill="text2" w:themeFillTint="33"/>
            <w:vAlign w:val="center"/>
          </w:tcPr>
          <w:p w:rsidR="002D5849" w:rsidRPr="002D5849" w:rsidRDefault="002D5849" w:rsidP="00B80F3A">
            <w:pPr>
              <w:ind w:left="0"/>
              <w:jc w:val="center"/>
              <w:rPr>
                <w:b/>
                <w:sz w:val="18"/>
                <w:szCs w:val="18"/>
              </w:rPr>
            </w:pPr>
            <w:r>
              <w:rPr>
                <w:b/>
                <w:sz w:val="18"/>
                <w:szCs w:val="18"/>
              </w:rPr>
              <w:t>Frekvencia</w:t>
            </w:r>
            <w:r w:rsidR="001218A8" w:rsidRPr="001218A8">
              <w:rPr>
                <w:b/>
                <w:sz w:val="18"/>
                <w:szCs w:val="18"/>
              </w:rPr>
              <w:t xml:space="preserve"> vykazovania</w:t>
            </w:r>
          </w:p>
        </w:tc>
      </w:tr>
      <w:tr w:rsidR="002D5849" w:rsidRPr="00B02869" w:rsidTr="00B80F3A">
        <w:trPr>
          <w:trHeight w:val="340"/>
        </w:trPr>
        <w:tc>
          <w:tcPr>
            <w:tcW w:w="556" w:type="dxa"/>
            <w:vAlign w:val="center"/>
          </w:tcPr>
          <w:p w:rsidR="002D5849" w:rsidRPr="00B02869" w:rsidRDefault="002D5849" w:rsidP="00B80F3A">
            <w:pPr>
              <w:ind w:left="0"/>
              <w:rPr>
                <w:sz w:val="18"/>
                <w:szCs w:val="18"/>
              </w:rPr>
            </w:pPr>
            <w:r w:rsidRPr="00B02869">
              <w:rPr>
                <w:sz w:val="18"/>
                <w:szCs w:val="18"/>
              </w:rPr>
              <w:t>1.</w:t>
            </w:r>
          </w:p>
        </w:tc>
        <w:tc>
          <w:tcPr>
            <w:tcW w:w="1834" w:type="dxa"/>
            <w:vAlign w:val="center"/>
          </w:tcPr>
          <w:p w:rsidR="002D5849" w:rsidRPr="00D46C46" w:rsidRDefault="002D5849" w:rsidP="00B80F3A">
            <w:pPr>
              <w:pStyle w:val="18Textvtabulke"/>
              <w:ind w:left="0"/>
            </w:pPr>
            <w:r w:rsidRPr="00F22395">
              <w:t>Percento populácie využívajúce mobiln</w:t>
            </w:r>
            <w:r>
              <w:t xml:space="preserve">é </w:t>
            </w:r>
            <w:r w:rsidRPr="00BA6FCB">
              <w:t>širokopásmov</w:t>
            </w:r>
            <w:r>
              <w:t>é</w:t>
            </w:r>
            <w:r w:rsidRPr="00D46C46">
              <w:t xml:space="preserve"> </w:t>
            </w:r>
            <w:r>
              <w:t>pripojenie na</w:t>
            </w:r>
            <w:r w:rsidRPr="00D46C46">
              <w:t xml:space="preserve"> internet</w:t>
            </w:r>
          </w:p>
        </w:tc>
        <w:tc>
          <w:tcPr>
            <w:tcW w:w="910" w:type="dxa"/>
            <w:vAlign w:val="center"/>
          </w:tcPr>
          <w:p w:rsidR="002D5849" w:rsidRPr="00D46C46" w:rsidRDefault="002D5849" w:rsidP="00B80F3A">
            <w:pPr>
              <w:ind w:left="0"/>
              <w:jc w:val="center"/>
              <w:rPr>
                <w:sz w:val="18"/>
                <w:szCs w:val="18"/>
              </w:rPr>
            </w:pPr>
            <w:r w:rsidRPr="00D46C46">
              <w:rPr>
                <w:sz w:val="18"/>
                <w:szCs w:val="18"/>
              </w:rPr>
              <w:t>%</w:t>
            </w:r>
          </w:p>
        </w:tc>
        <w:tc>
          <w:tcPr>
            <w:tcW w:w="994" w:type="dxa"/>
            <w:vAlign w:val="center"/>
          </w:tcPr>
          <w:p w:rsidR="002D5849" w:rsidRPr="00F22395" w:rsidRDefault="002D5849" w:rsidP="00B80F3A">
            <w:pPr>
              <w:ind w:left="0"/>
              <w:jc w:val="center"/>
              <w:rPr>
                <w:sz w:val="18"/>
                <w:szCs w:val="18"/>
              </w:rPr>
            </w:pPr>
            <w:r w:rsidRPr="006B6BE8">
              <w:rPr>
                <w:sz w:val="18"/>
                <w:szCs w:val="18"/>
              </w:rPr>
              <w:t>Menej rozvinuté regióny</w:t>
            </w:r>
          </w:p>
        </w:tc>
        <w:tc>
          <w:tcPr>
            <w:tcW w:w="1330" w:type="dxa"/>
            <w:vAlign w:val="center"/>
          </w:tcPr>
          <w:p w:rsidR="002D5849" w:rsidRPr="00D46C46" w:rsidRDefault="002D5849" w:rsidP="00B80F3A">
            <w:pPr>
              <w:ind w:left="0"/>
              <w:jc w:val="center"/>
              <w:rPr>
                <w:sz w:val="18"/>
                <w:szCs w:val="18"/>
              </w:rPr>
            </w:pPr>
            <w:r w:rsidRPr="00BA6FCB">
              <w:rPr>
                <w:sz w:val="18"/>
                <w:szCs w:val="18"/>
              </w:rPr>
              <w:t>6</w:t>
            </w:r>
            <w:r w:rsidRPr="00D46C46">
              <w:rPr>
                <w:sz w:val="18"/>
                <w:szCs w:val="18"/>
              </w:rPr>
              <w:t>,4</w:t>
            </w:r>
          </w:p>
        </w:tc>
        <w:tc>
          <w:tcPr>
            <w:tcW w:w="1301" w:type="dxa"/>
            <w:vAlign w:val="center"/>
          </w:tcPr>
          <w:p w:rsidR="002D5849" w:rsidRPr="00D46C46" w:rsidRDefault="002D5849" w:rsidP="00B80F3A">
            <w:pPr>
              <w:ind w:left="0"/>
              <w:jc w:val="center"/>
              <w:rPr>
                <w:sz w:val="18"/>
                <w:szCs w:val="18"/>
              </w:rPr>
            </w:pPr>
            <w:r w:rsidRPr="00D46C46">
              <w:rPr>
                <w:sz w:val="18"/>
                <w:szCs w:val="18"/>
              </w:rPr>
              <w:t>2012</w:t>
            </w:r>
          </w:p>
        </w:tc>
        <w:tc>
          <w:tcPr>
            <w:tcW w:w="896" w:type="dxa"/>
            <w:vAlign w:val="center"/>
          </w:tcPr>
          <w:p w:rsidR="002D5849" w:rsidRPr="00D46C46" w:rsidRDefault="002D5849" w:rsidP="00B80F3A">
            <w:pPr>
              <w:ind w:left="0"/>
              <w:jc w:val="center"/>
              <w:rPr>
                <w:sz w:val="18"/>
                <w:szCs w:val="18"/>
              </w:rPr>
            </w:pPr>
            <w:r w:rsidRPr="00D46C46">
              <w:rPr>
                <w:sz w:val="18"/>
                <w:szCs w:val="18"/>
              </w:rPr>
              <w:t>48</w:t>
            </w:r>
          </w:p>
        </w:tc>
        <w:tc>
          <w:tcPr>
            <w:tcW w:w="854" w:type="dxa"/>
            <w:vAlign w:val="center"/>
          </w:tcPr>
          <w:p w:rsidR="002D5849" w:rsidRPr="00D46C46" w:rsidRDefault="002D5849" w:rsidP="00B80F3A">
            <w:pPr>
              <w:ind w:left="0"/>
              <w:jc w:val="center"/>
              <w:rPr>
                <w:sz w:val="18"/>
                <w:szCs w:val="18"/>
              </w:rPr>
            </w:pPr>
            <w:r>
              <w:rPr>
                <w:sz w:val="18"/>
                <w:szCs w:val="18"/>
              </w:rPr>
              <w:t>Eurostat</w:t>
            </w:r>
          </w:p>
        </w:tc>
        <w:tc>
          <w:tcPr>
            <w:tcW w:w="1191" w:type="dxa"/>
            <w:vAlign w:val="center"/>
          </w:tcPr>
          <w:p w:rsidR="002D5849" w:rsidRPr="00D46C46" w:rsidRDefault="002D5849" w:rsidP="00B80F3A">
            <w:pPr>
              <w:ind w:left="0"/>
              <w:jc w:val="center"/>
              <w:rPr>
                <w:sz w:val="18"/>
                <w:szCs w:val="18"/>
              </w:rPr>
            </w:pPr>
            <w:r w:rsidRPr="00D46C46">
              <w:rPr>
                <w:sz w:val="18"/>
                <w:szCs w:val="18"/>
              </w:rPr>
              <w:t>Ročne</w:t>
            </w:r>
          </w:p>
        </w:tc>
      </w:tr>
      <w:tr w:rsidR="002D5849" w:rsidRPr="00B02869" w:rsidTr="00B80F3A">
        <w:trPr>
          <w:trHeight w:val="340"/>
        </w:trPr>
        <w:tc>
          <w:tcPr>
            <w:tcW w:w="556" w:type="dxa"/>
            <w:vAlign w:val="center"/>
          </w:tcPr>
          <w:p w:rsidR="002D5849" w:rsidRPr="00B02869" w:rsidRDefault="002D5849" w:rsidP="00B80F3A">
            <w:pPr>
              <w:ind w:left="0"/>
              <w:rPr>
                <w:sz w:val="18"/>
                <w:szCs w:val="18"/>
              </w:rPr>
            </w:pPr>
            <w:r w:rsidRPr="00B02869">
              <w:rPr>
                <w:sz w:val="18"/>
                <w:szCs w:val="18"/>
              </w:rPr>
              <w:t>2</w:t>
            </w:r>
          </w:p>
        </w:tc>
        <w:tc>
          <w:tcPr>
            <w:tcW w:w="1834" w:type="dxa"/>
            <w:vAlign w:val="center"/>
          </w:tcPr>
          <w:p w:rsidR="002D5849" w:rsidRPr="00D46C46" w:rsidRDefault="002D5849" w:rsidP="00B80F3A">
            <w:pPr>
              <w:pStyle w:val="18Textvtabulke"/>
              <w:ind w:left="0"/>
            </w:pPr>
            <w:r w:rsidRPr="00F22395">
              <w:t>Percento populácie využívajúce</w:t>
            </w:r>
            <w:r w:rsidRPr="00BA6FCB">
              <w:t xml:space="preserve"> širokopásmový</w:t>
            </w:r>
            <w:r w:rsidRPr="00D46C46">
              <w:t xml:space="preserve"> internet pravidelne</w:t>
            </w:r>
          </w:p>
        </w:tc>
        <w:tc>
          <w:tcPr>
            <w:tcW w:w="910" w:type="dxa"/>
            <w:vAlign w:val="center"/>
          </w:tcPr>
          <w:p w:rsidR="002D5849" w:rsidRPr="00D46C46" w:rsidRDefault="002D5849" w:rsidP="00B80F3A">
            <w:pPr>
              <w:ind w:left="0"/>
              <w:jc w:val="center"/>
              <w:rPr>
                <w:sz w:val="18"/>
                <w:szCs w:val="18"/>
              </w:rPr>
            </w:pPr>
            <w:r w:rsidRPr="00D46C46">
              <w:rPr>
                <w:sz w:val="18"/>
                <w:szCs w:val="18"/>
              </w:rPr>
              <w:t>%</w:t>
            </w:r>
          </w:p>
        </w:tc>
        <w:tc>
          <w:tcPr>
            <w:tcW w:w="994" w:type="dxa"/>
            <w:vAlign w:val="center"/>
          </w:tcPr>
          <w:p w:rsidR="002D5849" w:rsidRPr="00F22395" w:rsidRDefault="002D5849" w:rsidP="00B80F3A">
            <w:pPr>
              <w:ind w:left="0"/>
              <w:jc w:val="center"/>
              <w:rPr>
                <w:sz w:val="18"/>
                <w:szCs w:val="18"/>
              </w:rPr>
            </w:pPr>
            <w:r w:rsidRPr="006B6BE8">
              <w:rPr>
                <w:sz w:val="18"/>
                <w:szCs w:val="18"/>
              </w:rPr>
              <w:t>Menej rozvinuté regióny</w:t>
            </w:r>
          </w:p>
        </w:tc>
        <w:tc>
          <w:tcPr>
            <w:tcW w:w="1330" w:type="dxa"/>
            <w:vAlign w:val="center"/>
          </w:tcPr>
          <w:p w:rsidR="002D5849" w:rsidRPr="00D46C46" w:rsidRDefault="002D5849" w:rsidP="00B80F3A">
            <w:pPr>
              <w:ind w:left="0"/>
              <w:jc w:val="center"/>
              <w:rPr>
                <w:sz w:val="18"/>
                <w:szCs w:val="18"/>
              </w:rPr>
            </w:pPr>
            <w:r w:rsidRPr="00BA6FCB">
              <w:rPr>
                <w:sz w:val="18"/>
                <w:szCs w:val="18"/>
              </w:rPr>
              <w:t>7</w:t>
            </w:r>
            <w:r w:rsidRPr="00D46C46">
              <w:rPr>
                <w:sz w:val="18"/>
                <w:szCs w:val="18"/>
              </w:rPr>
              <w:t>4</w:t>
            </w:r>
          </w:p>
        </w:tc>
        <w:tc>
          <w:tcPr>
            <w:tcW w:w="1301" w:type="dxa"/>
            <w:vAlign w:val="center"/>
          </w:tcPr>
          <w:p w:rsidR="002D5849" w:rsidRPr="00D46C46" w:rsidRDefault="002D5849" w:rsidP="00B80F3A">
            <w:pPr>
              <w:ind w:left="0"/>
              <w:jc w:val="center"/>
              <w:rPr>
                <w:sz w:val="18"/>
                <w:szCs w:val="18"/>
              </w:rPr>
            </w:pPr>
            <w:r w:rsidRPr="00D46C46">
              <w:rPr>
                <w:sz w:val="18"/>
                <w:szCs w:val="18"/>
              </w:rPr>
              <w:t>2012</w:t>
            </w:r>
          </w:p>
        </w:tc>
        <w:tc>
          <w:tcPr>
            <w:tcW w:w="896" w:type="dxa"/>
            <w:vAlign w:val="center"/>
          </w:tcPr>
          <w:p w:rsidR="002D5849" w:rsidRPr="00D46C46" w:rsidRDefault="002D5849" w:rsidP="00B80F3A">
            <w:pPr>
              <w:ind w:left="0"/>
              <w:jc w:val="center"/>
              <w:rPr>
                <w:sz w:val="18"/>
                <w:szCs w:val="18"/>
              </w:rPr>
            </w:pPr>
            <w:r w:rsidRPr="00D46C46">
              <w:rPr>
                <w:sz w:val="18"/>
                <w:szCs w:val="18"/>
              </w:rPr>
              <w:t>90</w:t>
            </w:r>
          </w:p>
        </w:tc>
        <w:tc>
          <w:tcPr>
            <w:tcW w:w="854" w:type="dxa"/>
            <w:vAlign w:val="center"/>
          </w:tcPr>
          <w:p w:rsidR="002D5849" w:rsidRPr="00D46C46" w:rsidRDefault="002D5849" w:rsidP="00B80F3A">
            <w:pPr>
              <w:ind w:left="0"/>
              <w:jc w:val="center"/>
              <w:rPr>
                <w:sz w:val="18"/>
                <w:szCs w:val="18"/>
              </w:rPr>
            </w:pPr>
            <w:r>
              <w:rPr>
                <w:sz w:val="18"/>
                <w:szCs w:val="18"/>
              </w:rPr>
              <w:t>Eurostat</w:t>
            </w:r>
          </w:p>
        </w:tc>
        <w:tc>
          <w:tcPr>
            <w:tcW w:w="1191" w:type="dxa"/>
            <w:vAlign w:val="center"/>
          </w:tcPr>
          <w:p w:rsidR="002D5849" w:rsidRPr="00D46C46" w:rsidRDefault="002D5849" w:rsidP="00B80F3A">
            <w:pPr>
              <w:ind w:left="0"/>
              <w:jc w:val="center"/>
              <w:rPr>
                <w:sz w:val="18"/>
                <w:szCs w:val="18"/>
              </w:rPr>
            </w:pPr>
            <w:r w:rsidRPr="00D46C46">
              <w:rPr>
                <w:sz w:val="18"/>
                <w:szCs w:val="18"/>
              </w:rPr>
              <w:t>Ročne</w:t>
            </w:r>
          </w:p>
        </w:tc>
      </w:tr>
    </w:tbl>
    <w:p w:rsidR="007F1C63" w:rsidRPr="007F1C63" w:rsidRDefault="00AF27FE" w:rsidP="000767A2">
      <w:pPr>
        <w:pStyle w:val="Nadpis3"/>
      </w:pPr>
      <w:bookmarkStart w:id="76" w:name="_Toc385310725"/>
      <w:r>
        <w:t>A</w:t>
      </w:r>
      <w:r w:rsidR="007F1C63" w:rsidRPr="007F1C63">
        <w:t>ktivity</w:t>
      </w:r>
      <w:r>
        <w:t>, ktoré budú podporené v rámci investičnej priority</w:t>
      </w:r>
      <w:bookmarkEnd w:id="76"/>
    </w:p>
    <w:p w:rsidR="007F1C63" w:rsidRPr="007F1C63" w:rsidRDefault="007F1C63" w:rsidP="007F1C63">
      <w:pPr>
        <w:keepNext/>
        <w:numPr>
          <w:ilvl w:val="3"/>
          <w:numId w:val="18"/>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Opis typu a príklady aktivít</w:t>
      </w:r>
    </w:p>
    <w:p w:rsidR="007F1C63" w:rsidRPr="007F1C63" w:rsidRDefault="007F1C63" w:rsidP="007F1C63">
      <w:pPr>
        <w:spacing w:before="180" w:after="120"/>
        <w:rPr>
          <w:sz w:val="22"/>
          <w:szCs w:val="22"/>
        </w:rPr>
      </w:pPr>
      <w:r w:rsidRPr="007F1C63">
        <w:rPr>
          <w:sz w:val="22"/>
          <w:szCs w:val="22"/>
          <w:u w:val="single"/>
        </w:rPr>
        <w:t xml:space="preserve">Investičná priorita </w:t>
      </w:r>
      <w:r w:rsidR="003D7DC3">
        <w:rPr>
          <w:sz w:val="22"/>
          <w:szCs w:val="22"/>
          <w:u w:val="single"/>
        </w:rPr>
        <w:t>2</w:t>
      </w:r>
      <w:r w:rsidRPr="007F1C63">
        <w:rPr>
          <w:sz w:val="22"/>
          <w:szCs w:val="22"/>
          <w:u w:val="single"/>
        </w:rPr>
        <w:t>a) bude napĺňaná prostredníctvom nasledujúcich aktivít</w:t>
      </w:r>
      <w:r w:rsidRPr="007F1C63">
        <w:rPr>
          <w:sz w:val="22"/>
          <w:szCs w:val="22"/>
        </w:rPr>
        <w:t>:</w:t>
      </w:r>
    </w:p>
    <w:p w:rsidR="003D7DC3" w:rsidRPr="003D7DC3" w:rsidRDefault="003D7DC3" w:rsidP="00FE6025">
      <w:pPr>
        <w:pStyle w:val="Odsekzoznamu"/>
        <w:numPr>
          <w:ilvl w:val="2"/>
          <w:numId w:val="59"/>
        </w:numPr>
        <w:jc w:val="both"/>
        <w:rPr>
          <w:sz w:val="22"/>
          <w:szCs w:val="22"/>
        </w:rPr>
      </w:pPr>
      <w:r w:rsidRPr="003D7DC3">
        <w:rPr>
          <w:sz w:val="22"/>
          <w:szCs w:val="22"/>
        </w:rPr>
        <w:t>Koordinácia budovania širokopásmových sietí:</w:t>
      </w:r>
    </w:p>
    <w:p w:rsidR="00E92F9B" w:rsidRDefault="001218A8">
      <w:pPr>
        <w:ind w:firstLine="360"/>
        <w:jc w:val="both"/>
        <w:rPr>
          <w:sz w:val="22"/>
          <w:szCs w:val="22"/>
        </w:rPr>
      </w:pPr>
      <w:r w:rsidRPr="001218A8">
        <w:rPr>
          <w:sz w:val="22"/>
          <w:szCs w:val="22"/>
        </w:rPr>
        <w:t>- Analytické práce pre riešenie širokopásmového pripojenia;</w:t>
      </w:r>
    </w:p>
    <w:p w:rsidR="00E92F9B" w:rsidRDefault="001218A8">
      <w:pPr>
        <w:ind w:firstLine="360"/>
        <w:jc w:val="both"/>
        <w:rPr>
          <w:sz w:val="22"/>
          <w:szCs w:val="22"/>
        </w:rPr>
      </w:pPr>
      <w:r w:rsidRPr="001218A8">
        <w:rPr>
          <w:sz w:val="22"/>
          <w:szCs w:val="22"/>
        </w:rPr>
        <w:t>- Vytvorenie atlasu pasívnej infraštruktúry</w:t>
      </w:r>
      <w:r w:rsidR="00AF27FE">
        <w:rPr>
          <w:sz w:val="22"/>
          <w:szCs w:val="22"/>
        </w:rPr>
        <w:t>.</w:t>
      </w:r>
    </w:p>
    <w:p w:rsidR="003D7DC3" w:rsidRPr="003D7DC3" w:rsidRDefault="003D7DC3" w:rsidP="00FE6025">
      <w:pPr>
        <w:numPr>
          <w:ilvl w:val="2"/>
          <w:numId w:val="59"/>
        </w:numPr>
        <w:jc w:val="both"/>
        <w:rPr>
          <w:sz w:val="22"/>
          <w:szCs w:val="22"/>
        </w:rPr>
      </w:pPr>
      <w:r w:rsidRPr="003D7DC3">
        <w:rPr>
          <w:sz w:val="22"/>
          <w:szCs w:val="22"/>
        </w:rPr>
        <w:t>Budovanie regionálnych sietí otvorených pre všetkých operátorov s technologickou neutralitou s ohľadom na cieľ 100 percentného pokrytia 30 Mbit/s:</w:t>
      </w:r>
    </w:p>
    <w:p w:rsidR="00E92F9B" w:rsidRDefault="001218A8" w:rsidP="00FE6025">
      <w:pPr>
        <w:pStyle w:val="Odsekzoznamu"/>
        <w:numPr>
          <w:ilvl w:val="0"/>
          <w:numId w:val="28"/>
        </w:numPr>
        <w:jc w:val="both"/>
        <w:rPr>
          <w:sz w:val="22"/>
          <w:szCs w:val="22"/>
        </w:rPr>
      </w:pPr>
      <w:r w:rsidRPr="001218A8">
        <w:rPr>
          <w:sz w:val="22"/>
          <w:szCs w:val="22"/>
        </w:rPr>
        <w:t>Výstavba národných optických regionálnych sietí;</w:t>
      </w:r>
    </w:p>
    <w:p w:rsidR="00E92F9B" w:rsidRDefault="001218A8" w:rsidP="00FE6025">
      <w:pPr>
        <w:pStyle w:val="Odsekzoznamu"/>
        <w:numPr>
          <w:ilvl w:val="0"/>
          <w:numId w:val="28"/>
        </w:numPr>
        <w:jc w:val="both"/>
        <w:rPr>
          <w:sz w:val="22"/>
          <w:szCs w:val="22"/>
        </w:rPr>
      </w:pPr>
      <w:r w:rsidRPr="001218A8">
        <w:rPr>
          <w:sz w:val="22"/>
          <w:szCs w:val="22"/>
        </w:rPr>
        <w:t>Výstavba národných regionálnych sietí založených na rádioreleových spojoch;</w:t>
      </w:r>
    </w:p>
    <w:p w:rsidR="00E92F9B" w:rsidRDefault="001218A8" w:rsidP="00FE6025">
      <w:pPr>
        <w:pStyle w:val="Odsekzoznamu"/>
        <w:numPr>
          <w:ilvl w:val="0"/>
          <w:numId w:val="28"/>
        </w:numPr>
        <w:jc w:val="both"/>
        <w:rPr>
          <w:sz w:val="22"/>
          <w:szCs w:val="22"/>
        </w:rPr>
      </w:pPr>
      <w:r w:rsidRPr="001218A8">
        <w:rPr>
          <w:sz w:val="22"/>
          <w:szCs w:val="22"/>
        </w:rPr>
        <w:t>Podpora zriaďovania prístupových sietí;</w:t>
      </w:r>
    </w:p>
    <w:p w:rsidR="00E92F9B" w:rsidRDefault="001218A8" w:rsidP="00FE6025">
      <w:pPr>
        <w:pStyle w:val="Odsekzoznamu"/>
        <w:numPr>
          <w:ilvl w:val="0"/>
          <w:numId w:val="28"/>
        </w:numPr>
        <w:jc w:val="both"/>
        <w:rPr>
          <w:sz w:val="22"/>
          <w:szCs w:val="22"/>
        </w:rPr>
      </w:pPr>
      <w:r w:rsidRPr="001218A8">
        <w:rPr>
          <w:sz w:val="22"/>
          <w:szCs w:val="22"/>
        </w:rPr>
        <w:t>Budovanie prístupových sietí v oblastiach zlyhania trhu.</w:t>
      </w:r>
    </w:p>
    <w:p w:rsidR="00E92F9B" w:rsidRDefault="00E92F9B">
      <w:pPr>
        <w:pStyle w:val="Odsekzoznamu"/>
        <w:jc w:val="both"/>
        <w:rPr>
          <w:sz w:val="22"/>
          <w:szCs w:val="22"/>
        </w:rPr>
      </w:pPr>
    </w:p>
    <w:p w:rsidR="00E92F9B" w:rsidRDefault="003D7DC3" w:rsidP="00FE6025">
      <w:pPr>
        <w:pStyle w:val="Odsekzoznamu"/>
        <w:numPr>
          <w:ilvl w:val="0"/>
          <w:numId w:val="63"/>
        </w:numPr>
        <w:spacing w:before="180" w:after="120"/>
        <w:jc w:val="both"/>
        <w:rPr>
          <w:b/>
          <w:i/>
          <w:color w:val="4F81BD" w:themeColor="accent1"/>
          <w:sz w:val="22"/>
          <w:szCs w:val="22"/>
        </w:rPr>
      </w:pPr>
      <w:r w:rsidRPr="003D7DC3">
        <w:rPr>
          <w:b/>
          <w:i/>
          <w:color w:val="4F81BD" w:themeColor="accent1"/>
          <w:sz w:val="22"/>
          <w:szCs w:val="22"/>
        </w:rPr>
        <w:t>Koordinácia budovania širokopásmových sietí</w:t>
      </w:r>
    </w:p>
    <w:p w:rsidR="001A1926" w:rsidRPr="0021226A" w:rsidRDefault="001A1926" w:rsidP="001A1926">
      <w:pPr>
        <w:spacing w:before="180" w:after="120"/>
        <w:jc w:val="both"/>
        <w:rPr>
          <w:sz w:val="22"/>
          <w:szCs w:val="22"/>
        </w:rPr>
      </w:pPr>
      <w:r w:rsidRPr="0021226A">
        <w:rPr>
          <w:sz w:val="22"/>
          <w:szCs w:val="22"/>
        </w:rPr>
        <w:t>Príprave projektovej dokumentácie budú predchádzať nasledujúce akti</w:t>
      </w:r>
      <w:r>
        <w:rPr>
          <w:sz w:val="22"/>
          <w:szCs w:val="22"/>
        </w:rPr>
        <w:t>vity, ktoré budú realizované MF </w:t>
      </w:r>
      <w:r w:rsidRPr="0021226A">
        <w:rPr>
          <w:sz w:val="22"/>
          <w:szCs w:val="22"/>
        </w:rPr>
        <w:t>SR v rámci technickej pomoci a sú nevyhnutné pre zavádzani</w:t>
      </w:r>
      <w:r>
        <w:rPr>
          <w:sz w:val="22"/>
          <w:szCs w:val="22"/>
        </w:rPr>
        <w:t>e širokopásmového pripojenia po </w:t>
      </w:r>
      <w:r w:rsidRPr="0021226A">
        <w:rPr>
          <w:sz w:val="22"/>
          <w:szCs w:val="22"/>
        </w:rPr>
        <w:t>ukončení platnosti notifikácie štátnej pomoci SA.33151:</w:t>
      </w:r>
    </w:p>
    <w:p w:rsidR="00E92F9B" w:rsidRDefault="001218A8" w:rsidP="00FE6025">
      <w:pPr>
        <w:pStyle w:val="Odsekzoznamu"/>
        <w:numPr>
          <w:ilvl w:val="0"/>
          <w:numId w:val="28"/>
        </w:numPr>
        <w:jc w:val="both"/>
        <w:rPr>
          <w:szCs w:val="22"/>
        </w:rPr>
      </w:pPr>
      <w:r w:rsidRPr="001218A8">
        <w:rPr>
          <w:sz w:val="22"/>
          <w:szCs w:val="22"/>
        </w:rPr>
        <w:t>príprava metodiky pre určovania bielych a šedých miest,</w:t>
      </w:r>
    </w:p>
    <w:p w:rsidR="00E92F9B" w:rsidRDefault="001218A8" w:rsidP="00FE6025">
      <w:pPr>
        <w:pStyle w:val="Odsekzoznamu"/>
        <w:numPr>
          <w:ilvl w:val="0"/>
          <w:numId w:val="28"/>
        </w:numPr>
        <w:jc w:val="both"/>
        <w:rPr>
          <w:szCs w:val="22"/>
        </w:rPr>
      </w:pPr>
      <w:r w:rsidRPr="001218A8">
        <w:rPr>
          <w:sz w:val="22"/>
          <w:szCs w:val="22"/>
        </w:rPr>
        <w:t>vytvorenie postupov, prípadne nástrojov na jednoduchú aktualizáciu bielych a šedých miest,</w:t>
      </w:r>
    </w:p>
    <w:p w:rsidR="00E92F9B" w:rsidRDefault="001218A8" w:rsidP="00FE6025">
      <w:pPr>
        <w:pStyle w:val="Odsekzoznamu"/>
        <w:numPr>
          <w:ilvl w:val="0"/>
          <w:numId w:val="28"/>
        </w:numPr>
        <w:jc w:val="both"/>
        <w:rPr>
          <w:szCs w:val="22"/>
        </w:rPr>
      </w:pPr>
      <w:r w:rsidRPr="001218A8">
        <w:rPr>
          <w:sz w:val="22"/>
          <w:szCs w:val="22"/>
        </w:rPr>
        <w:lastRenderedPageBreak/>
        <w:t>vytvorenie prevádzkových modelov,</w:t>
      </w:r>
    </w:p>
    <w:p w:rsidR="00E92F9B" w:rsidRDefault="001218A8" w:rsidP="00FE6025">
      <w:pPr>
        <w:pStyle w:val="Odsekzoznamu"/>
        <w:numPr>
          <w:ilvl w:val="0"/>
          <w:numId w:val="28"/>
        </w:numPr>
        <w:jc w:val="both"/>
        <w:rPr>
          <w:szCs w:val="22"/>
        </w:rPr>
      </w:pPr>
      <w:r w:rsidRPr="001218A8">
        <w:rPr>
          <w:sz w:val="22"/>
          <w:szCs w:val="22"/>
        </w:rPr>
        <w:t>aktivity súvisiace so štátnou pomocou.</w:t>
      </w:r>
    </w:p>
    <w:p w:rsidR="001A1926" w:rsidRPr="001A1926" w:rsidRDefault="001218A8" w:rsidP="001A1926">
      <w:pPr>
        <w:spacing w:before="120" w:after="60"/>
        <w:rPr>
          <w:sz w:val="22"/>
          <w:szCs w:val="20"/>
          <w:u w:val="single"/>
          <w:lang w:eastAsia="en-US"/>
        </w:rPr>
      </w:pPr>
      <w:r w:rsidRPr="001218A8">
        <w:rPr>
          <w:sz w:val="22"/>
          <w:szCs w:val="20"/>
          <w:u w:val="single"/>
          <w:lang w:eastAsia="en-US"/>
        </w:rPr>
        <w:t>Vytvorenie atlasu pasívnej infraštruktúry</w:t>
      </w:r>
    </w:p>
    <w:p w:rsidR="001A1926" w:rsidRPr="0021226A" w:rsidRDefault="001A1926" w:rsidP="001A1926">
      <w:pPr>
        <w:spacing w:before="120" w:after="60"/>
        <w:jc w:val="both"/>
        <w:rPr>
          <w:sz w:val="22"/>
          <w:szCs w:val="20"/>
          <w:lang w:eastAsia="en-US"/>
        </w:rPr>
      </w:pPr>
      <w:r w:rsidRPr="0021226A">
        <w:rPr>
          <w:sz w:val="22"/>
          <w:szCs w:val="20"/>
          <w:lang w:eastAsia="en-US"/>
        </w:rPr>
        <w:t>Základnou podmienkou pre efektívny manažment a plánovanie sietí je vytvorenie centralizovaného atlasu pasívnej infraštruktúry, kde bude možné vidieť jednotlivé prvky súčasnej a plánovanej infraštruktúry a optimalizovať tak investičné rozhodnutia. Podľa</w:t>
      </w:r>
      <w:r>
        <w:rPr>
          <w:sz w:val="22"/>
          <w:szCs w:val="20"/>
          <w:lang w:eastAsia="en-US"/>
        </w:rPr>
        <w:t xml:space="preserve"> smernice</w:t>
      </w:r>
      <w:r w:rsidRPr="0021226A">
        <w:rPr>
          <w:sz w:val="22"/>
          <w:szCs w:val="20"/>
          <w:lang w:eastAsia="en-US"/>
        </w:rPr>
        <w:t xml:space="preserve"> 2002/21/EC majú národní regulátori právo získať relevantné informácie o umiestnení, kapacite a dostupnosti rúr a iných prístupových prvkov infraštruktúry. Zámerom je, aby operátori v tomto smere medzi sebou spolupracovali a táto spolupráca bola zo strany štátu centrálne koordinovaná. Pri zaznamenávaní mapy existujúcej a plánovanej infraštruktúry je vhodné využiť existenciu štandardiz</w:t>
      </w:r>
      <w:r>
        <w:rPr>
          <w:sz w:val="22"/>
          <w:szCs w:val="20"/>
          <w:lang w:eastAsia="en-US"/>
        </w:rPr>
        <w:t>ovaných geografických informácií</w:t>
      </w:r>
      <w:r w:rsidRPr="0021226A">
        <w:rPr>
          <w:sz w:val="22"/>
          <w:szCs w:val="20"/>
          <w:lang w:eastAsia="en-US"/>
        </w:rPr>
        <w:t xml:space="preserve"> vznikajúcich prostredníctvom </w:t>
      </w:r>
      <w:r>
        <w:rPr>
          <w:sz w:val="22"/>
          <w:szCs w:val="20"/>
          <w:lang w:eastAsia="en-US"/>
        </w:rPr>
        <w:t>smernice</w:t>
      </w:r>
      <w:r w:rsidRPr="0021226A">
        <w:rPr>
          <w:sz w:val="22"/>
          <w:szCs w:val="20"/>
          <w:lang w:eastAsia="en-US"/>
        </w:rPr>
        <w:t xml:space="preserve"> INSPIRE, ktorej plná implementácia je vyžadovaná do roku 2019. Aby sa čo najviac využili synergické efekty pri budovaní technických infraštruktúr, bude atlas okrem telekomunikačných vedení (pre mobilné a pevné si</w:t>
      </w:r>
      <w:r>
        <w:rPr>
          <w:sz w:val="22"/>
          <w:szCs w:val="20"/>
          <w:lang w:eastAsia="en-US"/>
        </w:rPr>
        <w:t>ete) obsahovať aktuálne údaje o </w:t>
      </w:r>
      <w:r w:rsidRPr="0021226A">
        <w:rPr>
          <w:sz w:val="22"/>
          <w:szCs w:val="20"/>
          <w:lang w:eastAsia="en-US"/>
        </w:rPr>
        <w:t>ďalších vedeniach a zariadeniach technickej infraštruktúry:</w:t>
      </w:r>
    </w:p>
    <w:p w:rsidR="001A1926" w:rsidRDefault="001A1926" w:rsidP="001A1926">
      <w:pPr>
        <w:pStyle w:val="08Bullet1"/>
        <w:spacing w:after="0"/>
        <w:ind w:left="567" w:hanging="283"/>
      </w:pPr>
      <w:r w:rsidRPr="0021226A">
        <w:t>dopravných sieťach;</w:t>
      </w:r>
    </w:p>
    <w:p w:rsidR="001A1926" w:rsidRDefault="001A1926" w:rsidP="001A1926">
      <w:pPr>
        <w:pStyle w:val="08Bullet1"/>
        <w:spacing w:after="0"/>
        <w:ind w:left="567" w:hanging="283"/>
      </w:pPr>
      <w:r w:rsidRPr="0021226A">
        <w:t>inžinierskych sieťach:</w:t>
      </w:r>
    </w:p>
    <w:p w:rsidR="00E92F9B" w:rsidRDefault="001218A8" w:rsidP="00FE6025">
      <w:pPr>
        <w:pStyle w:val="Odsekzoznamu"/>
        <w:numPr>
          <w:ilvl w:val="0"/>
          <w:numId w:val="28"/>
        </w:numPr>
        <w:jc w:val="both"/>
        <w:rPr>
          <w:szCs w:val="22"/>
        </w:rPr>
      </w:pPr>
      <w:r w:rsidRPr="001218A8">
        <w:rPr>
          <w:sz w:val="22"/>
          <w:szCs w:val="22"/>
        </w:rPr>
        <w:t>vodohospodárskych vedeniach a zariadeniach (vodovody a kanalizácie);</w:t>
      </w:r>
    </w:p>
    <w:p w:rsidR="00E92F9B" w:rsidRDefault="001218A8" w:rsidP="00FE6025">
      <w:pPr>
        <w:pStyle w:val="Odsekzoznamu"/>
        <w:numPr>
          <w:ilvl w:val="0"/>
          <w:numId w:val="28"/>
        </w:numPr>
        <w:jc w:val="both"/>
        <w:rPr>
          <w:sz w:val="22"/>
          <w:szCs w:val="22"/>
        </w:rPr>
      </w:pPr>
      <w:r w:rsidRPr="001218A8">
        <w:rPr>
          <w:sz w:val="22"/>
          <w:szCs w:val="22"/>
        </w:rPr>
        <w:t>elektroenergetických zariadeniach;</w:t>
      </w:r>
    </w:p>
    <w:p w:rsidR="00E92F9B" w:rsidRDefault="001218A8" w:rsidP="00FE6025">
      <w:pPr>
        <w:pStyle w:val="Odsekzoznamu"/>
        <w:numPr>
          <w:ilvl w:val="0"/>
          <w:numId w:val="28"/>
        </w:numPr>
        <w:jc w:val="both"/>
        <w:rPr>
          <w:szCs w:val="22"/>
        </w:rPr>
      </w:pPr>
      <w:r w:rsidRPr="001218A8">
        <w:rPr>
          <w:sz w:val="22"/>
          <w:szCs w:val="22"/>
        </w:rPr>
        <w:t>plynárenských zariadeniach (plynovody, prípojky, technické stanice);</w:t>
      </w:r>
    </w:p>
    <w:p w:rsidR="00E92F9B" w:rsidRDefault="001218A8" w:rsidP="00FE6025">
      <w:pPr>
        <w:pStyle w:val="Odsekzoznamu"/>
        <w:numPr>
          <w:ilvl w:val="0"/>
          <w:numId w:val="28"/>
        </w:numPr>
        <w:jc w:val="both"/>
        <w:rPr>
          <w:sz w:val="22"/>
          <w:szCs w:val="22"/>
        </w:rPr>
      </w:pPr>
      <w:r w:rsidRPr="001218A8">
        <w:rPr>
          <w:sz w:val="22"/>
          <w:szCs w:val="22"/>
        </w:rPr>
        <w:t>tepelných zariadeniach (rozvody tepla).</w:t>
      </w:r>
    </w:p>
    <w:p w:rsidR="003970E4" w:rsidRDefault="001A1926" w:rsidP="001A1926">
      <w:pPr>
        <w:spacing w:before="120" w:after="60"/>
        <w:jc w:val="both"/>
        <w:rPr>
          <w:sz w:val="22"/>
          <w:szCs w:val="20"/>
          <w:lang w:eastAsia="en-US"/>
        </w:rPr>
      </w:pPr>
      <w:r w:rsidRPr="0021226A">
        <w:rPr>
          <w:sz w:val="22"/>
          <w:szCs w:val="20"/>
          <w:lang w:eastAsia="en-US"/>
        </w:rPr>
        <w:t>Atlas pasívnej infraštruktúry bude prepojený minimálne s informačným systémom katastra a registrom priestorových informácií</w:t>
      </w:r>
      <w:r w:rsidR="003970E4">
        <w:rPr>
          <w:sz w:val="22"/>
          <w:szCs w:val="20"/>
          <w:lang w:eastAsia="en-US"/>
        </w:rPr>
        <w:t xml:space="preserve"> a tematickými geografickými systémami, ktoré pre zabezpečenie svojej agendy využívajú predmetné údaje.</w:t>
      </w:r>
    </w:p>
    <w:p w:rsidR="001A1926" w:rsidRPr="0021226A" w:rsidRDefault="003970E4" w:rsidP="001A1926">
      <w:pPr>
        <w:spacing w:before="120" w:after="60"/>
        <w:jc w:val="both"/>
        <w:rPr>
          <w:sz w:val="22"/>
          <w:szCs w:val="20"/>
          <w:lang w:eastAsia="en-US"/>
        </w:rPr>
      </w:pPr>
      <w:r>
        <w:rPr>
          <w:sz w:val="22"/>
          <w:szCs w:val="20"/>
          <w:lang w:eastAsia="en-US"/>
        </w:rPr>
        <w:t>Vytvorenie atlasu pasívnej infraštruktúry bude vyžadovať legislatívnu zmenu, ktorá jasným spôsobom zadefinuje aké údaje, v akom rozsahu a štruktúre budú musieť ope</w:t>
      </w:r>
      <w:r w:rsidR="00FC24A3">
        <w:rPr>
          <w:sz w:val="22"/>
          <w:szCs w:val="20"/>
          <w:lang w:eastAsia="en-US"/>
        </w:rPr>
        <w:t>rátori poskytovať a aktualizovať</w:t>
      </w:r>
      <w:r w:rsidR="0059698C">
        <w:rPr>
          <w:sz w:val="22"/>
          <w:szCs w:val="20"/>
          <w:lang w:eastAsia="en-US"/>
        </w:rPr>
        <w:t xml:space="preserve"> pre potreby VS</w:t>
      </w:r>
      <w:r>
        <w:rPr>
          <w:sz w:val="22"/>
          <w:szCs w:val="20"/>
          <w:lang w:eastAsia="en-US"/>
        </w:rPr>
        <w:t xml:space="preserve">. Zároveň bude potrebné zadefinovať licenčné podmienky nakladania s danými </w:t>
      </w:r>
      <w:r w:rsidRPr="003970E4">
        <w:rPr>
          <w:sz w:val="22"/>
          <w:szCs w:val="20"/>
          <w:lang w:eastAsia="en-US"/>
        </w:rPr>
        <w:t>údajmi. V </w:t>
      </w:r>
      <w:r w:rsidRPr="00FC24A3">
        <w:rPr>
          <w:sz w:val="22"/>
          <w:szCs w:val="20"/>
          <w:lang w:eastAsia="en-US"/>
        </w:rPr>
        <w:t xml:space="preserve">súčasnosti to čiastočne rieši </w:t>
      </w:r>
      <w:r w:rsidR="001218A8" w:rsidRPr="001218A8">
        <w:rPr>
          <w:sz w:val="22"/>
          <w:szCs w:val="20"/>
          <w:lang w:eastAsia="en-US"/>
        </w:rPr>
        <w:t>zákon o národnej infraštruktúre pre priestorové informácie</w:t>
      </w:r>
      <w:r w:rsidR="00FC24A3">
        <w:rPr>
          <w:sz w:val="22"/>
          <w:szCs w:val="20"/>
          <w:lang w:eastAsia="en-US"/>
        </w:rPr>
        <w:t>, avšak realita je taká, že väčšina operátoro</w:t>
      </w:r>
      <w:r w:rsidR="0059698C">
        <w:rPr>
          <w:sz w:val="22"/>
          <w:szCs w:val="20"/>
          <w:lang w:eastAsia="en-US"/>
        </w:rPr>
        <w:t>v túto povinnosť</w:t>
      </w:r>
      <w:r w:rsidR="00FC24A3">
        <w:rPr>
          <w:sz w:val="22"/>
          <w:szCs w:val="20"/>
          <w:lang w:eastAsia="en-US"/>
        </w:rPr>
        <w:t xml:space="preserve"> neplní s argumentom, že nespadajú pod subjekty, ktoré sú povinné poskytovať tieto údaje, keďže sú vlastnené aj súkromnými investormi, resp. že ich geopriestorové údaje sú vysoko citlivé a môžu byť zneužité.</w:t>
      </w:r>
    </w:p>
    <w:p w:rsidR="00E92F9B" w:rsidRDefault="001A1926" w:rsidP="00FE6025">
      <w:pPr>
        <w:pStyle w:val="Odsekzoznamu"/>
        <w:numPr>
          <w:ilvl w:val="0"/>
          <w:numId w:val="63"/>
        </w:numPr>
        <w:autoSpaceDE w:val="0"/>
        <w:autoSpaceDN w:val="0"/>
        <w:adjustRightInd w:val="0"/>
        <w:spacing w:before="180" w:after="120"/>
        <w:jc w:val="both"/>
        <w:rPr>
          <w:b/>
          <w:i/>
          <w:color w:val="4F81BD" w:themeColor="accent1"/>
          <w:sz w:val="22"/>
          <w:szCs w:val="22"/>
        </w:rPr>
      </w:pPr>
      <w:r w:rsidRPr="001A1926">
        <w:rPr>
          <w:b/>
          <w:i/>
          <w:color w:val="4F81BD" w:themeColor="accent1"/>
          <w:sz w:val="22"/>
          <w:szCs w:val="22"/>
        </w:rPr>
        <w:t>Budovanie regionálnych sietí otvorených pre všetkých operátorov s technologickou neutralitou s ohľadom na cieľ 100 percentného pokrytia 30 Mbit/s v dvoch etapách</w:t>
      </w:r>
    </w:p>
    <w:p w:rsidR="001A1926" w:rsidRPr="001A1926" w:rsidRDefault="001A1926" w:rsidP="001A1926">
      <w:pPr>
        <w:spacing w:after="180"/>
        <w:jc w:val="both"/>
        <w:rPr>
          <w:color w:val="000000" w:themeColor="text1"/>
          <w:sz w:val="22"/>
          <w:szCs w:val="22"/>
        </w:rPr>
      </w:pPr>
      <w:r w:rsidRPr="001A1926">
        <w:rPr>
          <w:color w:val="000000" w:themeColor="text1"/>
          <w:sz w:val="22"/>
          <w:szCs w:val="22"/>
        </w:rPr>
        <w:t>Oprávnenými oblasťami pre smerovanie štátnej pomoci na podporu budovania regionálnych sietí budú biele miesta s najvyššou prioritou a šedé miesta so strednou prioritou. Štátne zásahy v šedých miestach budú v súlade s usmernením Spoločenstva pre uplatňovanie pravidiel štátnej pomoci v súvislosti s rýchlym zavádzaním širokopásmových sietí 2009/C 235/04 realizované až po dôkladnejšom preskúmaní.</w:t>
      </w:r>
    </w:p>
    <w:p w:rsidR="001A1926" w:rsidRPr="001A1926" w:rsidRDefault="001A1926" w:rsidP="001A1926">
      <w:pPr>
        <w:spacing w:after="180"/>
        <w:jc w:val="both"/>
        <w:rPr>
          <w:color w:val="000000" w:themeColor="text1"/>
          <w:sz w:val="22"/>
          <w:szCs w:val="22"/>
        </w:rPr>
      </w:pPr>
      <w:r w:rsidRPr="001A1926">
        <w:rPr>
          <w:color w:val="000000" w:themeColor="text1"/>
          <w:sz w:val="22"/>
          <w:szCs w:val="22"/>
        </w:rPr>
        <w:t>V rámci podporovaných národných projektov budú budované regionálne siete do spádových obcí v rámci bielych a šedých miest. Pri budovaní regionálnej siete do spádových obcí jednotlivých mikroregiónov (klastrov) budú napojené aj obce ležiace pozdĺž línie trasy. Regionálne siete budú budované s pripojením do chrbticových sietí prevádzkovateľov Orange, Slovak Telekom, Železničné telekomunikácie, Energotel a iných.</w:t>
      </w:r>
    </w:p>
    <w:p w:rsidR="001A1926" w:rsidRPr="001A1926" w:rsidRDefault="001A1926" w:rsidP="001A1926">
      <w:pPr>
        <w:spacing w:after="180"/>
        <w:jc w:val="both"/>
        <w:rPr>
          <w:color w:val="000000" w:themeColor="text1"/>
          <w:sz w:val="22"/>
          <w:szCs w:val="22"/>
        </w:rPr>
      </w:pPr>
      <w:r w:rsidRPr="001A1926">
        <w:rPr>
          <w:color w:val="000000" w:themeColor="text1"/>
          <w:sz w:val="22"/>
          <w:szCs w:val="22"/>
        </w:rPr>
        <w:t>Investície do budovania regionálnych sietí pre pokrytie bielych miest budú ďalej podporené krokmi na podporu nadväzujúcich prístupových sietí. Pre dosiahnutie rýchlostí nad 30 Mbit/s je nutné budovať prístupové siete na princípe prístupu novej generácie (NGN). Základným predpokladom je existencia chrbticových a regionálnych sietí s dostatočnou kapacitou založenou na optických vláknach.</w:t>
      </w:r>
    </w:p>
    <w:p w:rsidR="001A1926" w:rsidRPr="001A1926" w:rsidRDefault="001A1926" w:rsidP="001A1926">
      <w:pPr>
        <w:spacing w:after="180"/>
        <w:jc w:val="both"/>
        <w:rPr>
          <w:color w:val="000000" w:themeColor="text1"/>
          <w:sz w:val="22"/>
          <w:szCs w:val="22"/>
        </w:rPr>
      </w:pPr>
      <w:r w:rsidRPr="001A1926">
        <w:rPr>
          <w:color w:val="000000" w:themeColor="text1"/>
          <w:sz w:val="22"/>
          <w:szCs w:val="22"/>
        </w:rPr>
        <w:t xml:space="preserve">Kvôli vysokej investícii a minimálnej návratnosti sa použije v približne 9 % bielych miest technológia bezdrôtového mikrovlnného prenosu pomocou rádioreleových spojov. Toto prepojenie bude uskutočnené dvoma aktívnymi skokmi na preklenutie priemernej vzdialenosti k obciam v hodnote 50 km. Treba spresniť, že sa bude jednať o tzv. reťazenie spojov, kde počet skokov, či už aktívnych alebo </w:t>
      </w:r>
      <w:r w:rsidRPr="001A1926">
        <w:rPr>
          <w:color w:val="000000" w:themeColor="text1"/>
          <w:sz w:val="22"/>
          <w:szCs w:val="22"/>
        </w:rPr>
        <w:lastRenderedPageBreak/>
        <w:t>pasívnych záleží nielen od vzdialenosti, ale aj od profilu terénu, od požadovaného výkonu, veľkosti parabol a použitej prevádzkovej frekvencie. Týmto spôsobom možno poskytnúť v obciach agregovanú rýchlosť 300 Mbit/s. Pre individuálne domácnosti to predstavuje splnenie cieľa 30 Mbit/s v prípade 10 pripojení, ktoré možno v tak malých obciach očakávať.</w:t>
      </w:r>
    </w:p>
    <w:p w:rsidR="001A1926" w:rsidRPr="001A1926" w:rsidRDefault="001A1926" w:rsidP="001A1926">
      <w:pPr>
        <w:spacing w:after="180"/>
        <w:jc w:val="both"/>
        <w:rPr>
          <w:color w:val="000000" w:themeColor="text1"/>
          <w:sz w:val="22"/>
          <w:szCs w:val="22"/>
        </w:rPr>
      </w:pPr>
      <w:r w:rsidRPr="001A1926">
        <w:rPr>
          <w:color w:val="000000" w:themeColor="text1"/>
          <w:sz w:val="22"/>
          <w:szCs w:val="22"/>
        </w:rPr>
        <w:t>Budovanie lokálnych prístupových sietí bude zabezpečené operátormi. Predpokladá sa, že vybudovanie regionálnej siete vytvorí dostatočné atraktívne konkurenčné prostredie pre realizáciu súkromných investícií, ktoré budú podporované:</w:t>
      </w:r>
    </w:p>
    <w:p w:rsidR="00E92F9B" w:rsidRDefault="001218A8" w:rsidP="00FE6025">
      <w:pPr>
        <w:pStyle w:val="Odsekzoznamu"/>
        <w:numPr>
          <w:ilvl w:val="0"/>
          <w:numId w:val="28"/>
        </w:numPr>
        <w:jc w:val="both"/>
        <w:rPr>
          <w:sz w:val="22"/>
          <w:szCs w:val="22"/>
        </w:rPr>
      </w:pPr>
      <w:r w:rsidRPr="001218A8">
        <w:rPr>
          <w:sz w:val="22"/>
          <w:szCs w:val="22"/>
        </w:rPr>
        <w:t>umožnením veľkoobchodného prístupu k regionálnej sieti každému operátorovi, ktorý splní podmienky, čo je v záujme hospodárskej súťaže;</w:t>
      </w:r>
    </w:p>
    <w:p w:rsidR="00E92F9B" w:rsidRDefault="001218A8" w:rsidP="00FE6025">
      <w:pPr>
        <w:pStyle w:val="Odsekzoznamu"/>
        <w:numPr>
          <w:ilvl w:val="0"/>
          <w:numId w:val="28"/>
        </w:numPr>
        <w:jc w:val="both"/>
        <w:rPr>
          <w:sz w:val="22"/>
          <w:szCs w:val="22"/>
        </w:rPr>
      </w:pPr>
      <w:r w:rsidRPr="001218A8">
        <w:rPr>
          <w:sz w:val="22"/>
          <w:szCs w:val="22"/>
        </w:rPr>
        <w:t>cena za prístup k národnej regionálnej sieti bude nákladovo orientovaná.</w:t>
      </w:r>
    </w:p>
    <w:p w:rsidR="00E92F9B" w:rsidRDefault="00E92F9B">
      <w:pPr>
        <w:pStyle w:val="Odsekzoznamu"/>
        <w:jc w:val="both"/>
        <w:rPr>
          <w:sz w:val="22"/>
          <w:szCs w:val="22"/>
        </w:rPr>
      </w:pPr>
    </w:p>
    <w:p w:rsidR="007F1C63" w:rsidRPr="007F1C63" w:rsidRDefault="001A1926" w:rsidP="001A1926">
      <w:pPr>
        <w:spacing w:after="180"/>
        <w:jc w:val="both"/>
        <w:rPr>
          <w:color w:val="000000" w:themeColor="text1"/>
          <w:sz w:val="22"/>
          <w:szCs w:val="22"/>
        </w:rPr>
      </w:pPr>
      <w:r w:rsidRPr="001A1926">
        <w:rPr>
          <w:color w:val="000000" w:themeColor="text1"/>
          <w:sz w:val="22"/>
          <w:szCs w:val="22"/>
        </w:rPr>
        <w:t>Aj napriek vyššie spomenutým opatreniam sa očakáva, že budovanie prístupových sietí nebude dostatočne atraktívne vo všetkých oblastiach. Preto bude možné dotovať výstavbu otvorených prístupových sietí prostredníctvom dopytových projektov a návratných finančných nástrojov.</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288"/>
        <w:gridCol w:w="5784"/>
      </w:tblGrid>
      <w:tr w:rsidR="007F1C63" w:rsidRPr="007F1C63" w:rsidTr="007F1C63">
        <w:trPr>
          <w:trHeight w:val="340"/>
          <w:jc w:val="center"/>
        </w:trPr>
        <w:tc>
          <w:tcPr>
            <w:tcW w:w="3288" w:type="dxa"/>
            <w:shd w:val="clear" w:color="auto" w:fill="DBE5F1" w:themeFill="accent1" w:themeFillTint="33"/>
            <w:vAlign w:val="center"/>
          </w:tcPr>
          <w:p w:rsidR="007F1C63" w:rsidRPr="007F1C63" w:rsidRDefault="007F1C63" w:rsidP="007F1C63">
            <w:pPr>
              <w:autoSpaceDE w:val="0"/>
              <w:autoSpaceDN w:val="0"/>
              <w:adjustRightInd w:val="0"/>
              <w:ind w:left="0"/>
              <w:rPr>
                <w:i/>
                <w:sz w:val="22"/>
                <w:szCs w:val="22"/>
              </w:rPr>
            </w:pPr>
            <w:r w:rsidRPr="007F1C63">
              <w:rPr>
                <w:i/>
                <w:sz w:val="22"/>
                <w:szCs w:val="22"/>
              </w:rPr>
              <w:t>Cieľové skupiny:</w:t>
            </w:r>
          </w:p>
        </w:tc>
        <w:tc>
          <w:tcPr>
            <w:tcW w:w="5784" w:type="dxa"/>
            <w:vAlign w:val="center"/>
          </w:tcPr>
          <w:p w:rsidR="007F1C63" w:rsidRPr="007F1C63" w:rsidRDefault="007F1C63" w:rsidP="00FE6025">
            <w:pPr>
              <w:numPr>
                <w:ilvl w:val="0"/>
                <w:numId w:val="28"/>
              </w:numPr>
              <w:autoSpaceDE w:val="0"/>
              <w:autoSpaceDN w:val="0"/>
              <w:adjustRightInd w:val="0"/>
              <w:ind w:left="284" w:hanging="284"/>
              <w:contextualSpacing/>
              <w:rPr>
                <w:sz w:val="22"/>
                <w:szCs w:val="22"/>
              </w:rPr>
            </w:pPr>
            <w:r w:rsidRPr="007F1C63">
              <w:rPr>
                <w:sz w:val="22"/>
                <w:szCs w:val="22"/>
              </w:rPr>
              <w:t>široká verejnosť</w:t>
            </w:r>
          </w:p>
        </w:tc>
      </w:tr>
      <w:tr w:rsidR="007F1C63" w:rsidRPr="007F1C63" w:rsidTr="007F1C63">
        <w:trPr>
          <w:trHeight w:val="340"/>
          <w:jc w:val="center"/>
        </w:trPr>
        <w:tc>
          <w:tcPr>
            <w:tcW w:w="3288" w:type="dxa"/>
            <w:shd w:val="clear" w:color="auto" w:fill="DBE5F1" w:themeFill="accent1" w:themeFillTint="33"/>
            <w:vAlign w:val="center"/>
          </w:tcPr>
          <w:p w:rsidR="007F1C63" w:rsidRPr="007F1C63" w:rsidRDefault="007F1C63" w:rsidP="007F1C63">
            <w:pPr>
              <w:autoSpaceDE w:val="0"/>
              <w:autoSpaceDN w:val="0"/>
              <w:adjustRightInd w:val="0"/>
              <w:ind w:left="0"/>
              <w:rPr>
                <w:i/>
                <w:sz w:val="22"/>
                <w:szCs w:val="22"/>
              </w:rPr>
            </w:pPr>
            <w:r w:rsidRPr="007F1C63">
              <w:rPr>
                <w:i/>
                <w:sz w:val="22"/>
                <w:szCs w:val="22"/>
              </w:rPr>
              <w:t>Cieľové územia:</w:t>
            </w:r>
          </w:p>
        </w:tc>
        <w:tc>
          <w:tcPr>
            <w:tcW w:w="5784" w:type="dxa"/>
            <w:vAlign w:val="center"/>
          </w:tcPr>
          <w:p w:rsidR="007F1C63" w:rsidRPr="007F1C63" w:rsidRDefault="007F1C63" w:rsidP="00FE6025">
            <w:pPr>
              <w:numPr>
                <w:ilvl w:val="0"/>
                <w:numId w:val="28"/>
              </w:numPr>
              <w:autoSpaceDE w:val="0"/>
              <w:autoSpaceDN w:val="0"/>
              <w:adjustRightInd w:val="0"/>
              <w:ind w:left="284" w:hanging="284"/>
              <w:contextualSpacing/>
              <w:rPr>
                <w:sz w:val="22"/>
                <w:szCs w:val="22"/>
              </w:rPr>
            </w:pPr>
            <w:r w:rsidRPr="007F1C63">
              <w:rPr>
                <w:sz w:val="22"/>
                <w:szCs w:val="22"/>
              </w:rPr>
              <w:t xml:space="preserve">NUTS </w:t>
            </w:r>
            <w:r w:rsidR="001A1926">
              <w:rPr>
                <w:sz w:val="22"/>
                <w:szCs w:val="22"/>
              </w:rPr>
              <w:t>1</w:t>
            </w:r>
          </w:p>
        </w:tc>
      </w:tr>
      <w:tr w:rsidR="007F1C63" w:rsidRPr="007F1C63" w:rsidTr="007F1C63">
        <w:trPr>
          <w:trHeight w:val="340"/>
          <w:jc w:val="center"/>
        </w:trPr>
        <w:tc>
          <w:tcPr>
            <w:tcW w:w="3288" w:type="dxa"/>
            <w:shd w:val="clear" w:color="auto" w:fill="DBE5F1" w:themeFill="accent1" w:themeFillTint="33"/>
            <w:vAlign w:val="center"/>
          </w:tcPr>
          <w:p w:rsidR="007F1C63" w:rsidRPr="007F1C63" w:rsidRDefault="007F1C63" w:rsidP="007F1C63">
            <w:pPr>
              <w:autoSpaceDE w:val="0"/>
              <w:autoSpaceDN w:val="0"/>
              <w:adjustRightInd w:val="0"/>
              <w:ind w:left="0"/>
              <w:rPr>
                <w:i/>
                <w:sz w:val="22"/>
                <w:szCs w:val="22"/>
              </w:rPr>
            </w:pPr>
            <w:r w:rsidRPr="007F1C63">
              <w:rPr>
                <w:i/>
                <w:sz w:val="22"/>
                <w:szCs w:val="22"/>
              </w:rPr>
              <w:t>Prijímatelia:</w:t>
            </w:r>
          </w:p>
        </w:tc>
        <w:tc>
          <w:tcPr>
            <w:tcW w:w="5784" w:type="dxa"/>
            <w:vAlign w:val="center"/>
          </w:tcPr>
          <w:p w:rsidR="007F1C63" w:rsidRPr="007F1C63" w:rsidRDefault="001A1926" w:rsidP="00FE6025">
            <w:pPr>
              <w:numPr>
                <w:ilvl w:val="0"/>
                <w:numId w:val="28"/>
              </w:numPr>
              <w:autoSpaceDE w:val="0"/>
              <w:autoSpaceDN w:val="0"/>
              <w:adjustRightInd w:val="0"/>
              <w:ind w:left="284" w:hanging="284"/>
              <w:contextualSpacing/>
              <w:rPr>
                <w:sz w:val="22"/>
                <w:szCs w:val="22"/>
              </w:rPr>
            </w:pPr>
            <w:r>
              <w:rPr>
                <w:sz w:val="22"/>
                <w:szCs w:val="22"/>
              </w:rPr>
              <w:t xml:space="preserve">napr. </w:t>
            </w:r>
            <w:r w:rsidR="001218A8" w:rsidRPr="001218A8">
              <w:rPr>
                <w:sz w:val="22"/>
                <w:szCs w:val="22"/>
              </w:rPr>
              <w:t>obec, rozpočtová organizácia, príspevková organizácia</w:t>
            </w:r>
          </w:p>
        </w:tc>
      </w:tr>
    </w:tbl>
    <w:p w:rsidR="00AF27FE" w:rsidRDefault="00AF27FE" w:rsidP="00D90E59">
      <w:pPr>
        <w:keepNext/>
        <w:numPr>
          <w:ilvl w:val="3"/>
          <w:numId w:val="18"/>
        </w:numPr>
        <w:tabs>
          <w:tab w:val="left" w:pos="709"/>
        </w:tabs>
        <w:spacing w:before="240" w:after="120"/>
        <w:outlineLvl w:val="3"/>
        <w:rPr>
          <w:rFonts w:ascii="Arial Narrow" w:hAnsi="Arial Narrow"/>
          <w:b/>
          <w:bCs/>
          <w:i/>
          <w:color w:val="548DD4" w:themeColor="text2" w:themeTint="99"/>
          <w:sz w:val="22"/>
          <w:szCs w:val="28"/>
        </w:rPr>
      </w:pPr>
      <w:r>
        <w:rPr>
          <w:rFonts w:ascii="Arial Narrow" w:hAnsi="Arial Narrow"/>
          <w:b/>
          <w:bCs/>
          <w:i/>
          <w:color w:val="548DD4" w:themeColor="text2" w:themeTint="99"/>
          <w:sz w:val="22"/>
          <w:szCs w:val="28"/>
        </w:rPr>
        <w:t>Hlavné zásady výberu projektov</w:t>
      </w:r>
    </w:p>
    <w:p w:rsidR="00AF27FE" w:rsidRPr="00B02869" w:rsidRDefault="00AF27FE" w:rsidP="00AF27FE">
      <w:pPr>
        <w:pStyle w:val="06Normal"/>
      </w:pPr>
      <w:r w:rsidRPr="00B02869">
        <w:t>S</w:t>
      </w:r>
      <w:r>
        <w:t> </w:t>
      </w:r>
      <w:r w:rsidRPr="00B02869">
        <w:t>cieľom zabezpečiť efektívne a</w:t>
      </w:r>
      <w:r>
        <w:t> </w:t>
      </w:r>
      <w:r w:rsidRPr="00B02869">
        <w:t>transparentné čerpanie finančných prostriedkov z</w:t>
      </w:r>
      <w:r>
        <w:t> </w:t>
      </w:r>
      <w:r w:rsidRPr="00B02869">
        <w:t>fondov EÚ, alokovaných pre prioritnú os</w:t>
      </w:r>
      <w:r>
        <w:t xml:space="preserve"> 7 </w:t>
      </w:r>
      <w:r w:rsidRPr="00B02869">
        <w:t>OP</w:t>
      </w:r>
      <w:r>
        <w:t>II</w:t>
      </w:r>
      <w:r w:rsidRPr="00B02869">
        <w:t xml:space="preserve"> budú sprostredkovateľským</w:t>
      </w:r>
      <w:r>
        <w:t xml:space="preserve"> orgánom vypracované Výberové a </w:t>
      </w:r>
      <w:r w:rsidRPr="00B02869">
        <w:t>hodnotiace kritériá pre výber projektov. Po vzore programového obdobia 2007 – 2013 budú tieto kritériá, ako aj ich prípadné aktualizácie, predmetom schvaľovani</w:t>
      </w:r>
      <w:r>
        <w:t>a v Monitorovacom výbore pre OPII</w:t>
      </w:r>
      <w:r w:rsidRPr="00B02869">
        <w:t>.</w:t>
      </w:r>
    </w:p>
    <w:p w:rsidR="00AF27FE" w:rsidRDefault="00AF27FE" w:rsidP="00AF27FE">
      <w:pPr>
        <w:pStyle w:val="06Normal"/>
      </w:pPr>
      <w:r>
        <w:t>V</w:t>
      </w:r>
      <w:r w:rsidRPr="00B02869">
        <w:t>o vzťahu k</w:t>
      </w:r>
      <w:r>
        <w:t> </w:t>
      </w:r>
      <w:r w:rsidRPr="00B02869">
        <w:t xml:space="preserve">podporovaným aktivitám </w:t>
      </w:r>
      <w:r>
        <w:t>OPII</w:t>
      </w:r>
      <w:r w:rsidRPr="00B02869">
        <w:t xml:space="preserve"> budú jednotliví prijímatelia stanovení buď vopred a</w:t>
      </w:r>
      <w:r>
        <w:t> </w:t>
      </w:r>
      <w:r w:rsidRPr="00B02869">
        <w:t>písomnými vyzvaniami</w:t>
      </w:r>
      <w:r w:rsidRPr="002A4585">
        <w:t xml:space="preserve"> vzhľadom na ich jedinečné postavenie a funkcie</w:t>
      </w:r>
      <w:r>
        <w:t xml:space="preserve"> </w:t>
      </w:r>
      <w:r w:rsidRPr="00B90C78">
        <w:t>(</w:t>
      </w:r>
      <w:r>
        <w:t xml:space="preserve">napr. </w:t>
      </w:r>
      <w:r w:rsidRPr="00B90C78">
        <w:t xml:space="preserve">na základe kompetencií vyplývajúcich im z osobitných predpisov alebo na základe schválenia </w:t>
      </w:r>
      <w:r>
        <w:t>M</w:t>
      </w:r>
      <w:r w:rsidRPr="00B90C78">
        <w:t xml:space="preserve">onitorovacím výborom) </w:t>
      </w:r>
      <w:r w:rsidRPr="00B02869">
        <w:t>žiadaní o</w:t>
      </w:r>
      <w:r>
        <w:t> </w:t>
      </w:r>
      <w:r w:rsidRPr="00B02869">
        <w:t>predkladanie projektových žiadostí alebo v</w:t>
      </w:r>
      <w:r>
        <w:t> </w:t>
      </w:r>
      <w:r w:rsidRPr="00B02869">
        <w:t>prípade dopytových projektov určení výberom.</w:t>
      </w:r>
    </w:p>
    <w:p w:rsidR="00AF27FE" w:rsidRDefault="00AF27FE" w:rsidP="00AF27FE">
      <w:pPr>
        <w:pStyle w:val="06Normal"/>
        <w:spacing w:after="120"/>
      </w:pPr>
      <w:r>
        <w:t>Vo vzťahu k písomným vyzvaniam budú zohľadnené najmä nasledujúce princípy:</w:t>
      </w:r>
    </w:p>
    <w:p w:rsidR="00E92F9B" w:rsidRDefault="00AF27FE" w:rsidP="00FE6025">
      <w:pPr>
        <w:pStyle w:val="Odsekzoznamu"/>
        <w:numPr>
          <w:ilvl w:val="0"/>
          <w:numId w:val="28"/>
        </w:numPr>
        <w:jc w:val="both"/>
      </w:pPr>
      <w:r w:rsidRPr="004C2534">
        <w:rPr>
          <w:sz w:val="22"/>
          <w:szCs w:val="20"/>
          <w:lang w:eastAsia="en-US"/>
        </w:rPr>
        <w:t>možnosť vyhlasovateľa v</w:t>
      </w:r>
      <w:r>
        <w:rPr>
          <w:sz w:val="22"/>
          <w:szCs w:val="20"/>
          <w:lang w:eastAsia="en-US"/>
        </w:rPr>
        <w:t>y</w:t>
      </w:r>
      <w:r w:rsidRPr="004C2534">
        <w:rPr>
          <w:sz w:val="22"/>
          <w:szCs w:val="20"/>
          <w:lang w:eastAsia="en-US"/>
        </w:rPr>
        <w:t>zv</w:t>
      </w:r>
      <w:r>
        <w:rPr>
          <w:sz w:val="22"/>
          <w:szCs w:val="20"/>
          <w:lang w:eastAsia="en-US"/>
        </w:rPr>
        <w:t>ania</w:t>
      </w:r>
      <w:r w:rsidRPr="004C2534">
        <w:rPr>
          <w:sz w:val="22"/>
          <w:szCs w:val="20"/>
          <w:lang w:eastAsia="en-US"/>
        </w:rPr>
        <w:t xml:space="preserve"> reagovať na prípadné potrebné zmeny vo vyhlás</w:t>
      </w:r>
      <w:r>
        <w:rPr>
          <w:sz w:val="22"/>
          <w:szCs w:val="20"/>
          <w:lang w:eastAsia="en-US"/>
        </w:rPr>
        <w:t>enom</w:t>
      </w:r>
      <w:r w:rsidRPr="004C2534">
        <w:rPr>
          <w:sz w:val="22"/>
          <w:szCs w:val="20"/>
          <w:lang w:eastAsia="en-US"/>
        </w:rPr>
        <w:t xml:space="preserve"> v</w:t>
      </w:r>
      <w:r>
        <w:rPr>
          <w:sz w:val="22"/>
          <w:szCs w:val="20"/>
          <w:lang w:eastAsia="en-US"/>
        </w:rPr>
        <w:t>y</w:t>
      </w:r>
      <w:r w:rsidRPr="004C2534">
        <w:rPr>
          <w:sz w:val="22"/>
          <w:szCs w:val="20"/>
          <w:lang w:eastAsia="en-US"/>
        </w:rPr>
        <w:t>zv</w:t>
      </w:r>
      <w:r>
        <w:rPr>
          <w:sz w:val="22"/>
          <w:szCs w:val="20"/>
          <w:lang w:eastAsia="en-US"/>
        </w:rPr>
        <w:t>aní</w:t>
      </w:r>
      <w:r w:rsidRPr="004C2534">
        <w:rPr>
          <w:sz w:val="22"/>
          <w:szCs w:val="20"/>
          <w:lang w:eastAsia="en-US"/>
        </w:rPr>
        <w:t xml:space="preserve"> v súlade s princípmi transparentnosti, nediskriminácie a rovnakého prístupu;</w:t>
      </w:r>
    </w:p>
    <w:p w:rsidR="00E92F9B" w:rsidRDefault="00AF27FE" w:rsidP="00FE6025">
      <w:pPr>
        <w:pStyle w:val="Odsekzoznamu"/>
        <w:numPr>
          <w:ilvl w:val="0"/>
          <w:numId w:val="28"/>
        </w:numPr>
        <w:spacing w:before="120" w:after="120"/>
        <w:jc w:val="both"/>
      </w:pPr>
      <w:r w:rsidRPr="004C2534">
        <w:rPr>
          <w:sz w:val="22"/>
          <w:szCs w:val="20"/>
          <w:lang w:eastAsia="en-US"/>
        </w:rPr>
        <w:t>zabezpečenie kontinuálneho prístupu verejnosti k možnostiam f</w:t>
      </w:r>
      <w:r>
        <w:rPr>
          <w:sz w:val="22"/>
          <w:szCs w:val="20"/>
          <w:lang w:eastAsia="en-US"/>
        </w:rPr>
        <w:t>inancovania zo zdrojov EÚ v </w:t>
      </w:r>
      <w:r w:rsidRPr="004C2534">
        <w:rPr>
          <w:sz w:val="22"/>
          <w:szCs w:val="20"/>
          <w:lang w:eastAsia="en-US"/>
        </w:rPr>
        <w:t xml:space="preserve">prípadoch aktivít, ktoré predpokladajú širší priestor konkurencie; </w:t>
      </w:r>
    </w:p>
    <w:p w:rsidR="00E92F9B" w:rsidRDefault="00AF27FE" w:rsidP="00FE6025">
      <w:pPr>
        <w:pStyle w:val="Odsekzoznamu"/>
        <w:numPr>
          <w:ilvl w:val="0"/>
          <w:numId w:val="28"/>
        </w:numPr>
        <w:spacing w:before="120" w:after="120"/>
        <w:jc w:val="both"/>
      </w:pPr>
      <w:r w:rsidRPr="004C2534">
        <w:rPr>
          <w:sz w:val="22"/>
          <w:szCs w:val="20"/>
          <w:lang w:eastAsia="en-US"/>
        </w:rPr>
        <w:t xml:space="preserve">nastavenie transparentných a objektívnych podmienok, ktorých overenie je potrebné pre financovanie národných projektov, spolu so zvýšením dôrazu na kvalitnú prípravu takýchto </w:t>
      </w:r>
      <w:r>
        <w:rPr>
          <w:sz w:val="22"/>
          <w:szCs w:val="20"/>
          <w:lang w:eastAsia="en-US"/>
        </w:rPr>
        <w:t>projektov;</w:t>
      </w:r>
    </w:p>
    <w:p w:rsidR="00E92F9B" w:rsidRDefault="00B82DEF" w:rsidP="00FE6025">
      <w:pPr>
        <w:pStyle w:val="Odsekzoznamu"/>
        <w:numPr>
          <w:ilvl w:val="0"/>
          <w:numId w:val="28"/>
        </w:numPr>
        <w:spacing w:before="120" w:after="120"/>
        <w:jc w:val="both"/>
      </w:pPr>
      <w:r w:rsidRPr="00B82DEF">
        <w:rPr>
          <w:sz w:val="22"/>
          <w:szCs w:val="20"/>
          <w:lang w:eastAsia="en-US"/>
        </w:rPr>
        <w:t>nastavenie podmienok, kde partnerom každého projektu bude inštitúcia zodpovedná za nákup HW a licencií, tzn. prijímateľ bude implementovať riešenie a nákup HW a licencií bude realizovať vopred stanovený partner</w:t>
      </w:r>
      <w:r>
        <w:rPr>
          <w:sz w:val="22"/>
          <w:szCs w:val="20"/>
          <w:lang w:eastAsia="en-US"/>
        </w:rPr>
        <w:t>;</w:t>
      </w:r>
    </w:p>
    <w:p w:rsidR="00E92F9B" w:rsidRDefault="00AF27FE" w:rsidP="00FE6025">
      <w:pPr>
        <w:pStyle w:val="Odsekzoznamu"/>
        <w:numPr>
          <w:ilvl w:val="0"/>
          <w:numId w:val="28"/>
        </w:numPr>
        <w:spacing w:before="120" w:after="120"/>
        <w:jc w:val="both"/>
      </w:pPr>
      <w:r w:rsidRPr="004C2534">
        <w:rPr>
          <w:sz w:val="22"/>
          <w:szCs w:val="20"/>
          <w:lang w:eastAsia="en-US"/>
        </w:rPr>
        <w:t xml:space="preserve">keďže v rámci riadenia projektov v programovom období 2007 – 2013 boli identifikované nedostatočné odborné kapacity prijímateľov, v rámci prípravy </w:t>
      </w:r>
      <w:r>
        <w:rPr>
          <w:sz w:val="22"/>
          <w:szCs w:val="20"/>
          <w:lang w:eastAsia="en-US"/>
        </w:rPr>
        <w:t xml:space="preserve">písomných </w:t>
      </w:r>
      <w:r w:rsidRPr="004C2534">
        <w:rPr>
          <w:sz w:val="22"/>
          <w:szCs w:val="20"/>
          <w:lang w:eastAsia="en-US"/>
        </w:rPr>
        <w:t>v</w:t>
      </w:r>
      <w:r>
        <w:rPr>
          <w:sz w:val="22"/>
          <w:szCs w:val="20"/>
          <w:lang w:eastAsia="en-US"/>
        </w:rPr>
        <w:t>y</w:t>
      </w:r>
      <w:r w:rsidRPr="004C2534">
        <w:rPr>
          <w:sz w:val="22"/>
          <w:szCs w:val="20"/>
          <w:lang w:eastAsia="en-US"/>
        </w:rPr>
        <w:t>zv</w:t>
      </w:r>
      <w:r>
        <w:rPr>
          <w:sz w:val="22"/>
          <w:szCs w:val="20"/>
          <w:lang w:eastAsia="en-US"/>
        </w:rPr>
        <w:t>aní</w:t>
      </w:r>
      <w:r w:rsidRPr="004C2534">
        <w:rPr>
          <w:sz w:val="22"/>
          <w:szCs w:val="20"/>
          <w:lang w:eastAsia="en-US"/>
        </w:rPr>
        <w:t xml:space="preserve"> pre </w:t>
      </w:r>
      <w:r w:rsidR="00B55AAD">
        <w:rPr>
          <w:sz w:val="22"/>
          <w:szCs w:val="20"/>
          <w:lang w:eastAsia="en-US"/>
        </w:rPr>
        <w:t>P</w:t>
      </w:r>
      <w:r w:rsidR="001355D9">
        <w:rPr>
          <w:sz w:val="22"/>
          <w:szCs w:val="20"/>
          <w:lang w:eastAsia="en-US"/>
        </w:rPr>
        <w:t>rioritnú os 7 môže byť</w:t>
      </w:r>
      <w:r w:rsidRPr="004C2534">
        <w:rPr>
          <w:sz w:val="22"/>
          <w:szCs w:val="20"/>
          <w:lang w:eastAsia="en-US"/>
        </w:rPr>
        <w:t xml:space="preserve"> definovaná povinnosť prijímateľa vyčleniť</w:t>
      </w:r>
      <w:r w:rsidR="001355D9">
        <w:rPr>
          <w:sz w:val="22"/>
          <w:szCs w:val="20"/>
          <w:lang w:eastAsia="en-US"/>
        </w:rPr>
        <w:t xml:space="preserve"> maximálne</w:t>
      </w:r>
      <w:r w:rsidRPr="004C2534">
        <w:rPr>
          <w:sz w:val="22"/>
          <w:szCs w:val="20"/>
          <w:lang w:eastAsia="en-US"/>
        </w:rPr>
        <w:t xml:space="preserve"> </w:t>
      </w:r>
      <w:r>
        <w:rPr>
          <w:sz w:val="22"/>
          <w:szCs w:val="20"/>
          <w:lang w:eastAsia="en-US"/>
        </w:rPr>
        <w:t xml:space="preserve">3 </w:t>
      </w:r>
      <w:r w:rsidRPr="004C2534">
        <w:rPr>
          <w:sz w:val="22"/>
          <w:szCs w:val="20"/>
          <w:lang w:eastAsia="en-US"/>
        </w:rPr>
        <w:t>% oprávnených výdavkov projektu pre programovú kanceláriu MF SR (ako partnera projektu), ktorá bude priamo aktívne participovať na riadení projektov a zabezpečení komplexného riadenia budovania informačnej spoločnosti.</w:t>
      </w:r>
    </w:p>
    <w:p w:rsidR="00AF27FE" w:rsidRDefault="00AF27FE" w:rsidP="00AF27FE">
      <w:pPr>
        <w:pStyle w:val="06Normal"/>
        <w:spacing w:before="240"/>
      </w:pPr>
      <w:r>
        <w:t xml:space="preserve">Pri výbere projektov bude hrať kľúčovú úlohu správne nastavený schvaľovací proces, s cieľom zabezpečenia transparentného a efektívneho výberového procesu zadefinovaním jasných </w:t>
      </w:r>
      <w:r>
        <w:lastRenderedPageBreak/>
        <w:t>a objektívnych kritérií výberu operácií umožňujúcich objektívne posúdiť a vyhodnotiť mieru prínosu projektu k naplneniu špecifických cieľov operačného programu:</w:t>
      </w:r>
    </w:p>
    <w:p w:rsidR="00E92F9B" w:rsidRDefault="00AF27FE" w:rsidP="00FE6025">
      <w:pPr>
        <w:pStyle w:val="Odsekzoznamu"/>
        <w:numPr>
          <w:ilvl w:val="0"/>
          <w:numId w:val="28"/>
        </w:numPr>
        <w:spacing w:before="120" w:after="120"/>
        <w:jc w:val="both"/>
      </w:pPr>
      <w:r w:rsidRPr="004C2534">
        <w:rPr>
          <w:sz w:val="22"/>
          <w:szCs w:val="20"/>
          <w:lang w:eastAsia="en-US"/>
        </w:rPr>
        <w:t>jasne definovaným formátom projektu;</w:t>
      </w:r>
    </w:p>
    <w:p w:rsidR="00E92F9B" w:rsidRDefault="00AF27FE" w:rsidP="00FE6025">
      <w:pPr>
        <w:pStyle w:val="Odsekzoznamu"/>
        <w:numPr>
          <w:ilvl w:val="0"/>
          <w:numId w:val="28"/>
        </w:numPr>
        <w:spacing w:before="120" w:after="120"/>
        <w:jc w:val="both"/>
      </w:pPr>
      <w:r w:rsidRPr="004C2534">
        <w:rPr>
          <w:sz w:val="22"/>
          <w:szCs w:val="20"/>
          <w:lang w:eastAsia="en-US"/>
        </w:rPr>
        <w:t>hodnotiace kritériá, ktoré budú schvaľované v závislosti od charakteru prioritnej osi/špecifického cieľa a budú zamerané na cielené posúdenie prínosu okruhu obsahovo podobných projekto</w:t>
      </w:r>
      <w:r>
        <w:rPr>
          <w:sz w:val="22"/>
          <w:szCs w:val="20"/>
          <w:lang w:eastAsia="en-US"/>
        </w:rPr>
        <w:t>v k </w:t>
      </w:r>
      <w:r w:rsidRPr="004C2534">
        <w:rPr>
          <w:sz w:val="22"/>
          <w:szCs w:val="20"/>
          <w:lang w:eastAsia="en-US"/>
        </w:rPr>
        <w:t>týmto cieľom;</w:t>
      </w:r>
    </w:p>
    <w:p w:rsidR="00E92F9B" w:rsidRDefault="00AF27FE" w:rsidP="00FE6025">
      <w:pPr>
        <w:pStyle w:val="Odsekzoznamu"/>
        <w:numPr>
          <w:ilvl w:val="0"/>
          <w:numId w:val="28"/>
        </w:numPr>
        <w:spacing w:before="120" w:after="120"/>
        <w:jc w:val="both"/>
      </w:pPr>
      <w:r w:rsidRPr="004C2534">
        <w:rPr>
          <w:sz w:val="22"/>
          <w:szCs w:val="20"/>
          <w:lang w:eastAsia="en-US"/>
        </w:rPr>
        <w:t>systémom opravných prostriedkov.</w:t>
      </w:r>
    </w:p>
    <w:p w:rsidR="007F1C63" w:rsidRPr="007F1C63" w:rsidRDefault="007F1C63" w:rsidP="007F1C63">
      <w:pPr>
        <w:keepNext/>
        <w:numPr>
          <w:ilvl w:val="3"/>
          <w:numId w:val="18"/>
        </w:numPr>
        <w:tabs>
          <w:tab w:val="left" w:pos="709"/>
        </w:tabs>
        <w:spacing w:before="24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Plánované využitie finančných nástrojov</w:t>
      </w:r>
    </w:p>
    <w:p w:rsidR="007F1C63" w:rsidRPr="007F1C63" w:rsidRDefault="007F1C63" w:rsidP="007F1C63">
      <w:pPr>
        <w:jc w:val="both"/>
        <w:rPr>
          <w:sz w:val="22"/>
          <w:szCs w:val="22"/>
        </w:rPr>
      </w:pPr>
      <w:r w:rsidRPr="007F1C63">
        <w:rPr>
          <w:sz w:val="22"/>
          <w:szCs w:val="22"/>
        </w:rPr>
        <w:t>Finančné nástroje budú použité na podporu implementácie tých aktivít, pri ktorých bude preukázané efektívnejšie využitie finančných prostriedkov z EŠIF takouto formou podpory. Pri ekonomicky životaschopných projektoch, kde sa predpokladá návratnosť prostriedkov alebo úspora nákladov, predstavujú finančné nástroje vhodnejšiu formu podpory, ktorá vedie len k minimálnej, prípadne žiadnej deformácii trhu a nenarúša tak hospodársku súťaž. Finančné nástroje budú zamerané na podporu tých aktivít, ktoré nenachádzajú financovanie na trhu, prípadne nenachádzajú adekvátne financovanie, pri ktorom by ich realizácia bola efektívnou.</w:t>
      </w:r>
    </w:p>
    <w:p w:rsidR="007F1C63" w:rsidRPr="007F1C63" w:rsidRDefault="007F1C63" w:rsidP="007F1C63">
      <w:pPr>
        <w:spacing w:before="180"/>
        <w:jc w:val="both"/>
        <w:rPr>
          <w:sz w:val="22"/>
          <w:szCs w:val="22"/>
        </w:rPr>
      </w:pPr>
      <w:r w:rsidRPr="007F1C63">
        <w:rPr>
          <w:sz w:val="22"/>
          <w:szCs w:val="22"/>
        </w:rPr>
        <w:t>Okrem možnosti opakovateľného použitia prostriedkov spolu s akýmikoľvek ziskami na ciele prioritnej osi patrí medzi výhody využitia finančných nástrojov možnosť navýšenia prostriedkov pre dosiahnutie príslušných cieľov prostredníctvom pritiahnutia dodatočného kapitálu vďaka atraktívnemu nastaveniu daných nástrojov. Pritiahnutie dodatočného kapitálu je potrebné aj vzhľadom na limitovaný objem prostriedkov z EŠIF na pokrytie všetkých investičných potrieb v príslušných oblastiach. Účasť súkromných investorov môže prispieť aj ku skvalitneniu implementácie projektov, a teda dodatočne prispieva k celkovo efektívnejšiemu použitiu finančných prostriedkov.</w:t>
      </w:r>
    </w:p>
    <w:p w:rsidR="007F1C63" w:rsidRPr="007F1C63" w:rsidRDefault="007F1C63" w:rsidP="007F1C63">
      <w:pPr>
        <w:spacing w:before="180"/>
        <w:jc w:val="both"/>
        <w:rPr>
          <w:sz w:val="22"/>
          <w:szCs w:val="22"/>
        </w:rPr>
      </w:pPr>
      <w:r w:rsidRPr="007F1C63">
        <w:rPr>
          <w:sz w:val="22"/>
          <w:szCs w:val="22"/>
        </w:rPr>
        <w:t xml:space="preserve">Príslušné aktivity bude možné podporiť rôznymi finančnými produktmi (úvery, záruky, kapitálové vklady, mezanínové financovanie a pod.). V súlade s čl. 37(2) nariadenia č. 1303/2013, </w:t>
      </w:r>
      <w:r w:rsidRPr="007F1C63">
        <w:rPr>
          <w:b/>
          <w:sz w:val="22"/>
          <w:szCs w:val="22"/>
        </w:rPr>
        <w:t>konkrétne aktivity, vhodná suma prostriedkov a podmienky implementácie finančných nástrojov vrátane možnej multiplikácie alokovaných prostriedkov a ich kombinácie s inými formami podpory budú vychádzať z výsledkov ex ante hodnotenia pre finančné nástroje.</w:t>
      </w:r>
    </w:p>
    <w:p w:rsidR="007F1C63" w:rsidRPr="007F1C63" w:rsidRDefault="007F1C63" w:rsidP="007F1C63">
      <w:pPr>
        <w:keepNext/>
        <w:numPr>
          <w:ilvl w:val="3"/>
          <w:numId w:val="18"/>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Plánované využitie veľkých projektov</w:t>
      </w:r>
    </w:p>
    <w:p w:rsidR="007F1C63" w:rsidRPr="007F1C63" w:rsidRDefault="00AF27FE" w:rsidP="007F1C63">
      <w:pPr>
        <w:jc w:val="both"/>
        <w:rPr>
          <w:sz w:val="22"/>
          <w:szCs w:val="22"/>
        </w:rPr>
      </w:pPr>
      <w:r w:rsidRPr="00AF27FE">
        <w:rPr>
          <w:sz w:val="22"/>
          <w:szCs w:val="22"/>
        </w:rPr>
        <w:t>Na realizáciu špecifického cieľa Zvýšenie pokrytia širokopásmovým internetom / NGN je plánovaný Národný projekt výstavby regionálnych optických sietí, ktorý bude riešiť aktivity budovania technologicky neutrálnych regionálnych sietí otvorených pre všetkých operátorov. V rámci projektu bude realizovaná výstavba regionálnych sietí pre pokrývanie bielych miest, ktorá bude vykonaná na základe pripravenej projektovej dokumentácie z obdobia 2007 až 2013.</w:t>
      </w:r>
    </w:p>
    <w:p w:rsidR="007F1C63" w:rsidRPr="007F1C63" w:rsidRDefault="007F1C63" w:rsidP="007F1C63">
      <w:pPr>
        <w:keepNext/>
        <w:numPr>
          <w:ilvl w:val="3"/>
          <w:numId w:val="18"/>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Ukazovatele výstupu na úrovni investičnej priority a kategórie regiónu</w:t>
      </w:r>
    </w:p>
    <w:p w:rsidR="00E92F9B" w:rsidRDefault="00AF27FE" w:rsidP="00976C76">
      <w:pPr>
        <w:pStyle w:val="Tab"/>
        <w:tabs>
          <w:tab w:val="clear" w:pos="709"/>
        </w:tabs>
        <w:ind w:left="851" w:hanging="851"/>
        <w:jc w:val="both"/>
      </w:pPr>
      <w:r>
        <w:t>Š</w:t>
      </w:r>
      <w:r w:rsidRPr="007F1C63">
        <w:t>pecifické</w:t>
      </w:r>
      <w:r w:rsidR="007F1C63" w:rsidRPr="007F1C63">
        <w:t xml:space="preserve"> ukazovatele výstupu investičnej priority </w:t>
      </w:r>
      <w:r>
        <w:t>2</w:t>
      </w:r>
      <w:r w:rsidR="007F1C63" w:rsidRPr="007F1C63">
        <w:t>a)</w:t>
      </w:r>
      <w:r>
        <w:t>, ŠC 7.1</w:t>
      </w:r>
      <w:r w:rsidRPr="00AF27FE">
        <w:t xml:space="preserve"> Zvýšenie pokrytia širokopásmovým internetom / NGN</w:t>
      </w:r>
    </w:p>
    <w:tbl>
      <w:tblPr>
        <w:tblStyle w:val="Mriekatabuky"/>
        <w:tblW w:w="9244" w:type="dxa"/>
        <w:jc w:val="center"/>
        <w:tblLayout w:type="fixed"/>
        <w:tblLook w:val="04A0"/>
      </w:tblPr>
      <w:tblGrid>
        <w:gridCol w:w="507"/>
        <w:gridCol w:w="3634"/>
        <w:gridCol w:w="850"/>
        <w:gridCol w:w="709"/>
        <w:gridCol w:w="908"/>
        <w:gridCol w:w="935"/>
        <w:gridCol w:w="850"/>
        <w:gridCol w:w="851"/>
      </w:tblGrid>
      <w:tr w:rsidR="00AF27FE" w:rsidRPr="002309F8" w:rsidTr="00B80F3A">
        <w:trPr>
          <w:trHeight w:val="340"/>
          <w:jc w:val="center"/>
        </w:trPr>
        <w:tc>
          <w:tcPr>
            <w:tcW w:w="507" w:type="dxa"/>
            <w:tcBorders>
              <w:bottom w:val="single" w:sz="4" w:space="0" w:color="auto"/>
            </w:tcBorders>
            <w:shd w:val="clear" w:color="auto" w:fill="C6D9F1" w:themeFill="text2" w:themeFillTint="33"/>
            <w:vAlign w:val="center"/>
          </w:tcPr>
          <w:p w:rsidR="00AF27FE" w:rsidRPr="00AF27FE" w:rsidRDefault="001218A8" w:rsidP="00B80F3A">
            <w:pPr>
              <w:ind w:left="0"/>
              <w:jc w:val="center"/>
              <w:rPr>
                <w:b/>
                <w:sz w:val="18"/>
                <w:szCs w:val="18"/>
              </w:rPr>
            </w:pPr>
            <w:r w:rsidRPr="001218A8">
              <w:rPr>
                <w:b/>
                <w:sz w:val="18"/>
                <w:szCs w:val="18"/>
              </w:rPr>
              <w:t>P. č.</w:t>
            </w:r>
          </w:p>
        </w:tc>
        <w:tc>
          <w:tcPr>
            <w:tcW w:w="3634" w:type="dxa"/>
            <w:tcBorders>
              <w:bottom w:val="single" w:sz="4" w:space="0" w:color="auto"/>
            </w:tcBorders>
            <w:shd w:val="clear" w:color="auto" w:fill="C6D9F1" w:themeFill="text2" w:themeFillTint="33"/>
            <w:vAlign w:val="center"/>
          </w:tcPr>
          <w:p w:rsidR="00AF27FE" w:rsidRPr="00AF27FE" w:rsidRDefault="001218A8" w:rsidP="00B80F3A">
            <w:pPr>
              <w:ind w:left="0"/>
              <w:rPr>
                <w:b/>
                <w:sz w:val="18"/>
                <w:szCs w:val="18"/>
              </w:rPr>
            </w:pPr>
            <w:r w:rsidRPr="001218A8">
              <w:rPr>
                <w:b/>
                <w:sz w:val="18"/>
                <w:szCs w:val="18"/>
              </w:rPr>
              <w:t>Ukazovateľ (názov ukazovateľa)</w:t>
            </w:r>
          </w:p>
        </w:tc>
        <w:tc>
          <w:tcPr>
            <w:tcW w:w="850" w:type="dxa"/>
            <w:tcBorders>
              <w:bottom w:val="single" w:sz="4" w:space="0" w:color="auto"/>
            </w:tcBorders>
            <w:shd w:val="clear" w:color="auto" w:fill="C6D9F1" w:themeFill="text2" w:themeFillTint="33"/>
            <w:vAlign w:val="center"/>
          </w:tcPr>
          <w:p w:rsidR="00AF27FE" w:rsidRPr="00AF27FE" w:rsidRDefault="001218A8" w:rsidP="00B80F3A">
            <w:pPr>
              <w:ind w:left="0"/>
              <w:jc w:val="center"/>
              <w:rPr>
                <w:b/>
                <w:sz w:val="18"/>
                <w:szCs w:val="18"/>
              </w:rPr>
            </w:pPr>
            <w:r w:rsidRPr="001218A8">
              <w:rPr>
                <w:b/>
                <w:sz w:val="18"/>
                <w:szCs w:val="18"/>
              </w:rPr>
              <w:t>Merná jednotka</w:t>
            </w:r>
          </w:p>
        </w:tc>
        <w:tc>
          <w:tcPr>
            <w:tcW w:w="709" w:type="dxa"/>
            <w:tcBorders>
              <w:bottom w:val="single" w:sz="4" w:space="0" w:color="auto"/>
            </w:tcBorders>
            <w:shd w:val="clear" w:color="auto" w:fill="C6D9F1" w:themeFill="text2" w:themeFillTint="33"/>
            <w:vAlign w:val="center"/>
          </w:tcPr>
          <w:p w:rsidR="00AF27FE" w:rsidRPr="00AF27FE" w:rsidRDefault="001218A8" w:rsidP="00B80F3A">
            <w:pPr>
              <w:ind w:left="0"/>
              <w:jc w:val="center"/>
              <w:rPr>
                <w:b/>
                <w:sz w:val="18"/>
                <w:szCs w:val="18"/>
              </w:rPr>
            </w:pPr>
            <w:r w:rsidRPr="001218A8">
              <w:rPr>
                <w:b/>
                <w:sz w:val="18"/>
                <w:szCs w:val="18"/>
              </w:rPr>
              <w:t>Fond</w:t>
            </w:r>
          </w:p>
        </w:tc>
        <w:tc>
          <w:tcPr>
            <w:tcW w:w="908" w:type="dxa"/>
            <w:tcBorders>
              <w:bottom w:val="single" w:sz="4" w:space="0" w:color="auto"/>
            </w:tcBorders>
            <w:shd w:val="clear" w:color="auto" w:fill="C6D9F1" w:themeFill="text2" w:themeFillTint="33"/>
            <w:vAlign w:val="center"/>
          </w:tcPr>
          <w:p w:rsidR="00AF27FE" w:rsidRPr="00AF27FE" w:rsidRDefault="001218A8" w:rsidP="00B80F3A">
            <w:pPr>
              <w:ind w:left="0"/>
              <w:jc w:val="center"/>
              <w:rPr>
                <w:b/>
                <w:sz w:val="18"/>
                <w:szCs w:val="18"/>
                <w:highlight w:val="yellow"/>
              </w:rPr>
            </w:pPr>
            <w:r w:rsidRPr="001218A8">
              <w:rPr>
                <w:b/>
                <w:sz w:val="18"/>
                <w:szCs w:val="18"/>
              </w:rPr>
              <w:t>Kategória regiónu</w:t>
            </w:r>
          </w:p>
        </w:tc>
        <w:tc>
          <w:tcPr>
            <w:tcW w:w="935" w:type="dxa"/>
            <w:tcBorders>
              <w:bottom w:val="single" w:sz="4" w:space="0" w:color="auto"/>
            </w:tcBorders>
            <w:shd w:val="clear" w:color="auto" w:fill="C6D9F1" w:themeFill="text2" w:themeFillTint="33"/>
            <w:vAlign w:val="center"/>
          </w:tcPr>
          <w:p w:rsidR="00AF27FE" w:rsidRPr="00AF27FE" w:rsidRDefault="001218A8" w:rsidP="00B80F3A">
            <w:pPr>
              <w:ind w:left="0"/>
              <w:jc w:val="center"/>
              <w:rPr>
                <w:b/>
                <w:sz w:val="18"/>
                <w:szCs w:val="18"/>
              </w:rPr>
            </w:pPr>
            <w:r w:rsidRPr="001218A8">
              <w:rPr>
                <w:b/>
                <w:sz w:val="18"/>
                <w:szCs w:val="18"/>
              </w:rPr>
              <w:t>Cieľová hodnota (2023)</w:t>
            </w:r>
          </w:p>
        </w:tc>
        <w:tc>
          <w:tcPr>
            <w:tcW w:w="850" w:type="dxa"/>
            <w:tcBorders>
              <w:bottom w:val="single" w:sz="4" w:space="0" w:color="auto"/>
            </w:tcBorders>
            <w:shd w:val="clear" w:color="auto" w:fill="C6D9F1" w:themeFill="text2" w:themeFillTint="33"/>
            <w:vAlign w:val="center"/>
          </w:tcPr>
          <w:p w:rsidR="00AF27FE" w:rsidRPr="00AF27FE" w:rsidRDefault="001218A8" w:rsidP="00B80F3A">
            <w:pPr>
              <w:ind w:left="0"/>
              <w:jc w:val="center"/>
              <w:rPr>
                <w:b/>
                <w:sz w:val="18"/>
                <w:szCs w:val="18"/>
              </w:rPr>
            </w:pPr>
            <w:r w:rsidRPr="001218A8">
              <w:rPr>
                <w:b/>
                <w:sz w:val="18"/>
                <w:szCs w:val="18"/>
              </w:rPr>
              <w:t>Zdroj údajov</w:t>
            </w:r>
          </w:p>
        </w:tc>
        <w:tc>
          <w:tcPr>
            <w:tcW w:w="851" w:type="dxa"/>
            <w:tcBorders>
              <w:bottom w:val="single" w:sz="4" w:space="0" w:color="auto"/>
            </w:tcBorders>
            <w:shd w:val="clear" w:color="auto" w:fill="C6D9F1" w:themeFill="text2" w:themeFillTint="33"/>
          </w:tcPr>
          <w:p w:rsidR="00AF27FE" w:rsidRPr="00AF27FE" w:rsidRDefault="001218A8" w:rsidP="00445E30">
            <w:pPr>
              <w:ind w:left="0"/>
              <w:jc w:val="center"/>
              <w:rPr>
                <w:b/>
                <w:sz w:val="18"/>
                <w:szCs w:val="18"/>
                <w:highlight w:val="yellow"/>
              </w:rPr>
            </w:pPr>
            <w:r w:rsidRPr="001218A8">
              <w:rPr>
                <w:b/>
                <w:sz w:val="18"/>
                <w:szCs w:val="18"/>
              </w:rPr>
              <w:t>Frekvencia vykazovania</w:t>
            </w:r>
          </w:p>
        </w:tc>
      </w:tr>
      <w:tr w:rsidR="00AF27FE" w:rsidRPr="002309F8" w:rsidTr="00B80F3A">
        <w:trPr>
          <w:trHeight w:val="454"/>
          <w:jc w:val="center"/>
        </w:trPr>
        <w:tc>
          <w:tcPr>
            <w:tcW w:w="507" w:type="dxa"/>
            <w:shd w:val="clear" w:color="auto" w:fill="auto"/>
            <w:vAlign w:val="center"/>
          </w:tcPr>
          <w:p w:rsidR="00AF27FE" w:rsidRPr="00D46C46" w:rsidRDefault="00AF27FE" w:rsidP="00B80F3A">
            <w:pPr>
              <w:ind w:left="0"/>
              <w:jc w:val="center"/>
              <w:rPr>
                <w:sz w:val="18"/>
                <w:szCs w:val="18"/>
              </w:rPr>
            </w:pPr>
            <w:r w:rsidRPr="00F22395">
              <w:rPr>
                <w:sz w:val="18"/>
                <w:szCs w:val="18"/>
              </w:rPr>
              <w:t>1.</w:t>
            </w:r>
          </w:p>
        </w:tc>
        <w:tc>
          <w:tcPr>
            <w:tcW w:w="3634" w:type="dxa"/>
            <w:shd w:val="clear" w:color="auto" w:fill="auto"/>
          </w:tcPr>
          <w:p w:rsidR="00AF27FE" w:rsidRPr="00D46C46" w:rsidRDefault="00AF27FE" w:rsidP="00AF5171">
            <w:pPr>
              <w:ind w:left="0"/>
              <w:rPr>
                <w:sz w:val="18"/>
                <w:szCs w:val="18"/>
              </w:rPr>
            </w:pPr>
            <w:r w:rsidRPr="00D46C46">
              <w:rPr>
                <w:sz w:val="18"/>
                <w:szCs w:val="18"/>
              </w:rPr>
              <w:t>Dodatočný počet bielych miest pokrytých širokopásmovým internetom</w:t>
            </w:r>
          </w:p>
        </w:tc>
        <w:tc>
          <w:tcPr>
            <w:tcW w:w="850" w:type="dxa"/>
            <w:shd w:val="clear" w:color="auto" w:fill="auto"/>
            <w:vAlign w:val="center"/>
          </w:tcPr>
          <w:p w:rsidR="00AF27FE" w:rsidRPr="00D46C46" w:rsidRDefault="00AF27FE" w:rsidP="00B80F3A">
            <w:pPr>
              <w:ind w:left="0"/>
              <w:jc w:val="center"/>
              <w:rPr>
                <w:sz w:val="18"/>
                <w:szCs w:val="18"/>
              </w:rPr>
            </w:pPr>
            <w:r w:rsidRPr="00D46C46">
              <w:rPr>
                <w:sz w:val="18"/>
                <w:szCs w:val="18"/>
              </w:rPr>
              <w:t>Počet</w:t>
            </w:r>
          </w:p>
        </w:tc>
        <w:tc>
          <w:tcPr>
            <w:tcW w:w="709" w:type="dxa"/>
            <w:shd w:val="clear" w:color="auto" w:fill="auto"/>
            <w:vAlign w:val="center"/>
          </w:tcPr>
          <w:p w:rsidR="00AF27FE" w:rsidRPr="004C2534" w:rsidRDefault="00AF27FE"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EFRR</w:t>
            </w:r>
          </w:p>
        </w:tc>
        <w:tc>
          <w:tcPr>
            <w:tcW w:w="908" w:type="dxa"/>
            <w:shd w:val="clear" w:color="auto" w:fill="auto"/>
            <w:vAlign w:val="center"/>
          </w:tcPr>
          <w:p w:rsidR="00AF27FE" w:rsidRPr="004C2534" w:rsidRDefault="00AF27FE"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Menej rozvinuté regióny</w:t>
            </w:r>
          </w:p>
        </w:tc>
        <w:tc>
          <w:tcPr>
            <w:tcW w:w="935" w:type="dxa"/>
            <w:shd w:val="clear" w:color="auto" w:fill="auto"/>
            <w:vAlign w:val="center"/>
          </w:tcPr>
          <w:p w:rsidR="00AF27FE" w:rsidRPr="00D46C46" w:rsidRDefault="00AF27FE" w:rsidP="00B80F3A">
            <w:pPr>
              <w:ind w:left="0"/>
              <w:jc w:val="center"/>
              <w:rPr>
                <w:sz w:val="18"/>
                <w:szCs w:val="18"/>
              </w:rPr>
            </w:pPr>
            <w:r w:rsidRPr="00F22395">
              <w:rPr>
                <w:sz w:val="18"/>
                <w:szCs w:val="18"/>
              </w:rPr>
              <w:t>729</w:t>
            </w:r>
          </w:p>
        </w:tc>
        <w:tc>
          <w:tcPr>
            <w:tcW w:w="850" w:type="dxa"/>
            <w:shd w:val="clear" w:color="auto" w:fill="auto"/>
            <w:vAlign w:val="center"/>
          </w:tcPr>
          <w:p w:rsidR="00AF27FE" w:rsidRPr="004C2534" w:rsidRDefault="00AF27FE"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SORO</w:t>
            </w:r>
          </w:p>
        </w:tc>
        <w:tc>
          <w:tcPr>
            <w:tcW w:w="851" w:type="dxa"/>
            <w:shd w:val="clear" w:color="auto" w:fill="auto"/>
            <w:vAlign w:val="center"/>
          </w:tcPr>
          <w:p w:rsidR="00AF27FE" w:rsidRPr="004C2534" w:rsidRDefault="00AF27FE"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Ročne počas trvania projektu</w:t>
            </w:r>
          </w:p>
        </w:tc>
      </w:tr>
      <w:tr w:rsidR="00AF27FE" w:rsidRPr="002309F8" w:rsidTr="00B80F3A">
        <w:trPr>
          <w:trHeight w:val="454"/>
          <w:jc w:val="center"/>
        </w:trPr>
        <w:tc>
          <w:tcPr>
            <w:tcW w:w="507" w:type="dxa"/>
            <w:shd w:val="clear" w:color="auto" w:fill="auto"/>
          </w:tcPr>
          <w:p w:rsidR="00AF27FE" w:rsidRPr="00F22395" w:rsidRDefault="00AF27FE" w:rsidP="00B80F3A">
            <w:pPr>
              <w:ind w:left="0"/>
              <w:jc w:val="center"/>
              <w:rPr>
                <w:sz w:val="18"/>
                <w:szCs w:val="18"/>
              </w:rPr>
            </w:pPr>
          </w:p>
          <w:p w:rsidR="00AF27FE" w:rsidRPr="00BA6FCB" w:rsidRDefault="00AF27FE" w:rsidP="00B80F3A">
            <w:pPr>
              <w:ind w:left="0"/>
              <w:jc w:val="center"/>
              <w:rPr>
                <w:sz w:val="18"/>
                <w:szCs w:val="18"/>
              </w:rPr>
            </w:pPr>
          </w:p>
          <w:p w:rsidR="00AF27FE" w:rsidRPr="00D46C46" w:rsidRDefault="00AF27FE" w:rsidP="00B80F3A">
            <w:pPr>
              <w:ind w:left="0"/>
              <w:jc w:val="center"/>
              <w:rPr>
                <w:sz w:val="18"/>
                <w:szCs w:val="18"/>
              </w:rPr>
            </w:pPr>
          </w:p>
          <w:p w:rsidR="00AF27FE" w:rsidRPr="00D46C46" w:rsidRDefault="00AF27FE" w:rsidP="00B80F3A">
            <w:pPr>
              <w:ind w:left="0"/>
              <w:jc w:val="center"/>
              <w:rPr>
                <w:sz w:val="18"/>
                <w:szCs w:val="18"/>
              </w:rPr>
            </w:pPr>
          </w:p>
          <w:p w:rsidR="00AF27FE" w:rsidRPr="00D46C46" w:rsidRDefault="00AF27FE" w:rsidP="00B80F3A">
            <w:pPr>
              <w:ind w:left="0"/>
              <w:jc w:val="center"/>
              <w:rPr>
                <w:sz w:val="18"/>
                <w:szCs w:val="18"/>
              </w:rPr>
            </w:pPr>
            <w:r w:rsidRPr="00D46C46">
              <w:rPr>
                <w:sz w:val="18"/>
                <w:szCs w:val="18"/>
              </w:rPr>
              <w:t>2.</w:t>
            </w:r>
          </w:p>
        </w:tc>
        <w:tc>
          <w:tcPr>
            <w:tcW w:w="3634" w:type="dxa"/>
            <w:shd w:val="clear" w:color="auto" w:fill="auto"/>
          </w:tcPr>
          <w:p w:rsidR="00AF27FE" w:rsidRPr="00D46C46" w:rsidDel="000657D9" w:rsidRDefault="00AF27FE" w:rsidP="00AF5171">
            <w:pPr>
              <w:ind w:left="0"/>
              <w:rPr>
                <w:sz w:val="18"/>
                <w:szCs w:val="18"/>
              </w:rPr>
            </w:pPr>
            <w:r w:rsidRPr="00D46C46">
              <w:rPr>
                <w:sz w:val="18"/>
                <w:szCs w:val="18"/>
              </w:rPr>
              <w:t>Dodatočné domácnosti s prístupom k širokopásmovému internetu s rýchlosťou aspoň 30 Mbit/s</w:t>
            </w:r>
          </w:p>
        </w:tc>
        <w:tc>
          <w:tcPr>
            <w:tcW w:w="850" w:type="dxa"/>
            <w:shd w:val="clear" w:color="auto" w:fill="auto"/>
            <w:vAlign w:val="center"/>
          </w:tcPr>
          <w:p w:rsidR="00AF27FE" w:rsidRPr="00D46C46" w:rsidDel="000657D9" w:rsidRDefault="00AF27FE" w:rsidP="00B80F3A">
            <w:pPr>
              <w:ind w:left="0"/>
              <w:jc w:val="center"/>
              <w:rPr>
                <w:sz w:val="18"/>
                <w:szCs w:val="18"/>
              </w:rPr>
            </w:pPr>
            <w:r w:rsidRPr="00D46C46">
              <w:rPr>
                <w:sz w:val="18"/>
                <w:szCs w:val="18"/>
              </w:rPr>
              <w:t>%</w:t>
            </w:r>
          </w:p>
        </w:tc>
        <w:tc>
          <w:tcPr>
            <w:tcW w:w="709" w:type="dxa"/>
            <w:shd w:val="clear" w:color="auto" w:fill="auto"/>
            <w:vAlign w:val="center"/>
          </w:tcPr>
          <w:p w:rsidR="00AF27FE" w:rsidRPr="004C2534" w:rsidRDefault="00AF27FE"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EFRR</w:t>
            </w:r>
          </w:p>
        </w:tc>
        <w:tc>
          <w:tcPr>
            <w:tcW w:w="908" w:type="dxa"/>
            <w:shd w:val="clear" w:color="auto" w:fill="auto"/>
            <w:vAlign w:val="center"/>
          </w:tcPr>
          <w:p w:rsidR="00AF27FE" w:rsidRPr="004C2534" w:rsidRDefault="00AF27FE"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Menej rozvinuté regióny</w:t>
            </w:r>
          </w:p>
        </w:tc>
        <w:tc>
          <w:tcPr>
            <w:tcW w:w="935" w:type="dxa"/>
            <w:shd w:val="clear" w:color="auto" w:fill="auto"/>
            <w:vAlign w:val="center"/>
          </w:tcPr>
          <w:p w:rsidR="00AF27FE" w:rsidRPr="00D46C46" w:rsidRDefault="00AF27FE" w:rsidP="00B80F3A">
            <w:pPr>
              <w:ind w:left="0"/>
              <w:jc w:val="center"/>
              <w:rPr>
                <w:sz w:val="18"/>
                <w:szCs w:val="18"/>
              </w:rPr>
            </w:pPr>
            <w:r w:rsidRPr="00F22395">
              <w:rPr>
                <w:sz w:val="18"/>
                <w:szCs w:val="18"/>
              </w:rPr>
              <w:t>49.9</w:t>
            </w:r>
          </w:p>
        </w:tc>
        <w:tc>
          <w:tcPr>
            <w:tcW w:w="850" w:type="dxa"/>
            <w:shd w:val="clear" w:color="auto" w:fill="auto"/>
            <w:vAlign w:val="center"/>
          </w:tcPr>
          <w:p w:rsidR="00AF27FE" w:rsidRPr="004C2534" w:rsidRDefault="00AF27FE" w:rsidP="00B80F3A">
            <w:pPr>
              <w:tabs>
                <w:tab w:val="left" w:pos="567"/>
                <w:tab w:val="left" w:leader="dot" w:pos="9356"/>
              </w:tabs>
              <w:ind w:left="0" w:hanging="851"/>
              <w:jc w:val="center"/>
              <w:rPr>
                <w:sz w:val="18"/>
                <w:szCs w:val="18"/>
              </w:rPr>
            </w:pPr>
            <w:r>
              <w:rPr>
                <w:sz w:val="18"/>
                <w:szCs w:val="18"/>
              </w:rPr>
              <w:t xml:space="preserve">                Eurostat</w:t>
            </w:r>
          </w:p>
        </w:tc>
        <w:tc>
          <w:tcPr>
            <w:tcW w:w="851" w:type="dxa"/>
            <w:shd w:val="clear" w:color="auto" w:fill="auto"/>
            <w:vAlign w:val="center"/>
          </w:tcPr>
          <w:p w:rsidR="00AF27FE" w:rsidRPr="004C2534" w:rsidRDefault="00AF27FE"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Ročne počas trvania projektu</w:t>
            </w:r>
          </w:p>
        </w:tc>
      </w:tr>
    </w:tbl>
    <w:p w:rsidR="00E92F9B" w:rsidRDefault="00E92F9B"/>
    <w:p w:rsidR="00E92F9B" w:rsidRDefault="00D90E59">
      <w:pPr>
        <w:pStyle w:val="Nadpis3"/>
        <w:numPr>
          <w:ilvl w:val="2"/>
          <w:numId w:val="18"/>
        </w:numPr>
        <w:tabs>
          <w:tab w:val="clear" w:pos="851"/>
          <w:tab w:val="num" w:pos="709"/>
        </w:tabs>
        <w:ind w:left="709" w:hanging="709"/>
        <w:jc w:val="both"/>
      </w:pPr>
      <w:bookmarkStart w:id="77" w:name="_Toc385310726"/>
      <w:r w:rsidRPr="007F1C63">
        <w:lastRenderedPageBreak/>
        <w:t xml:space="preserve">INVESTIČNÁ PRIORITA </w:t>
      </w:r>
      <w:r>
        <w:t>2b</w:t>
      </w:r>
      <w:r w:rsidRPr="007F1C63">
        <w:t xml:space="preserve">): </w:t>
      </w:r>
      <w:r w:rsidRPr="00D90E59">
        <w:t>Vývoj produktov a služieb IKT, elek</w:t>
      </w:r>
      <w:r w:rsidR="00771DCA">
        <w:t xml:space="preserve">tronického obchodu a posilnenia </w:t>
      </w:r>
      <w:r w:rsidRPr="00D90E59">
        <w:t>dopytu po IKT</w:t>
      </w:r>
      <w:bookmarkEnd w:id="77"/>
    </w:p>
    <w:p w:rsidR="00D90E59" w:rsidRPr="007F1C63" w:rsidRDefault="00D90E59" w:rsidP="00D90E59">
      <w:pPr>
        <w:keepNext/>
        <w:numPr>
          <w:ilvl w:val="3"/>
          <w:numId w:val="18"/>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Špecifické ciele investičnej priority a očakávané výsledky</w:t>
      </w:r>
    </w:p>
    <w:p w:rsidR="00D90E59" w:rsidRPr="00771DCA" w:rsidRDefault="00D90E59" w:rsidP="002E1021">
      <w:pPr>
        <w:shd w:val="clear" w:color="auto" w:fill="FFFFCC"/>
        <w:jc w:val="both"/>
        <w:rPr>
          <w:b/>
          <w:i/>
        </w:rPr>
      </w:pPr>
      <w:r w:rsidRPr="007F1C63">
        <w:rPr>
          <w:i/>
        </w:rPr>
        <w:t xml:space="preserve">ŠPECIFICKÝ CIEĽ </w:t>
      </w:r>
      <w:r>
        <w:rPr>
          <w:i/>
        </w:rPr>
        <w:t>7</w:t>
      </w:r>
      <w:r w:rsidRPr="007F1C63">
        <w:rPr>
          <w:i/>
        </w:rPr>
        <w:t>.</w:t>
      </w:r>
      <w:r w:rsidR="00771DCA">
        <w:rPr>
          <w:i/>
        </w:rPr>
        <w:t>2</w:t>
      </w:r>
      <w:r w:rsidRPr="007F1C63">
        <w:rPr>
          <w:i/>
        </w:rPr>
        <w:t xml:space="preserve">: </w:t>
      </w:r>
      <w:r w:rsidR="001218A8" w:rsidRPr="001218A8">
        <w:rPr>
          <w:b/>
          <w:i/>
        </w:rPr>
        <w:t>Zvýšenie inovačnej kapacity najmä malých a stredných podnikateľov v digitálnej ekonomike</w:t>
      </w:r>
    </w:p>
    <w:p w:rsidR="00D90E59" w:rsidRPr="00560E77" w:rsidRDefault="00D90E59" w:rsidP="00D90E59">
      <w:pPr>
        <w:spacing w:before="180"/>
        <w:jc w:val="both"/>
        <w:rPr>
          <w:rFonts w:ascii="Arial Narrow" w:hAnsi="Arial Narrow"/>
          <w:b/>
          <w:i/>
          <w:color w:val="548DD4" w:themeColor="text2" w:themeTint="99"/>
          <w:sz w:val="22"/>
          <w:szCs w:val="22"/>
        </w:rPr>
      </w:pPr>
      <w:r w:rsidRPr="00560E77">
        <w:rPr>
          <w:rFonts w:ascii="Arial Narrow" w:hAnsi="Arial Narrow"/>
          <w:b/>
          <w:i/>
          <w:color w:val="548DD4" w:themeColor="text2" w:themeTint="99"/>
          <w:sz w:val="22"/>
          <w:szCs w:val="22"/>
        </w:rPr>
        <w:t>Opis východiskovej situácie</w:t>
      </w:r>
    </w:p>
    <w:p w:rsidR="00771DCA" w:rsidRPr="003E5117" w:rsidRDefault="00771DCA" w:rsidP="00771DCA">
      <w:pPr>
        <w:spacing w:before="120" w:after="60"/>
        <w:jc w:val="both"/>
        <w:rPr>
          <w:sz w:val="22"/>
          <w:szCs w:val="20"/>
          <w:lang w:eastAsia="en-US"/>
        </w:rPr>
      </w:pPr>
      <w:r w:rsidRPr="003E5117">
        <w:rPr>
          <w:sz w:val="22"/>
          <w:szCs w:val="20"/>
          <w:lang w:eastAsia="en-US"/>
        </w:rPr>
        <w:t>Inovačná kapacita slovenskej ekonomiky je stále nedostatočná a ovplyvnená slabým podnikateľským prostredím a nedostatočne rozvinutým systémom výskumu a inovácií. Slovenské hospodárstvo sa musí viac orientovať na poznatkovo-intenzívne ekonomické aktivity a diverzifikovať hlavne do sektora služieb. Digitálna ekonomika je základom vedomostnej spoločnosti, pretože prispieva k rozvoju komunikačných technológii spájajúcich ľudí a k efektívnej výmene informácii, produktov a služieb. Zavádzanie IKT technológii má tiež vysoký potenciál zvyšovania produktivity práce v privátnom aj verejnom sektore a tým pádom aj zlepšovania konkurencieschopnosti.</w:t>
      </w:r>
    </w:p>
    <w:p w:rsidR="00771DCA" w:rsidRPr="003E5117" w:rsidRDefault="00771DCA" w:rsidP="00771DCA">
      <w:pPr>
        <w:spacing w:before="120" w:after="60"/>
        <w:jc w:val="both"/>
        <w:rPr>
          <w:sz w:val="22"/>
          <w:szCs w:val="20"/>
          <w:lang w:eastAsia="en-US"/>
        </w:rPr>
      </w:pPr>
      <w:r w:rsidRPr="003E5117">
        <w:rPr>
          <w:sz w:val="22"/>
          <w:szCs w:val="20"/>
          <w:lang w:eastAsia="en-US"/>
        </w:rPr>
        <w:t xml:space="preserve">Malí a strední podnikatelia musia inovovať svoje procesy a ponúkať inovatívne riešenia. Identifikovanými problematickými oblasťami, ktoré bránia plnému rozvoju elektronického obchodu a inovácii a tým pádom aj rastu digitálnej ekonomiky sú: </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Nedostatočná dôvera v jednotný digitálny trh (napriek zákonu č. 22/2004 Z. z. o elektronickom obchode a o zmene a doplnení zákona č. 128/2002 Z. z. o štátnej kontrole vnútorného trhu vo veciach ochrany spotrebiteľa, do ktorého bola transponovaná smernica Európskeho parlamentu a rady č. 2000/31/ES o elektronickom obchode);</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Zložitý prístup na jednotný digitálny trh;</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Nedostatočne rozvinuté nástroje pre podporu inovácie;</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Chýbajúce možnosti zdieľania existujúcich riešení a technologických platforiem verejnej správy s malými a strednými podnikateľmi.</w:t>
      </w:r>
    </w:p>
    <w:p w:rsidR="00771DCA" w:rsidRPr="003E5117" w:rsidRDefault="00771DCA" w:rsidP="00771DCA">
      <w:pPr>
        <w:spacing w:before="120" w:after="60"/>
        <w:jc w:val="both"/>
        <w:rPr>
          <w:sz w:val="22"/>
          <w:szCs w:val="20"/>
          <w:lang w:eastAsia="en-US"/>
        </w:rPr>
      </w:pPr>
      <w:r w:rsidRPr="003E5117">
        <w:rPr>
          <w:sz w:val="22"/>
          <w:szCs w:val="20"/>
          <w:lang w:eastAsia="en-US"/>
        </w:rPr>
        <w:t xml:space="preserve">V období 2014 až 2020 budú systematicky podporované možnosti podnikania </w:t>
      </w:r>
      <w:r>
        <w:rPr>
          <w:sz w:val="22"/>
          <w:szCs w:val="20"/>
          <w:lang w:eastAsia="en-US"/>
        </w:rPr>
        <w:t xml:space="preserve">najmä </w:t>
      </w:r>
      <w:r w:rsidRPr="003E5117">
        <w:rPr>
          <w:sz w:val="22"/>
          <w:szCs w:val="20"/>
          <w:lang w:eastAsia="en-US"/>
        </w:rPr>
        <w:t>MSP:</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Zabezpečí sa, aby elektronický obchod bol jednoduchší a dôveryhodnejší a stal sa tak podmienkou presunu a rozvoju aktivít do digitálnej ekonomiky;</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Podnikatelia získajú prístup k zdieľaným službám budovaným v eGovernmente na komerčné účely (dátové schránky, AAA platforma, cloudové služby a iné);</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Verejná správa vytvorí významný dopyt po inovatívnych riešeniach v oblastiach, ako mobilný government, vizualizácie, dátové analýzy a podobne, ktoré sú vhodné pre riešenie prostredníctvom služieb najmä MSP.</w:t>
      </w:r>
    </w:p>
    <w:p w:rsidR="00D90E59" w:rsidRPr="007F1C63" w:rsidRDefault="00D90E59" w:rsidP="00D90E59">
      <w:pPr>
        <w:spacing w:before="180" w:after="120"/>
        <w:rPr>
          <w:rFonts w:ascii="Arial Narrow" w:hAnsi="Arial Narrow"/>
          <w:b/>
          <w:i/>
          <w:color w:val="548DD4" w:themeColor="text2" w:themeTint="99"/>
          <w:sz w:val="22"/>
          <w:szCs w:val="22"/>
        </w:rPr>
      </w:pPr>
      <w:r w:rsidRPr="007F1C63">
        <w:rPr>
          <w:rFonts w:ascii="Arial Narrow" w:hAnsi="Arial Narrow"/>
          <w:b/>
          <w:i/>
          <w:color w:val="548DD4" w:themeColor="text2" w:themeTint="99"/>
          <w:sz w:val="22"/>
          <w:szCs w:val="22"/>
        </w:rPr>
        <w:t>VÝSLEDKY</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Zvýšenie integrovanosti Slovenska do jednotného digitálneho trhu - zvýši sa predaj a nákup tovaru a služieb online;</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Zvýšenie životaschopnosti malých a stredných podnikateľov vďaka možnostiam, ktoré poskytnú zdieľané služby verejnej správy;</w:t>
      </w:r>
    </w:p>
    <w:p w:rsidR="00E92F9B" w:rsidRDefault="001218A8" w:rsidP="00FE6025">
      <w:pPr>
        <w:pStyle w:val="Odsekzoznamu"/>
        <w:numPr>
          <w:ilvl w:val="0"/>
          <w:numId w:val="28"/>
        </w:numPr>
        <w:autoSpaceDE w:val="0"/>
        <w:autoSpaceDN w:val="0"/>
        <w:adjustRightInd w:val="0"/>
        <w:jc w:val="both"/>
        <w:rPr>
          <w:snapToGrid w:val="0"/>
          <w:sz w:val="22"/>
          <w:szCs w:val="23"/>
          <w:lang w:eastAsia="cs-CZ"/>
        </w:rPr>
      </w:pPr>
      <w:r w:rsidRPr="001218A8">
        <w:rPr>
          <w:sz w:val="22"/>
          <w:szCs w:val="20"/>
          <w:lang w:eastAsia="cs-CZ"/>
        </w:rPr>
        <w:t>Zvýšenie dopytu po inovatívnych riešeniach v oblasti informačno-komunikačných technológií vyvolá rast počtu MSP, ktorí sa budú podieľať na vytváraní takýchto riešení</w:t>
      </w:r>
      <w:r w:rsidR="00771DCA">
        <w:rPr>
          <w:sz w:val="22"/>
          <w:szCs w:val="20"/>
          <w:lang w:eastAsia="cs-CZ"/>
        </w:rPr>
        <w:t>.</w:t>
      </w:r>
    </w:p>
    <w:p w:rsidR="00D90E59" w:rsidRDefault="00BE1DDE" w:rsidP="00D90E59">
      <w:pPr>
        <w:pStyle w:val="Tab"/>
      </w:pPr>
      <w:r>
        <w:t xml:space="preserve">Špecifické </w:t>
      </w:r>
      <w:r w:rsidR="00D90E59" w:rsidRPr="007F1C63">
        <w:t>ukazovatele</w:t>
      </w:r>
      <w:r>
        <w:t xml:space="preserve"> výsledkov programu</w:t>
      </w:r>
      <w:r w:rsidR="00D90E59" w:rsidRPr="007F1C63">
        <w:t xml:space="preserve"> zodpovedajúce špecifickému cieľu</w:t>
      </w:r>
      <w:r w:rsidR="00771DCA">
        <w:t xml:space="preserve"> 7.2</w:t>
      </w:r>
    </w:p>
    <w:tbl>
      <w:tblPr>
        <w:tblStyle w:val="Mriekatabuky"/>
        <w:tblW w:w="9866" w:type="dxa"/>
        <w:tblLayout w:type="fixed"/>
        <w:tblLook w:val="04A0"/>
      </w:tblPr>
      <w:tblGrid>
        <w:gridCol w:w="556"/>
        <w:gridCol w:w="1820"/>
        <w:gridCol w:w="910"/>
        <w:gridCol w:w="1008"/>
        <w:gridCol w:w="1330"/>
        <w:gridCol w:w="1301"/>
        <w:gridCol w:w="896"/>
        <w:gridCol w:w="858"/>
        <w:gridCol w:w="1187"/>
      </w:tblGrid>
      <w:tr w:rsidR="00771DCA" w:rsidRPr="00C40332" w:rsidTr="00B80F3A">
        <w:trPr>
          <w:trHeight w:val="454"/>
        </w:trPr>
        <w:tc>
          <w:tcPr>
            <w:tcW w:w="556" w:type="dxa"/>
            <w:shd w:val="clear" w:color="auto" w:fill="C6D9F1" w:themeFill="text2" w:themeFillTint="33"/>
            <w:vAlign w:val="center"/>
          </w:tcPr>
          <w:p w:rsidR="00771DCA" w:rsidRPr="00771DCA" w:rsidRDefault="00BE1DDE" w:rsidP="00B80F3A">
            <w:pPr>
              <w:ind w:left="0"/>
              <w:rPr>
                <w:b/>
                <w:sz w:val="18"/>
                <w:szCs w:val="18"/>
              </w:rPr>
            </w:pPr>
            <w:r>
              <w:rPr>
                <w:b/>
                <w:sz w:val="18"/>
                <w:szCs w:val="18"/>
              </w:rPr>
              <w:t>P. č.</w:t>
            </w:r>
          </w:p>
        </w:tc>
        <w:tc>
          <w:tcPr>
            <w:tcW w:w="1820" w:type="dxa"/>
            <w:shd w:val="clear" w:color="auto" w:fill="C6D9F1" w:themeFill="text2" w:themeFillTint="33"/>
            <w:vAlign w:val="center"/>
          </w:tcPr>
          <w:p w:rsidR="00771DCA" w:rsidRPr="00771DCA" w:rsidRDefault="001218A8" w:rsidP="00B80F3A">
            <w:pPr>
              <w:ind w:left="0"/>
              <w:rPr>
                <w:b/>
                <w:sz w:val="18"/>
                <w:szCs w:val="18"/>
              </w:rPr>
            </w:pPr>
            <w:r w:rsidRPr="001218A8">
              <w:rPr>
                <w:b/>
                <w:sz w:val="18"/>
                <w:szCs w:val="18"/>
              </w:rPr>
              <w:t>Ukazovateľ</w:t>
            </w:r>
          </w:p>
        </w:tc>
        <w:tc>
          <w:tcPr>
            <w:tcW w:w="910" w:type="dxa"/>
            <w:shd w:val="clear" w:color="auto" w:fill="C6D9F1" w:themeFill="text2" w:themeFillTint="33"/>
            <w:vAlign w:val="center"/>
          </w:tcPr>
          <w:p w:rsidR="00771DCA" w:rsidRPr="00771DCA" w:rsidRDefault="001218A8" w:rsidP="00B80F3A">
            <w:pPr>
              <w:ind w:left="0"/>
              <w:jc w:val="center"/>
              <w:rPr>
                <w:b/>
                <w:sz w:val="18"/>
                <w:szCs w:val="18"/>
              </w:rPr>
            </w:pPr>
            <w:r w:rsidRPr="001218A8">
              <w:rPr>
                <w:b/>
                <w:sz w:val="18"/>
                <w:szCs w:val="18"/>
              </w:rPr>
              <w:t>Merná jednotka</w:t>
            </w:r>
          </w:p>
        </w:tc>
        <w:tc>
          <w:tcPr>
            <w:tcW w:w="1008" w:type="dxa"/>
            <w:shd w:val="clear" w:color="auto" w:fill="C6D9F1" w:themeFill="text2" w:themeFillTint="33"/>
            <w:vAlign w:val="center"/>
          </w:tcPr>
          <w:p w:rsidR="00771DCA" w:rsidRPr="00771DCA" w:rsidRDefault="001218A8" w:rsidP="00B80F3A">
            <w:pPr>
              <w:ind w:left="0"/>
              <w:jc w:val="center"/>
              <w:rPr>
                <w:b/>
                <w:sz w:val="18"/>
                <w:szCs w:val="18"/>
                <w:highlight w:val="yellow"/>
              </w:rPr>
            </w:pPr>
            <w:r w:rsidRPr="001218A8">
              <w:rPr>
                <w:b/>
                <w:sz w:val="18"/>
                <w:szCs w:val="18"/>
              </w:rPr>
              <w:t>Kategória regiónu</w:t>
            </w:r>
          </w:p>
        </w:tc>
        <w:tc>
          <w:tcPr>
            <w:tcW w:w="1330" w:type="dxa"/>
            <w:shd w:val="clear" w:color="auto" w:fill="C6D9F1" w:themeFill="text2" w:themeFillTint="33"/>
            <w:vAlign w:val="center"/>
          </w:tcPr>
          <w:p w:rsidR="00771DCA" w:rsidRPr="00771DCA" w:rsidRDefault="001218A8" w:rsidP="00B80F3A">
            <w:pPr>
              <w:ind w:left="0"/>
              <w:jc w:val="center"/>
              <w:rPr>
                <w:b/>
                <w:sz w:val="18"/>
                <w:szCs w:val="18"/>
              </w:rPr>
            </w:pPr>
            <w:r w:rsidRPr="001218A8">
              <w:rPr>
                <w:b/>
                <w:sz w:val="18"/>
                <w:szCs w:val="18"/>
              </w:rPr>
              <w:t>Východisková hodnota</w:t>
            </w:r>
          </w:p>
        </w:tc>
        <w:tc>
          <w:tcPr>
            <w:tcW w:w="1301" w:type="dxa"/>
            <w:shd w:val="clear" w:color="auto" w:fill="C6D9F1" w:themeFill="text2" w:themeFillTint="33"/>
            <w:vAlign w:val="center"/>
          </w:tcPr>
          <w:p w:rsidR="00771DCA" w:rsidRPr="00771DCA" w:rsidRDefault="001218A8" w:rsidP="00B80F3A">
            <w:pPr>
              <w:ind w:left="0"/>
              <w:jc w:val="center"/>
              <w:rPr>
                <w:b/>
                <w:sz w:val="18"/>
                <w:szCs w:val="18"/>
              </w:rPr>
            </w:pPr>
            <w:r w:rsidRPr="001218A8">
              <w:rPr>
                <w:b/>
                <w:sz w:val="18"/>
                <w:szCs w:val="18"/>
              </w:rPr>
              <w:t>Východiskový rok</w:t>
            </w:r>
          </w:p>
        </w:tc>
        <w:tc>
          <w:tcPr>
            <w:tcW w:w="896" w:type="dxa"/>
            <w:shd w:val="clear" w:color="auto" w:fill="C6D9F1" w:themeFill="text2" w:themeFillTint="33"/>
            <w:vAlign w:val="center"/>
          </w:tcPr>
          <w:p w:rsidR="00771DCA" w:rsidRPr="00771DCA" w:rsidRDefault="001218A8" w:rsidP="00B80F3A">
            <w:pPr>
              <w:ind w:left="0"/>
              <w:jc w:val="center"/>
              <w:rPr>
                <w:b/>
                <w:sz w:val="18"/>
                <w:szCs w:val="18"/>
              </w:rPr>
            </w:pPr>
            <w:r w:rsidRPr="001218A8">
              <w:rPr>
                <w:b/>
                <w:sz w:val="18"/>
                <w:szCs w:val="18"/>
              </w:rPr>
              <w:t>Cieľová hodnota</w:t>
            </w:r>
          </w:p>
        </w:tc>
        <w:tc>
          <w:tcPr>
            <w:tcW w:w="858" w:type="dxa"/>
            <w:shd w:val="clear" w:color="auto" w:fill="C6D9F1" w:themeFill="text2" w:themeFillTint="33"/>
            <w:vAlign w:val="center"/>
          </w:tcPr>
          <w:p w:rsidR="00771DCA" w:rsidRPr="00771DCA" w:rsidRDefault="001218A8" w:rsidP="00B80F3A">
            <w:pPr>
              <w:ind w:left="0"/>
              <w:jc w:val="center"/>
              <w:rPr>
                <w:b/>
                <w:sz w:val="18"/>
                <w:szCs w:val="18"/>
              </w:rPr>
            </w:pPr>
            <w:r w:rsidRPr="001218A8">
              <w:rPr>
                <w:b/>
                <w:sz w:val="18"/>
                <w:szCs w:val="18"/>
              </w:rPr>
              <w:t>Zdroj údajov</w:t>
            </w:r>
          </w:p>
        </w:tc>
        <w:tc>
          <w:tcPr>
            <w:tcW w:w="1187" w:type="dxa"/>
            <w:shd w:val="clear" w:color="auto" w:fill="C6D9F1" w:themeFill="text2" w:themeFillTint="33"/>
            <w:vAlign w:val="center"/>
          </w:tcPr>
          <w:p w:rsidR="00771DCA" w:rsidRPr="00771DCA" w:rsidRDefault="00445E30" w:rsidP="00B80F3A">
            <w:pPr>
              <w:ind w:left="0"/>
              <w:jc w:val="center"/>
              <w:rPr>
                <w:b/>
                <w:sz w:val="18"/>
                <w:szCs w:val="18"/>
              </w:rPr>
            </w:pPr>
            <w:r>
              <w:rPr>
                <w:b/>
                <w:sz w:val="18"/>
                <w:szCs w:val="18"/>
              </w:rPr>
              <w:t>Frekvencia</w:t>
            </w:r>
            <w:r w:rsidR="001218A8" w:rsidRPr="001218A8">
              <w:rPr>
                <w:b/>
                <w:sz w:val="18"/>
                <w:szCs w:val="18"/>
              </w:rPr>
              <w:t xml:space="preserve"> vykazovania</w:t>
            </w:r>
          </w:p>
        </w:tc>
      </w:tr>
      <w:tr w:rsidR="00771DCA" w:rsidRPr="00B02869" w:rsidTr="00B80F3A">
        <w:trPr>
          <w:trHeight w:val="340"/>
        </w:trPr>
        <w:tc>
          <w:tcPr>
            <w:tcW w:w="556" w:type="dxa"/>
            <w:vAlign w:val="center"/>
          </w:tcPr>
          <w:p w:rsidR="00771DCA" w:rsidRPr="00B02869" w:rsidRDefault="00771DCA" w:rsidP="00B80F3A">
            <w:pPr>
              <w:ind w:left="0"/>
              <w:rPr>
                <w:sz w:val="18"/>
                <w:szCs w:val="18"/>
              </w:rPr>
            </w:pPr>
            <w:r w:rsidRPr="00B02869">
              <w:rPr>
                <w:sz w:val="18"/>
                <w:szCs w:val="18"/>
              </w:rPr>
              <w:t>1.</w:t>
            </w:r>
          </w:p>
        </w:tc>
        <w:tc>
          <w:tcPr>
            <w:tcW w:w="1820" w:type="dxa"/>
            <w:vAlign w:val="center"/>
          </w:tcPr>
          <w:p w:rsidR="00771DCA" w:rsidRPr="00B02869" w:rsidRDefault="00771DCA" w:rsidP="00B80F3A">
            <w:pPr>
              <w:ind w:left="0"/>
              <w:rPr>
                <w:sz w:val="18"/>
                <w:szCs w:val="18"/>
              </w:rPr>
            </w:pPr>
            <w:r>
              <w:rPr>
                <w:sz w:val="18"/>
                <w:szCs w:val="18"/>
              </w:rPr>
              <w:t>Percento MSP predávajúce tovar a služby online</w:t>
            </w:r>
            <w:r w:rsidRPr="00B02869" w:rsidDel="003E5117">
              <w:rPr>
                <w:sz w:val="18"/>
                <w:szCs w:val="18"/>
              </w:rPr>
              <w:t xml:space="preserve"> </w:t>
            </w:r>
          </w:p>
        </w:tc>
        <w:tc>
          <w:tcPr>
            <w:tcW w:w="910" w:type="dxa"/>
            <w:vAlign w:val="center"/>
          </w:tcPr>
          <w:p w:rsidR="00771DCA" w:rsidRPr="00B02869" w:rsidRDefault="00771DCA" w:rsidP="00B80F3A">
            <w:pPr>
              <w:ind w:left="0"/>
              <w:jc w:val="center"/>
              <w:rPr>
                <w:b/>
                <w:bCs/>
                <w:sz w:val="18"/>
                <w:szCs w:val="18"/>
              </w:rPr>
            </w:pPr>
            <w:r w:rsidRPr="00B02869">
              <w:rPr>
                <w:sz w:val="18"/>
                <w:szCs w:val="18"/>
              </w:rPr>
              <w:t>%</w:t>
            </w:r>
          </w:p>
        </w:tc>
        <w:tc>
          <w:tcPr>
            <w:tcW w:w="1008" w:type="dxa"/>
            <w:vAlign w:val="center"/>
          </w:tcPr>
          <w:p w:rsidR="00771DCA" w:rsidRPr="00284BBB" w:rsidRDefault="00771DCA" w:rsidP="00B80F3A">
            <w:pPr>
              <w:ind w:left="0"/>
              <w:jc w:val="center"/>
              <w:rPr>
                <w:sz w:val="18"/>
                <w:szCs w:val="18"/>
              </w:rPr>
            </w:pPr>
            <w:r w:rsidRPr="00284BBB">
              <w:rPr>
                <w:sz w:val="16"/>
                <w:szCs w:val="16"/>
              </w:rPr>
              <w:t xml:space="preserve">Menej rozvinuté regióny </w:t>
            </w:r>
          </w:p>
        </w:tc>
        <w:tc>
          <w:tcPr>
            <w:tcW w:w="1330" w:type="dxa"/>
            <w:vAlign w:val="center"/>
          </w:tcPr>
          <w:p w:rsidR="00771DCA" w:rsidRPr="00B02869" w:rsidRDefault="00771DCA" w:rsidP="00B80F3A">
            <w:pPr>
              <w:ind w:left="0"/>
              <w:jc w:val="center"/>
              <w:rPr>
                <w:sz w:val="18"/>
                <w:szCs w:val="18"/>
              </w:rPr>
            </w:pPr>
            <w:r>
              <w:rPr>
                <w:sz w:val="18"/>
                <w:szCs w:val="18"/>
              </w:rPr>
              <w:t>11,6</w:t>
            </w:r>
          </w:p>
        </w:tc>
        <w:tc>
          <w:tcPr>
            <w:tcW w:w="1301" w:type="dxa"/>
            <w:vAlign w:val="center"/>
          </w:tcPr>
          <w:p w:rsidR="00771DCA" w:rsidRPr="00B02869" w:rsidRDefault="00771DCA" w:rsidP="00B80F3A">
            <w:pPr>
              <w:ind w:left="0"/>
              <w:jc w:val="center"/>
              <w:rPr>
                <w:sz w:val="18"/>
                <w:szCs w:val="18"/>
              </w:rPr>
            </w:pPr>
            <w:r w:rsidRPr="00B02869">
              <w:rPr>
                <w:sz w:val="18"/>
                <w:szCs w:val="18"/>
              </w:rPr>
              <w:t>201</w:t>
            </w:r>
            <w:r>
              <w:rPr>
                <w:sz w:val="18"/>
                <w:szCs w:val="18"/>
              </w:rPr>
              <w:t>2</w:t>
            </w:r>
          </w:p>
        </w:tc>
        <w:tc>
          <w:tcPr>
            <w:tcW w:w="896" w:type="dxa"/>
            <w:vAlign w:val="center"/>
          </w:tcPr>
          <w:p w:rsidR="00771DCA" w:rsidRPr="00B02869" w:rsidRDefault="00771DCA" w:rsidP="00B80F3A">
            <w:pPr>
              <w:ind w:left="0"/>
              <w:jc w:val="center"/>
              <w:rPr>
                <w:sz w:val="18"/>
                <w:szCs w:val="18"/>
              </w:rPr>
            </w:pPr>
            <w:r>
              <w:rPr>
                <w:sz w:val="18"/>
                <w:szCs w:val="18"/>
              </w:rPr>
              <w:t>4</w:t>
            </w:r>
            <w:r w:rsidRPr="00B02869">
              <w:rPr>
                <w:sz w:val="18"/>
                <w:szCs w:val="18"/>
              </w:rPr>
              <w:t>0</w:t>
            </w:r>
          </w:p>
        </w:tc>
        <w:tc>
          <w:tcPr>
            <w:tcW w:w="858" w:type="dxa"/>
            <w:vAlign w:val="center"/>
          </w:tcPr>
          <w:p w:rsidR="00771DCA" w:rsidRPr="00B02869" w:rsidRDefault="00771DCA" w:rsidP="00B80F3A">
            <w:pPr>
              <w:ind w:left="0"/>
              <w:jc w:val="center"/>
              <w:rPr>
                <w:sz w:val="18"/>
                <w:szCs w:val="18"/>
              </w:rPr>
            </w:pPr>
            <w:r>
              <w:rPr>
                <w:sz w:val="18"/>
                <w:szCs w:val="18"/>
              </w:rPr>
              <w:t>Eurostat</w:t>
            </w:r>
          </w:p>
        </w:tc>
        <w:tc>
          <w:tcPr>
            <w:tcW w:w="1187" w:type="dxa"/>
            <w:vAlign w:val="center"/>
          </w:tcPr>
          <w:p w:rsidR="00771DCA" w:rsidRPr="00B02869" w:rsidRDefault="00771DCA" w:rsidP="00B80F3A">
            <w:pPr>
              <w:ind w:left="0"/>
              <w:jc w:val="center"/>
              <w:rPr>
                <w:sz w:val="18"/>
                <w:szCs w:val="18"/>
              </w:rPr>
            </w:pPr>
            <w:r w:rsidRPr="00B02869">
              <w:rPr>
                <w:sz w:val="18"/>
                <w:szCs w:val="18"/>
              </w:rPr>
              <w:t>Ročne</w:t>
            </w:r>
          </w:p>
        </w:tc>
      </w:tr>
      <w:tr w:rsidR="00771DCA" w:rsidRPr="00B02869" w:rsidTr="00B80F3A">
        <w:trPr>
          <w:trHeight w:val="340"/>
        </w:trPr>
        <w:tc>
          <w:tcPr>
            <w:tcW w:w="556" w:type="dxa"/>
            <w:vAlign w:val="center"/>
          </w:tcPr>
          <w:p w:rsidR="00771DCA" w:rsidRPr="00B02869" w:rsidRDefault="00771DCA" w:rsidP="00B80F3A">
            <w:pPr>
              <w:ind w:left="0"/>
              <w:rPr>
                <w:sz w:val="18"/>
                <w:szCs w:val="18"/>
              </w:rPr>
            </w:pPr>
            <w:r w:rsidRPr="00B02869">
              <w:rPr>
                <w:sz w:val="18"/>
                <w:szCs w:val="18"/>
              </w:rPr>
              <w:t>2.</w:t>
            </w:r>
          </w:p>
        </w:tc>
        <w:tc>
          <w:tcPr>
            <w:tcW w:w="1820" w:type="dxa"/>
            <w:vAlign w:val="center"/>
          </w:tcPr>
          <w:p w:rsidR="00771DCA" w:rsidRPr="00B02869" w:rsidRDefault="00771DCA" w:rsidP="00B80F3A">
            <w:pPr>
              <w:ind w:left="0"/>
              <w:rPr>
                <w:sz w:val="18"/>
                <w:szCs w:val="18"/>
              </w:rPr>
            </w:pPr>
            <w:r>
              <w:rPr>
                <w:sz w:val="18"/>
                <w:szCs w:val="18"/>
              </w:rPr>
              <w:t>Percento občanov objednávajúcich tovar a služby online</w:t>
            </w:r>
            <w:r w:rsidRPr="00B02869" w:rsidDel="003E5117">
              <w:rPr>
                <w:sz w:val="18"/>
                <w:szCs w:val="18"/>
              </w:rPr>
              <w:t xml:space="preserve"> </w:t>
            </w:r>
          </w:p>
        </w:tc>
        <w:tc>
          <w:tcPr>
            <w:tcW w:w="910" w:type="dxa"/>
            <w:vAlign w:val="center"/>
          </w:tcPr>
          <w:p w:rsidR="00771DCA" w:rsidRPr="00B02869" w:rsidRDefault="00771DCA" w:rsidP="00B80F3A">
            <w:pPr>
              <w:ind w:left="0"/>
              <w:jc w:val="center"/>
              <w:rPr>
                <w:sz w:val="18"/>
                <w:szCs w:val="18"/>
              </w:rPr>
            </w:pPr>
            <w:r w:rsidRPr="00B02869">
              <w:rPr>
                <w:sz w:val="18"/>
                <w:szCs w:val="18"/>
              </w:rPr>
              <w:t>%</w:t>
            </w:r>
          </w:p>
        </w:tc>
        <w:tc>
          <w:tcPr>
            <w:tcW w:w="1008" w:type="dxa"/>
            <w:vAlign w:val="center"/>
          </w:tcPr>
          <w:p w:rsidR="00771DCA" w:rsidRPr="00284BBB" w:rsidRDefault="00771DCA" w:rsidP="00B80F3A">
            <w:pPr>
              <w:ind w:left="0"/>
              <w:jc w:val="center"/>
              <w:rPr>
                <w:sz w:val="18"/>
                <w:szCs w:val="18"/>
              </w:rPr>
            </w:pPr>
            <w:r w:rsidRPr="00284BBB">
              <w:rPr>
                <w:sz w:val="16"/>
                <w:szCs w:val="16"/>
              </w:rPr>
              <w:t>Menej rozvinuté regióny</w:t>
            </w:r>
          </w:p>
        </w:tc>
        <w:tc>
          <w:tcPr>
            <w:tcW w:w="1330" w:type="dxa"/>
            <w:vAlign w:val="center"/>
          </w:tcPr>
          <w:p w:rsidR="00771DCA" w:rsidRPr="00B02869" w:rsidRDefault="00771DCA" w:rsidP="00B80F3A">
            <w:pPr>
              <w:ind w:left="0"/>
              <w:jc w:val="center"/>
              <w:rPr>
                <w:sz w:val="18"/>
                <w:szCs w:val="18"/>
              </w:rPr>
            </w:pPr>
            <w:r>
              <w:rPr>
                <w:sz w:val="18"/>
                <w:szCs w:val="18"/>
              </w:rPr>
              <w:t>44,7</w:t>
            </w:r>
          </w:p>
        </w:tc>
        <w:tc>
          <w:tcPr>
            <w:tcW w:w="1301" w:type="dxa"/>
            <w:vAlign w:val="center"/>
          </w:tcPr>
          <w:p w:rsidR="00771DCA" w:rsidRPr="00B02869" w:rsidRDefault="00771DCA" w:rsidP="00B80F3A">
            <w:pPr>
              <w:ind w:left="0"/>
              <w:jc w:val="center"/>
              <w:rPr>
                <w:sz w:val="18"/>
                <w:szCs w:val="18"/>
              </w:rPr>
            </w:pPr>
            <w:r w:rsidRPr="00B02869">
              <w:rPr>
                <w:sz w:val="18"/>
                <w:szCs w:val="18"/>
              </w:rPr>
              <w:t>201</w:t>
            </w:r>
            <w:r>
              <w:rPr>
                <w:sz w:val="18"/>
                <w:szCs w:val="18"/>
              </w:rPr>
              <w:t>2</w:t>
            </w:r>
          </w:p>
        </w:tc>
        <w:tc>
          <w:tcPr>
            <w:tcW w:w="896" w:type="dxa"/>
            <w:vAlign w:val="center"/>
          </w:tcPr>
          <w:p w:rsidR="00771DCA" w:rsidRPr="00B02869" w:rsidRDefault="00771DCA" w:rsidP="00B80F3A">
            <w:pPr>
              <w:ind w:left="0"/>
              <w:jc w:val="center"/>
              <w:rPr>
                <w:sz w:val="18"/>
                <w:szCs w:val="18"/>
              </w:rPr>
            </w:pPr>
            <w:r>
              <w:rPr>
                <w:sz w:val="18"/>
                <w:szCs w:val="18"/>
              </w:rPr>
              <w:t>70</w:t>
            </w:r>
          </w:p>
        </w:tc>
        <w:tc>
          <w:tcPr>
            <w:tcW w:w="858" w:type="dxa"/>
            <w:vAlign w:val="center"/>
          </w:tcPr>
          <w:p w:rsidR="00771DCA" w:rsidRPr="00B02869" w:rsidRDefault="00771DCA" w:rsidP="00B80F3A">
            <w:pPr>
              <w:ind w:left="0"/>
              <w:jc w:val="center"/>
              <w:rPr>
                <w:sz w:val="18"/>
                <w:szCs w:val="18"/>
              </w:rPr>
            </w:pPr>
            <w:r>
              <w:rPr>
                <w:sz w:val="18"/>
                <w:szCs w:val="18"/>
              </w:rPr>
              <w:t>Eurostat</w:t>
            </w:r>
          </w:p>
        </w:tc>
        <w:tc>
          <w:tcPr>
            <w:tcW w:w="1187" w:type="dxa"/>
            <w:vAlign w:val="center"/>
          </w:tcPr>
          <w:p w:rsidR="00771DCA" w:rsidRPr="00B02869" w:rsidRDefault="00771DCA" w:rsidP="00B80F3A">
            <w:pPr>
              <w:ind w:left="0"/>
              <w:jc w:val="center"/>
              <w:rPr>
                <w:sz w:val="18"/>
                <w:szCs w:val="18"/>
              </w:rPr>
            </w:pPr>
            <w:r w:rsidRPr="00B02869">
              <w:rPr>
                <w:sz w:val="18"/>
                <w:szCs w:val="18"/>
              </w:rPr>
              <w:t>Ročne</w:t>
            </w:r>
          </w:p>
        </w:tc>
      </w:tr>
    </w:tbl>
    <w:p w:rsidR="00E92F9B" w:rsidRDefault="00E92F9B"/>
    <w:p w:rsidR="00D90E59" w:rsidRPr="007F1C63" w:rsidRDefault="00D90E59" w:rsidP="000767A2">
      <w:pPr>
        <w:pStyle w:val="Nadpis3"/>
      </w:pPr>
      <w:bookmarkStart w:id="78" w:name="_Toc385310727"/>
      <w:r>
        <w:lastRenderedPageBreak/>
        <w:t>A</w:t>
      </w:r>
      <w:r w:rsidRPr="007F1C63">
        <w:t>ktivity</w:t>
      </w:r>
      <w:r>
        <w:t>, ktoré budú podporené v rámci investičnej priority</w:t>
      </w:r>
      <w:bookmarkEnd w:id="78"/>
    </w:p>
    <w:p w:rsidR="00D90E59" w:rsidRPr="007F1C63" w:rsidRDefault="00D90E59" w:rsidP="00D90E59">
      <w:pPr>
        <w:keepNext/>
        <w:numPr>
          <w:ilvl w:val="3"/>
          <w:numId w:val="18"/>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Opis typu a príklady aktivít</w:t>
      </w:r>
    </w:p>
    <w:p w:rsidR="00D90E59" w:rsidRPr="007F1C63" w:rsidRDefault="00D90E59" w:rsidP="00D90E59">
      <w:pPr>
        <w:spacing w:before="180" w:after="120"/>
        <w:rPr>
          <w:sz w:val="22"/>
          <w:szCs w:val="22"/>
        </w:rPr>
      </w:pPr>
      <w:r w:rsidRPr="007F1C63">
        <w:rPr>
          <w:sz w:val="22"/>
          <w:szCs w:val="22"/>
          <w:u w:val="single"/>
        </w:rPr>
        <w:t xml:space="preserve">Investičná priorita </w:t>
      </w:r>
      <w:r>
        <w:rPr>
          <w:sz w:val="22"/>
          <w:szCs w:val="22"/>
          <w:u w:val="single"/>
        </w:rPr>
        <w:t>2</w:t>
      </w:r>
      <w:r w:rsidR="00771DCA">
        <w:rPr>
          <w:sz w:val="22"/>
          <w:szCs w:val="22"/>
          <w:u w:val="single"/>
        </w:rPr>
        <w:t>b</w:t>
      </w:r>
      <w:r w:rsidRPr="007F1C63">
        <w:rPr>
          <w:sz w:val="22"/>
          <w:szCs w:val="22"/>
          <w:u w:val="single"/>
        </w:rPr>
        <w:t>) bude napĺňaná prostredníctvom nasledujúcich aktivít</w:t>
      </w:r>
      <w:r w:rsidRPr="007F1C63">
        <w:rPr>
          <w:sz w:val="22"/>
          <w:szCs w:val="22"/>
        </w:rPr>
        <w:t>:</w:t>
      </w:r>
    </w:p>
    <w:p w:rsidR="00E92F9B" w:rsidRDefault="001218A8" w:rsidP="00FE6025">
      <w:pPr>
        <w:pStyle w:val="Odsekzoznamu"/>
        <w:numPr>
          <w:ilvl w:val="0"/>
          <w:numId w:val="66"/>
        </w:numPr>
        <w:ind w:left="426" w:hanging="426"/>
        <w:jc w:val="both"/>
        <w:rPr>
          <w:sz w:val="22"/>
          <w:szCs w:val="22"/>
        </w:rPr>
      </w:pPr>
      <w:r w:rsidRPr="001218A8">
        <w:rPr>
          <w:sz w:val="22"/>
          <w:szCs w:val="22"/>
        </w:rPr>
        <w:t>Zavádzanie opatrení pre zvýšenie používania elektronického obchodu:</w:t>
      </w:r>
    </w:p>
    <w:p w:rsidR="00E92F9B" w:rsidRDefault="00771DCA" w:rsidP="00FE6025">
      <w:pPr>
        <w:pStyle w:val="Odsekzoznamu"/>
        <w:numPr>
          <w:ilvl w:val="0"/>
          <w:numId w:val="28"/>
        </w:numPr>
        <w:jc w:val="both"/>
        <w:rPr>
          <w:sz w:val="22"/>
          <w:szCs w:val="22"/>
        </w:rPr>
      </w:pPr>
      <w:r w:rsidRPr="00771DCA">
        <w:rPr>
          <w:sz w:val="22"/>
          <w:szCs w:val="22"/>
        </w:rPr>
        <w:t>Zvyšovanie dôveryhodnosti elektronického obchodu (v rámci aktivity sa budú realizovať projekty, vďaka ktorým bude možné overovať pôsobenie a transakcie subjektov na elektronickom trhu, a pod.)</w:t>
      </w:r>
      <w:r w:rsidR="00BE1DDE">
        <w:rPr>
          <w:sz w:val="22"/>
          <w:szCs w:val="22"/>
        </w:rPr>
        <w:t>;</w:t>
      </w:r>
    </w:p>
    <w:p w:rsidR="00E92F9B" w:rsidRDefault="00771DCA" w:rsidP="00FE6025">
      <w:pPr>
        <w:pStyle w:val="Odsekzoznamu"/>
        <w:numPr>
          <w:ilvl w:val="0"/>
          <w:numId w:val="28"/>
        </w:numPr>
        <w:jc w:val="both"/>
        <w:rPr>
          <w:sz w:val="22"/>
          <w:szCs w:val="22"/>
        </w:rPr>
      </w:pPr>
      <w:r w:rsidRPr="00771DCA">
        <w:rPr>
          <w:sz w:val="22"/>
          <w:szCs w:val="22"/>
        </w:rPr>
        <w:t>Zjednodušovanie elektronického obchodu (v rámci aktivity sa budú realizovať projekty, vďaka ktorým sa znížia transakčné náklady a administratívna záťaž napríklad zjednodušovanie colného konania, zavádzanie elektronických platieb a faktúr. V rámci aktivity sa bude podporovať domáci aj cezhraničný elektronický obchod)</w:t>
      </w:r>
      <w:r>
        <w:rPr>
          <w:sz w:val="22"/>
          <w:szCs w:val="22"/>
        </w:rPr>
        <w:t>.</w:t>
      </w:r>
    </w:p>
    <w:p w:rsidR="00E92F9B" w:rsidRDefault="00771DCA" w:rsidP="00FE6025">
      <w:pPr>
        <w:pStyle w:val="Odsekzoznamu"/>
        <w:numPr>
          <w:ilvl w:val="0"/>
          <w:numId w:val="66"/>
        </w:numPr>
        <w:ind w:left="426" w:hanging="426"/>
        <w:jc w:val="both"/>
        <w:rPr>
          <w:sz w:val="22"/>
          <w:szCs w:val="22"/>
        </w:rPr>
      </w:pPr>
      <w:r w:rsidRPr="00771DCA">
        <w:rPr>
          <w:sz w:val="22"/>
          <w:szCs w:val="22"/>
        </w:rPr>
        <w:t>Rozšírenie možností pre elektronickú identifikáciu, autentifikáciu a autorizáciu v jednotnom digitálnom priestore:</w:t>
      </w:r>
    </w:p>
    <w:p w:rsidR="00E92F9B" w:rsidRDefault="00771DCA" w:rsidP="00FE6025">
      <w:pPr>
        <w:pStyle w:val="Odsekzoznamu"/>
        <w:numPr>
          <w:ilvl w:val="0"/>
          <w:numId w:val="28"/>
        </w:numPr>
        <w:jc w:val="both"/>
        <w:rPr>
          <w:sz w:val="22"/>
          <w:szCs w:val="22"/>
        </w:rPr>
      </w:pPr>
      <w:r w:rsidRPr="00771DCA">
        <w:rPr>
          <w:sz w:val="22"/>
          <w:szCs w:val="22"/>
        </w:rPr>
        <w:t>Umožnenie používania identít od súkromných poskytovateľov vo verejnej správe – vhodnosť a bezpečnosť takejto identity bude preverená v štúdii realizovateľnosti</w:t>
      </w:r>
      <w:r w:rsidR="00BE1DDE">
        <w:rPr>
          <w:sz w:val="22"/>
          <w:szCs w:val="22"/>
        </w:rPr>
        <w:t>;</w:t>
      </w:r>
    </w:p>
    <w:p w:rsidR="00E92F9B" w:rsidRDefault="00771DCA" w:rsidP="00FE6025">
      <w:pPr>
        <w:pStyle w:val="Odsekzoznamu"/>
        <w:numPr>
          <w:ilvl w:val="0"/>
          <w:numId w:val="28"/>
        </w:numPr>
        <w:jc w:val="both"/>
        <w:rPr>
          <w:sz w:val="22"/>
          <w:szCs w:val="22"/>
        </w:rPr>
      </w:pPr>
      <w:r w:rsidRPr="00771DCA">
        <w:rPr>
          <w:sz w:val="22"/>
          <w:szCs w:val="22"/>
        </w:rPr>
        <w:t>Poskytnutie eID identity pre súkromný sektor</w:t>
      </w:r>
      <w:r>
        <w:rPr>
          <w:sz w:val="22"/>
          <w:szCs w:val="22"/>
        </w:rPr>
        <w:t>.</w:t>
      </w:r>
    </w:p>
    <w:p w:rsidR="00E92F9B" w:rsidRDefault="00771DCA" w:rsidP="00FE6025">
      <w:pPr>
        <w:pStyle w:val="Odsekzoznamu"/>
        <w:numPr>
          <w:ilvl w:val="0"/>
          <w:numId w:val="66"/>
        </w:numPr>
        <w:ind w:left="426" w:hanging="426"/>
        <w:jc w:val="both"/>
        <w:rPr>
          <w:sz w:val="22"/>
          <w:szCs w:val="22"/>
        </w:rPr>
      </w:pPr>
      <w:r w:rsidRPr="00771DCA">
        <w:rPr>
          <w:sz w:val="22"/>
          <w:szCs w:val="22"/>
        </w:rPr>
        <w:t>Podpora najmä malých a stredných podnikateľov prostredníctvom zdieľaných služieb (Podnikatelia získajú prístup k službám, ktoré boli vyvinuté pôvodne pre potreby verejnej správy. Služby budú vhodne prispôsobené):</w:t>
      </w:r>
    </w:p>
    <w:p w:rsidR="00E92F9B" w:rsidRDefault="00771DCA" w:rsidP="00FE6025">
      <w:pPr>
        <w:pStyle w:val="Odsekzoznamu"/>
        <w:numPr>
          <w:ilvl w:val="0"/>
          <w:numId w:val="28"/>
        </w:numPr>
        <w:jc w:val="both"/>
        <w:rPr>
          <w:sz w:val="22"/>
          <w:szCs w:val="22"/>
        </w:rPr>
      </w:pPr>
      <w:r w:rsidRPr="00771DCA">
        <w:rPr>
          <w:sz w:val="22"/>
          <w:szCs w:val="22"/>
        </w:rPr>
        <w:t>Poskytovanie komunikačnej platformy a elektronického doručovania;</w:t>
      </w:r>
    </w:p>
    <w:p w:rsidR="00E92F9B" w:rsidRDefault="00771DCA" w:rsidP="00FE6025">
      <w:pPr>
        <w:pStyle w:val="Odsekzoznamu"/>
        <w:numPr>
          <w:ilvl w:val="0"/>
          <w:numId w:val="28"/>
        </w:numPr>
        <w:jc w:val="both"/>
        <w:rPr>
          <w:sz w:val="22"/>
          <w:szCs w:val="22"/>
        </w:rPr>
      </w:pPr>
      <w:r w:rsidRPr="00771DCA">
        <w:rPr>
          <w:sz w:val="22"/>
          <w:szCs w:val="22"/>
        </w:rPr>
        <w:t>Poskytovanie AAA a PKI infraštruktúry</w:t>
      </w:r>
      <w:r>
        <w:rPr>
          <w:sz w:val="22"/>
          <w:szCs w:val="22"/>
        </w:rPr>
        <w:t>;</w:t>
      </w:r>
    </w:p>
    <w:p w:rsidR="00E92F9B" w:rsidRDefault="00771DCA" w:rsidP="00FE6025">
      <w:pPr>
        <w:pStyle w:val="Odsekzoznamu"/>
        <w:numPr>
          <w:ilvl w:val="0"/>
          <w:numId w:val="28"/>
        </w:numPr>
        <w:jc w:val="both"/>
        <w:rPr>
          <w:sz w:val="22"/>
          <w:szCs w:val="22"/>
        </w:rPr>
      </w:pPr>
      <w:r w:rsidRPr="00771DCA">
        <w:rPr>
          <w:sz w:val="22"/>
          <w:szCs w:val="22"/>
        </w:rPr>
        <w:t>Poskytovanie cloudových služieb najmä MSP</w:t>
      </w:r>
      <w:r>
        <w:rPr>
          <w:sz w:val="22"/>
          <w:szCs w:val="22"/>
        </w:rPr>
        <w:t>;</w:t>
      </w:r>
    </w:p>
    <w:p w:rsidR="00E92F9B" w:rsidRDefault="00771DCA" w:rsidP="00FE6025">
      <w:pPr>
        <w:pStyle w:val="Odsekzoznamu"/>
        <w:numPr>
          <w:ilvl w:val="0"/>
          <w:numId w:val="28"/>
        </w:numPr>
        <w:jc w:val="both"/>
        <w:rPr>
          <w:sz w:val="22"/>
          <w:szCs w:val="22"/>
        </w:rPr>
      </w:pPr>
      <w:r w:rsidRPr="00771DCA">
        <w:rPr>
          <w:sz w:val="22"/>
          <w:szCs w:val="22"/>
        </w:rPr>
        <w:t>Poskytovanie platformy pre eLearning.</w:t>
      </w:r>
    </w:p>
    <w:p w:rsidR="00E92F9B" w:rsidRDefault="00E92F9B">
      <w:pPr>
        <w:pStyle w:val="Odsekzoznamu"/>
        <w:jc w:val="both"/>
        <w:rPr>
          <w:sz w:val="22"/>
          <w:szCs w:val="22"/>
        </w:rPr>
      </w:pPr>
    </w:p>
    <w:p w:rsidR="00E92F9B" w:rsidRDefault="00771DCA" w:rsidP="00FE6025">
      <w:pPr>
        <w:pStyle w:val="Odsekzoznamu"/>
        <w:numPr>
          <w:ilvl w:val="0"/>
          <w:numId w:val="65"/>
        </w:numPr>
        <w:spacing w:before="180" w:after="120"/>
        <w:jc w:val="both"/>
        <w:rPr>
          <w:b/>
          <w:i/>
          <w:color w:val="4F81BD" w:themeColor="accent1"/>
          <w:sz w:val="22"/>
          <w:szCs w:val="22"/>
        </w:rPr>
      </w:pPr>
      <w:r w:rsidRPr="00771DCA">
        <w:rPr>
          <w:b/>
          <w:i/>
          <w:color w:val="4F81BD" w:themeColor="accent1"/>
          <w:sz w:val="22"/>
          <w:szCs w:val="22"/>
        </w:rPr>
        <w:t>Zavádzanie opatrení pre zvýšenie používania elektronického obchodu</w:t>
      </w:r>
    </w:p>
    <w:p w:rsidR="00B82DEF" w:rsidRPr="006B680F" w:rsidRDefault="00B82DEF" w:rsidP="00B82DEF">
      <w:pPr>
        <w:spacing w:before="120" w:after="60"/>
        <w:jc w:val="both"/>
        <w:rPr>
          <w:sz w:val="22"/>
          <w:szCs w:val="20"/>
          <w:lang w:eastAsia="en-US"/>
        </w:rPr>
      </w:pPr>
      <w:r w:rsidRPr="006B680F">
        <w:rPr>
          <w:sz w:val="22"/>
          <w:szCs w:val="20"/>
          <w:lang w:eastAsia="en-US"/>
        </w:rPr>
        <w:t xml:space="preserve">Podnikateľské registre </w:t>
      </w:r>
      <w:r>
        <w:rPr>
          <w:sz w:val="22"/>
          <w:szCs w:val="20"/>
          <w:lang w:eastAsia="en-US"/>
        </w:rPr>
        <w:t xml:space="preserve">verejnej správy </w:t>
      </w:r>
      <w:r w:rsidRPr="006B680F">
        <w:rPr>
          <w:sz w:val="22"/>
          <w:szCs w:val="20"/>
          <w:lang w:eastAsia="en-US"/>
        </w:rPr>
        <w:t>sa transformujú do podoby interaktívnych nástrojov, ktoré budú podporovať dôveryhodnosť subjektov a zlepšovať informácie o produktoch. Zavedú sa nástroje pre ochranu spotrebiteľa v podmienkach jednotného digitálneho trhu.</w:t>
      </w:r>
    </w:p>
    <w:p w:rsidR="00B82DEF" w:rsidRPr="006B680F" w:rsidRDefault="00B82DEF" w:rsidP="00B82DEF">
      <w:pPr>
        <w:spacing w:before="120" w:after="60"/>
        <w:jc w:val="both"/>
        <w:rPr>
          <w:sz w:val="22"/>
          <w:szCs w:val="20"/>
          <w:lang w:eastAsia="en-US"/>
        </w:rPr>
      </w:pPr>
      <w:r w:rsidRPr="006B680F">
        <w:rPr>
          <w:sz w:val="22"/>
          <w:szCs w:val="20"/>
          <w:lang w:eastAsia="en-US"/>
        </w:rPr>
        <w:t xml:space="preserve">Odstraňovanie transakčných nákladov a procesných bariér, znižovanie administratívnej záťaže bude realizované prostredníctvom: </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Zapojenie sa do iniciatív jednotného systému platieb a rozvoj elektronických a mobilných platieb v prostredí verejnej správy;</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Nasadenie elektronických faktúr vo verejnej správe a odporúčania pre výhradné používanie elektronických faktúr v súkromnom sektore;</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Zjednodušovanie colného konania a služieb súvisiacich s dohľadom nad pohybom tovaru a efektívnejšie riešenie únikov a podozrivých operácií v colnej a daňovej oblasti;</w:t>
      </w:r>
    </w:p>
    <w:p w:rsidR="00E92F9B" w:rsidRDefault="001218A8" w:rsidP="00FE6025">
      <w:pPr>
        <w:pStyle w:val="Odsekzoznamu"/>
        <w:numPr>
          <w:ilvl w:val="0"/>
          <w:numId w:val="28"/>
        </w:numPr>
        <w:jc w:val="both"/>
        <w:rPr>
          <w:sz w:val="22"/>
          <w:szCs w:val="20"/>
          <w:lang w:eastAsia="en-US"/>
        </w:rPr>
      </w:pPr>
      <w:r w:rsidRPr="001218A8">
        <w:rPr>
          <w:sz w:val="22"/>
          <w:szCs w:val="20"/>
          <w:lang w:eastAsia="cs-CZ"/>
        </w:rPr>
        <w:t>Elektronizácia procesu vymáhania platieb a sťažností.</w:t>
      </w:r>
    </w:p>
    <w:p w:rsidR="00E92F9B" w:rsidRDefault="00E92F9B">
      <w:pPr>
        <w:pStyle w:val="Odsekzoznamu"/>
        <w:jc w:val="both"/>
        <w:rPr>
          <w:sz w:val="22"/>
          <w:szCs w:val="20"/>
          <w:lang w:eastAsia="en-US"/>
        </w:rPr>
      </w:pPr>
    </w:p>
    <w:p w:rsidR="00E92F9B" w:rsidRDefault="00B82DEF" w:rsidP="00FE6025">
      <w:pPr>
        <w:pStyle w:val="Odsekzoznamu"/>
        <w:numPr>
          <w:ilvl w:val="0"/>
          <w:numId w:val="65"/>
        </w:numPr>
        <w:autoSpaceDE w:val="0"/>
        <w:autoSpaceDN w:val="0"/>
        <w:adjustRightInd w:val="0"/>
        <w:spacing w:before="180" w:after="120"/>
        <w:jc w:val="both"/>
        <w:rPr>
          <w:b/>
          <w:i/>
          <w:color w:val="4F81BD" w:themeColor="accent1"/>
          <w:sz w:val="22"/>
          <w:szCs w:val="22"/>
        </w:rPr>
      </w:pPr>
      <w:r w:rsidRPr="00B82DEF">
        <w:rPr>
          <w:b/>
          <w:i/>
          <w:color w:val="4F81BD" w:themeColor="accent1"/>
          <w:sz w:val="22"/>
          <w:szCs w:val="22"/>
        </w:rPr>
        <w:t>Rozšírenie možností pre elektronickú identifikáciu, autentifikáciu a autorizáciu v jednotnom digitálnom priestore</w:t>
      </w:r>
    </w:p>
    <w:p w:rsidR="00D90E59" w:rsidRDefault="00B82DEF" w:rsidP="00D90E59">
      <w:pPr>
        <w:spacing w:after="180"/>
        <w:jc w:val="both"/>
        <w:rPr>
          <w:color w:val="000000" w:themeColor="text1"/>
          <w:sz w:val="22"/>
          <w:szCs w:val="22"/>
        </w:rPr>
      </w:pPr>
      <w:r w:rsidRPr="00B82DEF">
        <w:rPr>
          <w:color w:val="000000" w:themeColor="text1"/>
          <w:sz w:val="22"/>
          <w:szCs w:val="22"/>
        </w:rPr>
        <w:t>V otázke samotnej identity sa bude postupovať smerom k využívaniu rôznych typov dôveryhodných identít pre prístup k službám eGovernmentu a eCommerce. Vytvorí sa priestor pre súkromných poskytovateľov identít, aby sa mohli prepojiť s IAM modulom a priniesť inovácie a overené riešenia do verejného sektora. Vhodnosť takéhoto zapojenia súkromníkov bude detailne validovaná štúdiou realizovateľnosti. Vytvorí sa priestor pre umožnenie používania eID, ktorá je akceptovaná pri komunikácií s VS, v súkromnom sektore. Vhodnosť takéhoto využitia eID bude detailne validovaná štúdiou realizovateľnosti.</w:t>
      </w:r>
    </w:p>
    <w:p w:rsidR="00244C49" w:rsidRDefault="00244C49" w:rsidP="00D90E59">
      <w:pPr>
        <w:spacing w:after="180"/>
        <w:jc w:val="both"/>
        <w:rPr>
          <w:color w:val="000000" w:themeColor="text1"/>
          <w:sz w:val="22"/>
          <w:szCs w:val="22"/>
        </w:rPr>
      </w:pPr>
    </w:p>
    <w:p w:rsidR="00244C49" w:rsidRDefault="00244C49" w:rsidP="00D90E59">
      <w:pPr>
        <w:spacing w:after="180"/>
        <w:jc w:val="both"/>
        <w:rPr>
          <w:color w:val="000000" w:themeColor="text1"/>
          <w:sz w:val="22"/>
          <w:szCs w:val="22"/>
        </w:rPr>
      </w:pPr>
    </w:p>
    <w:p w:rsidR="00E92F9B" w:rsidRDefault="001218A8" w:rsidP="00FE6025">
      <w:pPr>
        <w:pStyle w:val="Odsekzoznamu"/>
        <w:numPr>
          <w:ilvl w:val="0"/>
          <w:numId w:val="65"/>
        </w:numPr>
        <w:spacing w:after="180"/>
        <w:jc w:val="both"/>
        <w:rPr>
          <w:b/>
          <w:i/>
          <w:color w:val="4F81BD" w:themeColor="accent1"/>
          <w:sz w:val="22"/>
          <w:szCs w:val="22"/>
        </w:rPr>
      </w:pPr>
      <w:r w:rsidRPr="001218A8">
        <w:rPr>
          <w:b/>
          <w:i/>
          <w:color w:val="4F81BD" w:themeColor="accent1"/>
          <w:sz w:val="22"/>
          <w:szCs w:val="22"/>
        </w:rPr>
        <w:lastRenderedPageBreak/>
        <w:t>Podpora najmä malých a stredných podnikateľov prostredníctvom zdieľaných služieb</w:t>
      </w:r>
    </w:p>
    <w:p w:rsidR="00B82DEF" w:rsidRDefault="00B82DEF" w:rsidP="00B82DEF">
      <w:pPr>
        <w:pStyle w:val="06Normal"/>
      </w:pPr>
      <w:r>
        <w:t xml:space="preserve">Realizujú sa projekty, ktoré umožnia najmä </w:t>
      </w:r>
      <w:r w:rsidRPr="0000206C">
        <w:rPr>
          <w:rStyle w:val="06NormalChar"/>
        </w:rPr>
        <w:t xml:space="preserve">MSP </w:t>
      </w:r>
      <w:r>
        <w:rPr>
          <w:rStyle w:val="06NormalChar"/>
        </w:rPr>
        <w:t>získať</w:t>
      </w:r>
      <w:r w:rsidRPr="0000206C">
        <w:rPr>
          <w:rStyle w:val="06NormalChar"/>
        </w:rPr>
        <w:t xml:space="preserve"> prístup k</w:t>
      </w:r>
      <w:r>
        <w:rPr>
          <w:rStyle w:val="06NormalChar"/>
        </w:rPr>
        <w:t xml:space="preserve"> elektronickým</w:t>
      </w:r>
      <w:r w:rsidRPr="0000206C">
        <w:rPr>
          <w:rStyle w:val="06NormalChar"/>
        </w:rPr>
        <w:t xml:space="preserve"> službám, ktoré boli </w:t>
      </w:r>
      <w:r>
        <w:rPr>
          <w:rStyle w:val="06NormalChar"/>
        </w:rPr>
        <w:t xml:space="preserve">primárne </w:t>
      </w:r>
      <w:r w:rsidRPr="0000206C">
        <w:rPr>
          <w:rStyle w:val="06NormalChar"/>
        </w:rPr>
        <w:t xml:space="preserve">vyvinuté pre potreby verejnej správy. </w:t>
      </w:r>
      <w:r>
        <w:rPr>
          <w:rStyle w:val="06NormalChar"/>
        </w:rPr>
        <w:t>Zabezpečí sa tým efektívne využitie voľnej kapacity a rozširovanie prínosov riešení.</w:t>
      </w:r>
    </w:p>
    <w:p w:rsidR="00B82DEF" w:rsidRDefault="00B82DEF" w:rsidP="00B82DEF">
      <w:pPr>
        <w:pStyle w:val="06Normal"/>
      </w:pPr>
      <w:r>
        <w:rPr>
          <w:rStyle w:val="06NormalChar"/>
        </w:rPr>
        <w:t>V rámci trendu znižovania nutnosti fyzického doručovania listových zásielok budú k dispozícii tiež riešenia pre elektronické doručovanie firmám a zákazníkom do elektronických dátových schránok s garanciou doručenia.</w:t>
      </w:r>
    </w:p>
    <w:p w:rsidR="00B82DEF" w:rsidRDefault="00B82DEF" w:rsidP="00B82DEF">
      <w:pPr>
        <w:pStyle w:val="06Normal"/>
      </w:pPr>
      <w:r>
        <w:rPr>
          <w:rStyle w:val="06NormalChar"/>
        </w:rPr>
        <w:t>Zároveň p</w:t>
      </w:r>
      <w:r w:rsidRPr="00CE5A27">
        <w:rPr>
          <w:rStyle w:val="06NormalChar"/>
        </w:rPr>
        <w:t xml:space="preserve">ri definovaní jasných pravidiel je možné zdieľať PKI </w:t>
      </w:r>
      <w:r>
        <w:rPr>
          <w:rStyle w:val="06NormalChar"/>
        </w:rPr>
        <w:t>a AAA infraštruktúru s podnikateľmi</w:t>
      </w:r>
      <w:r w:rsidRPr="00CE5A27">
        <w:rPr>
          <w:rStyle w:val="06NormalChar"/>
        </w:rPr>
        <w:t>, ktorí si tak dokážu efektívne</w:t>
      </w:r>
      <w:r>
        <w:rPr>
          <w:rStyle w:val="06NormalChar"/>
        </w:rPr>
        <w:t xml:space="preserve"> </w:t>
      </w:r>
      <w:r w:rsidRPr="00CE5A27">
        <w:rPr>
          <w:rStyle w:val="06NormalChar"/>
        </w:rPr>
        <w:t>vytvoriť bezpečné digitálne prostredie pre svoje podnikanie a služby zákazníkom.</w:t>
      </w:r>
    </w:p>
    <w:p w:rsidR="00B82DEF" w:rsidRDefault="00B82DEF" w:rsidP="00B82DEF">
      <w:pPr>
        <w:pStyle w:val="06Normal"/>
      </w:pPr>
      <w:r>
        <w:rPr>
          <w:rStyle w:val="06NormalChar"/>
        </w:rPr>
        <w:t xml:space="preserve">Prístup k </w:t>
      </w:r>
      <w:r w:rsidRPr="00393AFF">
        <w:rPr>
          <w:rStyle w:val="06NormalChar"/>
        </w:rPr>
        <w:t>služb</w:t>
      </w:r>
      <w:r>
        <w:rPr>
          <w:rStyle w:val="06NormalChar"/>
        </w:rPr>
        <w:t>ám</w:t>
      </w:r>
      <w:r w:rsidRPr="00393AFF">
        <w:rPr>
          <w:rStyle w:val="06NormalChar"/>
        </w:rPr>
        <w:t xml:space="preserve"> cloudu môž</w:t>
      </w:r>
      <w:r>
        <w:rPr>
          <w:rStyle w:val="06NormalChar"/>
        </w:rPr>
        <w:t>e</w:t>
      </w:r>
      <w:r w:rsidRPr="00393AFF">
        <w:rPr>
          <w:rStyle w:val="06NormalChar"/>
        </w:rPr>
        <w:t xml:space="preserve"> podnikateľom slúžiť na pohodlný rozbeh ich podnikania v digitálnej ekonomike, prípadne na zefektívnenie ich fungovania</w:t>
      </w:r>
      <w:r>
        <w:rPr>
          <w:rStyle w:val="06NormalChar"/>
        </w:rPr>
        <w:t>.</w:t>
      </w:r>
      <w:r w:rsidRPr="00393AFF">
        <w:rPr>
          <w:rStyle w:val="06NormalChar"/>
        </w:rPr>
        <w:t xml:space="preserve"> Cloudové služby môžu tiež slúžiť na dočasné potreby vyššieho výpočtového výkonu napríklad v prípade snahy o nárazové spracovanie veľkého množstva dát.</w:t>
      </w:r>
    </w:p>
    <w:p w:rsidR="00E92F9B" w:rsidRDefault="00B82DEF">
      <w:pPr>
        <w:pStyle w:val="06Normal"/>
        <w:spacing w:before="0" w:after="120"/>
        <w:rPr>
          <w:rStyle w:val="06NormalChar"/>
          <w:szCs w:val="24"/>
          <w:lang w:eastAsia="sk-SK"/>
        </w:rPr>
      </w:pPr>
      <w:r>
        <w:t>Cieľom je tiež sprístupniť pre podnikateľov platformu pre tvorbu materiálov v rámci eLearningu s možnosťou vzdelávať svojich zamestnancov a učiť sa od top firiem v obore.</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288"/>
        <w:gridCol w:w="5784"/>
      </w:tblGrid>
      <w:tr w:rsidR="00D90E59" w:rsidRPr="007F1C63" w:rsidTr="00B80F3A">
        <w:trPr>
          <w:trHeight w:val="340"/>
          <w:jc w:val="center"/>
        </w:trPr>
        <w:tc>
          <w:tcPr>
            <w:tcW w:w="3288" w:type="dxa"/>
            <w:shd w:val="clear" w:color="auto" w:fill="DBE5F1" w:themeFill="accent1" w:themeFillTint="33"/>
            <w:vAlign w:val="center"/>
          </w:tcPr>
          <w:p w:rsidR="00D90E59" w:rsidRPr="007F1C63" w:rsidRDefault="00D90E59" w:rsidP="00B80F3A">
            <w:pPr>
              <w:autoSpaceDE w:val="0"/>
              <w:autoSpaceDN w:val="0"/>
              <w:adjustRightInd w:val="0"/>
              <w:ind w:left="0"/>
              <w:rPr>
                <w:i/>
                <w:sz w:val="22"/>
                <w:szCs w:val="22"/>
              </w:rPr>
            </w:pPr>
            <w:r w:rsidRPr="007F1C63">
              <w:rPr>
                <w:i/>
                <w:sz w:val="22"/>
                <w:szCs w:val="22"/>
              </w:rPr>
              <w:t>Cieľové skupiny:</w:t>
            </w:r>
          </w:p>
        </w:tc>
        <w:tc>
          <w:tcPr>
            <w:tcW w:w="5784" w:type="dxa"/>
            <w:vAlign w:val="center"/>
          </w:tcPr>
          <w:p w:rsidR="00D90E59" w:rsidRPr="007F1C63" w:rsidRDefault="00B82DEF" w:rsidP="00FE6025">
            <w:pPr>
              <w:numPr>
                <w:ilvl w:val="0"/>
                <w:numId w:val="28"/>
              </w:numPr>
              <w:autoSpaceDE w:val="0"/>
              <w:autoSpaceDN w:val="0"/>
              <w:adjustRightInd w:val="0"/>
              <w:ind w:left="284" w:hanging="284"/>
              <w:contextualSpacing/>
              <w:rPr>
                <w:sz w:val="22"/>
                <w:szCs w:val="22"/>
              </w:rPr>
            </w:pPr>
            <w:r>
              <w:rPr>
                <w:sz w:val="22"/>
                <w:szCs w:val="22"/>
              </w:rPr>
              <w:t>Podnikatelia (najmä MSP)</w:t>
            </w:r>
          </w:p>
        </w:tc>
      </w:tr>
      <w:tr w:rsidR="00D90E59" w:rsidRPr="007F1C63" w:rsidTr="00B80F3A">
        <w:trPr>
          <w:trHeight w:val="340"/>
          <w:jc w:val="center"/>
        </w:trPr>
        <w:tc>
          <w:tcPr>
            <w:tcW w:w="3288" w:type="dxa"/>
            <w:shd w:val="clear" w:color="auto" w:fill="DBE5F1" w:themeFill="accent1" w:themeFillTint="33"/>
            <w:vAlign w:val="center"/>
          </w:tcPr>
          <w:p w:rsidR="00D90E59" w:rsidRPr="007F1C63" w:rsidRDefault="00D90E59" w:rsidP="00B80F3A">
            <w:pPr>
              <w:autoSpaceDE w:val="0"/>
              <w:autoSpaceDN w:val="0"/>
              <w:adjustRightInd w:val="0"/>
              <w:ind w:left="0"/>
              <w:rPr>
                <w:i/>
                <w:sz w:val="22"/>
                <w:szCs w:val="22"/>
              </w:rPr>
            </w:pPr>
            <w:r w:rsidRPr="007F1C63">
              <w:rPr>
                <w:i/>
                <w:sz w:val="22"/>
                <w:szCs w:val="22"/>
              </w:rPr>
              <w:t>Cieľové územia:</w:t>
            </w:r>
          </w:p>
        </w:tc>
        <w:tc>
          <w:tcPr>
            <w:tcW w:w="5784" w:type="dxa"/>
            <w:vAlign w:val="center"/>
          </w:tcPr>
          <w:p w:rsidR="00D90E59" w:rsidRPr="007F1C63" w:rsidRDefault="00D90E59" w:rsidP="00FE6025">
            <w:pPr>
              <w:numPr>
                <w:ilvl w:val="0"/>
                <w:numId w:val="28"/>
              </w:numPr>
              <w:autoSpaceDE w:val="0"/>
              <w:autoSpaceDN w:val="0"/>
              <w:adjustRightInd w:val="0"/>
              <w:ind w:left="284" w:hanging="284"/>
              <w:contextualSpacing/>
              <w:rPr>
                <w:sz w:val="22"/>
                <w:szCs w:val="22"/>
              </w:rPr>
            </w:pPr>
            <w:r w:rsidRPr="007F1C63">
              <w:rPr>
                <w:sz w:val="22"/>
                <w:szCs w:val="22"/>
              </w:rPr>
              <w:t xml:space="preserve">NUTS </w:t>
            </w:r>
            <w:r>
              <w:rPr>
                <w:sz w:val="22"/>
                <w:szCs w:val="22"/>
              </w:rPr>
              <w:t>1</w:t>
            </w:r>
          </w:p>
        </w:tc>
      </w:tr>
      <w:tr w:rsidR="00D90E59" w:rsidRPr="007F1C63" w:rsidTr="00B80F3A">
        <w:trPr>
          <w:trHeight w:val="340"/>
          <w:jc w:val="center"/>
        </w:trPr>
        <w:tc>
          <w:tcPr>
            <w:tcW w:w="3288" w:type="dxa"/>
            <w:shd w:val="clear" w:color="auto" w:fill="DBE5F1" w:themeFill="accent1" w:themeFillTint="33"/>
            <w:vAlign w:val="center"/>
          </w:tcPr>
          <w:p w:rsidR="00D90E59" w:rsidRPr="007F1C63" w:rsidRDefault="00D90E59" w:rsidP="00B80F3A">
            <w:pPr>
              <w:autoSpaceDE w:val="0"/>
              <w:autoSpaceDN w:val="0"/>
              <w:adjustRightInd w:val="0"/>
              <w:ind w:left="0"/>
              <w:rPr>
                <w:i/>
                <w:sz w:val="22"/>
                <w:szCs w:val="22"/>
              </w:rPr>
            </w:pPr>
            <w:r w:rsidRPr="007F1C63">
              <w:rPr>
                <w:i/>
                <w:sz w:val="22"/>
                <w:szCs w:val="22"/>
              </w:rPr>
              <w:t>Prijímatelia:</w:t>
            </w:r>
          </w:p>
        </w:tc>
        <w:tc>
          <w:tcPr>
            <w:tcW w:w="5784" w:type="dxa"/>
            <w:vAlign w:val="center"/>
          </w:tcPr>
          <w:p w:rsidR="00E92F9B" w:rsidRDefault="00D90E59" w:rsidP="00FE6025">
            <w:pPr>
              <w:numPr>
                <w:ilvl w:val="0"/>
                <w:numId w:val="28"/>
              </w:numPr>
              <w:autoSpaceDE w:val="0"/>
              <w:autoSpaceDN w:val="0"/>
              <w:adjustRightInd w:val="0"/>
              <w:ind w:left="284" w:hanging="284"/>
              <w:contextualSpacing/>
              <w:rPr>
                <w:sz w:val="22"/>
                <w:szCs w:val="22"/>
              </w:rPr>
            </w:pPr>
            <w:r>
              <w:rPr>
                <w:sz w:val="22"/>
                <w:szCs w:val="22"/>
              </w:rPr>
              <w:t>napr.</w:t>
            </w:r>
            <w:r w:rsidR="00B82DEF">
              <w:rPr>
                <w:sz w:val="22"/>
                <w:szCs w:val="22"/>
              </w:rPr>
              <w:t xml:space="preserve"> </w:t>
            </w:r>
            <w:r w:rsidRPr="00560E77">
              <w:rPr>
                <w:sz w:val="22"/>
                <w:szCs w:val="22"/>
              </w:rPr>
              <w:t>rozpočtová organizácia, príspevková organizácia</w:t>
            </w:r>
            <w:r w:rsidR="00B82DEF">
              <w:rPr>
                <w:sz w:val="22"/>
                <w:szCs w:val="22"/>
              </w:rPr>
              <w:t>,</w:t>
            </w:r>
            <w:r w:rsidR="00B82DEF" w:rsidRPr="00B82DEF">
              <w:t xml:space="preserve"> </w:t>
            </w:r>
            <w:r w:rsidR="00B82DEF" w:rsidRPr="00B82DEF">
              <w:rPr>
                <w:sz w:val="22"/>
                <w:szCs w:val="22"/>
              </w:rPr>
              <w:t>Sociálna a zdravotné poisťovne, ďalšie subjekty, ktoré sú zapísané v štatistickom registri organizácií sektora verejnej správy,</w:t>
            </w:r>
            <w:r w:rsidR="0059698C">
              <w:rPr>
                <w:sz w:val="22"/>
                <w:szCs w:val="22"/>
              </w:rPr>
              <w:t xml:space="preserve"> obec, vyšší územný celok,</w:t>
            </w:r>
            <w:r w:rsidR="00B82DEF" w:rsidRPr="00B82DEF">
              <w:rPr>
                <w:sz w:val="22"/>
                <w:szCs w:val="22"/>
              </w:rPr>
              <w:t xml:space="preserve"> akciová spoločnosť podľa zákona č. 513/1991 Z.</w:t>
            </w:r>
            <w:r w:rsidR="005A1A06">
              <w:rPr>
                <w:sz w:val="22"/>
                <w:szCs w:val="22"/>
              </w:rPr>
              <w:t xml:space="preserve"> </w:t>
            </w:r>
            <w:r w:rsidR="00B82DEF" w:rsidRPr="00B82DEF">
              <w:rPr>
                <w:sz w:val="22"/>
                <w:szCs w:val="22"/>
              </w:rPr>
              <w:t>z. (mimo schémy štátnej pomoci), združenie (zväz, spolok, spoločnosť, klub ai.) podľa zákona č. 83/1990 Z.</w:t>
            </w:r>
            <w:r w:rsidR="005A1A06">
              <w:rPr>
                <w:sz w:val="22"/>
                <w:szCs w:val="22"/>
              </w:rPr>
              <w:t xml:space="preserve"> </w:t>
            </w:r>
            <w:r w:rsidR="00B82DEF" w:rsidRPr="00B82DEF">
              <w:rPr>
                <w:sz w:val="22"/>
                <w:szCs w:val="22"/>
              </w:rPr>
              <w:t>z., záujmové združenie právnických osôb podľa zákona č. 40/1964 zb., združenie obcí podľa zákona č. 369/1990 Zb., iné subjekty zriadené zákonom</w:t>
            </w:r>
          </w:p>
        </w:tc>
      </w:tr>
    </w:tbl>
    <w:p w:rsidR="00D90E59" w:rsidRDefault="00D90E59" w:rsidP="00D90E59">
      <w:pPr>
        <w:keepNext/>
        <w:numPr>
          <w:ilvl w:val="3"/>
          <w:numId w:val="18"/>
        </w:numPr>
        <w:tabs>
          <w:tab w:val="left" w:pos="709"/>
        </w:tabs>
        <w:spacing w:before="240" w:after="120"/>
        <w:outlineLvl w:val="3"/>
        <w:rPr>
          <w:rFonts w:ascii="Arial Narrow" w:hAnsi="Arial Narrow"/>
          <w:b/>
          <w:bCs/>
          <w:i/>
          <w:color w:val="548DD4" w:themeColor="text2" w:themeTint="99"/>
          <w:sz w:val="22"/>
          <w:szCs w:val="28"/>
        </w:rPr>
      </w:pPr>
      <w:r>
        <w:rPr>
          <w:rFonts w:ascii="Arial Narrow" w:hAnsi="Arial Narrow"/>
          <w:b/>
          <w:bCs/>
          <w:i/>
          <w:color w:val="548DD4" w:themeColor="text2" w:themeTint="99"/>
          <w:sz w:val="22"/>
          <w:szCs w:val="28"/>
        </w:rPr>
        <w:t>Hlavné zásady výberu projektov</w:t>
      </w:r>
    </w:p>
    <w:p w:rsidR="00D90E59" w:rsidRPr="00B02869" w:rsidRDefault="00D90E59" w:rsidP="00D90E59">
      <w:pPr>
        <w:pStyle w:val="06Normal"/>
      </w:pPr>
      <w:r w:rsidRPr="00B02869">
        <w:t>S</w:t>
      </w:r>
      <w:r>
        <w:t> </w:t>
      </w:r>
      <w:r w:rsidRPr="00B02869">
        <w:t>cieľom zabezpečiť efektívne a</w:t>
      </w:r>
      <w:r>
        <w:t> </w:t>
      </w:r>
      <w:r w:rsidRPr="00B02869">
        <w:t>transparentné čerpanie finančných prostriedkov z</w:t>
      </w:r>
      <w:r>
        <w:t> </w:t>
      </w:r>
      <w:r w:rsidRPr="00B02869">
        <w:t xml:space="preserve">fondov EÚ, alokovaných pre </w:t>
      </w:r>
      <w:r w:rsidR="00B82DEF">
        <w:t>P</w:t>
      </w:r>
      <w:r w:rsidRPr="00B02869">
        <w:t>rioritnú os</w:t>
      </w:r>
      <w:r>
        <w:t xml:space="preserve"> 7 </w:t>
      </w:r>
      <w:r w:rsidRPr="00B02869">
        <w:t>OP</w:t>
      </w:r>
      <w:r>
        <w:t>II</w:t>
      </w:r>
      <w:r w:rsidRPr="00B02869">
        <w:t xml:space="preserve"> budú sprostredkovateľským</w:t>
      </w:r>
      <w:r>
        <w:t xml:space="preserve"> orgánom vypracované Výberové a </w:t>
      </w:r>
      <w:r w:rsidRPr="00B02869">
        <w:t>hodnotiace kritériá pre výber projektov. Po vzore programového obdobia 2007 – 2013 budú tieto kritériá, ako aj ich prípadné aktualizácie, predmetom schvaľovani</w:t>
      </w:r>
      <w:r>
        <w:t>a v Monitorovacom výbore pre OPII</w:t>
      </w:r>
      <w:r w:rsidRPr="00B02869">
        <w:t>.</w:t>
      </w:r>
    </w:p>
    <w:p w:rsidR="00D90E59" w:rsidRDefault="00D90E59" w:rsidP="00D90E59">
      <w:pPr>
        <w:pStyle w:val="06Normal"/>
      </w:pPr>
      <w:r>
        <w:t>V</w:t>
      </w:r>
      <w:r w:rsidRPr="00B02869">
        <w:t>o vzťahu k</w:t>
      </w:r>
      <w:r>
        <w:t> </w:t>
      </w:r>
      <w:r w:rsidRPr="00B02869">
        <w:t xml:space="preserve">podporovaným aktivitám </w:t>
      </w:r>
      <w:r>
        <w:t>OPII</w:t>
      </w:r>
      <w:r w:rsidRPr="00B02869">
        <w:t xml:space="preserve"> budú jednotliví prijímatelia stanovení buď vopred a</w:t>
      </w:r>
      <w:r>
        <w:t> </w:t>
      </w:r>
      <w:r w:rsidRPr="00B02869">
        <w:t>písomnými vyzvaniami</w:t>
      </w:r>
      <w:r w:rsidRPr="002A4585">
        <w:t xml:space="preserve"> vzhľadom na ich jedinečné postavenie a funkcie</w:t>
      </w:r>
      <w:r>
        <w:t xml:space="preserve"> </w:t>
      </w:r>
      <w:r w:rsidRPr="00B90C78">
        <w:t>(</w:t>
      </w:r>
      <w:r>
        <w:t xml:space="preserve">napr. </w:t>
      </w:r>
      <w:r w:rsidRPr="00B90C78">
        <w:t xml:space="preserve">na základe kompetencií vyplývajúcich im z osobitných predpisov alebo na základe schválenia </w:t>
      </w:r>
      <w:r>
        <w:t>M</w:t>
      </w:r>
      <w:r w:rsidRPr="00B90C78">
        <w:t xml:space="preserve">onitorovacím výborom) </w:t>
      </w:r>
      <w:r w:rsidRPr="00B02869">
        <w:t>žiadaní o</w:t>
      </w:r>
      <w:r>
        <w:t> </w:t>
      </w:r>
      <w:r w:rsidRPr="00B02869">
        <w:t>predkladanie projektových žiadostí alebo v</w:t>
      </w:r>
      <w:r>
        <w:t> </w:t>
      </w:r>
      <w:r w:rsidRPr="00B02869">
        <w:t>prípade dopytových projektov určení výberom.</w:t>
      </w:r>
    </w:p>
    <w:p w:rsidR="00D90E59" w:rsidRDefault="00D90E59" w:rsidP="00D90E59">
      <w:pPr>
        <w:pStyle w:val="06Normal"/>
        <w:spacing w:after="120"/>
      </w:pPr>
      <w:r>
        <w:t>Vo vzťahu k písomným vyzvaniam budú zohľadnené najmä nasledujúce princípy:</w:t>
      </w:r>
    </w:p>
    <w:p w:rsidR="00D90E59" w:rsidRDefault="00D90E59" w:rsidP="00FE6025">
      <w:pPr>
        <w:pStyle w:val="Odsekzoznamu"/>
        <w:numPr>
          <w:ilvl w:val="0"/>
          <w:numId w:val="28"/>
        </w:numPr>
        <w:jc w:val="both"/>
      </w:pPr>
      <w:r w:rsidRPr="004C2534">
        <w:rPr>
          <w:sz w:val="22"/>
          <w:szCs w:val="20"/>
          <w:lang w:eastAsia="en-US"/>
        </w:rPr>
        <w:t>možnosť vyhlasovateľa v</w:t>
      </w:r>
      <w:r>
        <w:rPr>
          <w:sz w:val="22"/>
          <w:szCs w:val="20"/>
          <w:lang w:eastAsia="en-US"/>
        </w:rPr>
        <w:t>y</w:t>
      </w:r>
      <w:r w:rsidRPr="004C2534">
        <w:rPr>
          <w:sz w:val="22"/>
          <w:szCs w:val="20"/>
          <w:lang w:eastAsia="en-US"/>
        </w:rPr>
        <w:t>zv</w:t>
      </w:r>
      <w:r>
        <w:rPr>
          <w:sz w:val="22"/>
          <w:szCs w:val="20"/>
          <w:lang w:eastAsia="en-US"/>
        </w:rPr>
        <w:t>ania</w:t>
      </w:r>
      <w:r w:rsidRPr="004C2534">
        <w:rPr>
          <w:sz w:val="22"/>
          <w:szCs w:val="20"/>
          <w:lang w:eastAsia="en-US"/>
        </w:rPr>
        <w:t xml:space="preserve"> reagovať na prípadné potrebné zmeny vo vyhlás</w:t>
      </w:r>
      <w:r>
        <w:rPr>
          <w:sz w:val="22"/>
          <w:szCs w:val="20"/>
          <w:lang w:eastAsia="en-US"/>
        </w:rPr>
        <w:t>enom</w:t>
      </w:r>
      <w:r w:rsidRPr="004C2534">
        <w:rPr>
          <w:sz w:val="22"/>
          <w:szCs w:val="20"/>
          <w:lang w:eastAsia="en-US"/>
        </w:rPr>
        <w:t xml:space="preserve"> v</w:t>
      </w:r>
      <w:r>
        <w:rPr>
          <w:sz w:val="22"/>
          <w:szCs w:val="20"/>
          <w:lang w:eastAsia="en-US"/>
        </w:rPr>
        <w:t>y</w:t>
      </w:r>
      <w:r w:rsidRPr="004C2534">
        <w:rPr>
          <w:sz w:val="22"/>
          <w:szCs w:val="20"/>
          <w:lang w:eastAsia="en-US"/>
        </w:rPr>
        <w:t>zv</w:t>
      </w:r>
      <w:r>
        <w:rPr>
          <w:sz w:val="22"/>
          <w:szCs w:val="20"/>
          <w:lang w:eastAsia="en-US"/>
        </w:rPr>
        <w:t>aní</w:t>
      </w:r>
      <w:r w:rsidRPr="004C2534">
        <w:rPr>
          <w:sz w:val="22"/>
          <w:szCs w:val="20"/>
          <w:lang w:eastAsia="en-US"/>
        </w:rPr>
        <w:t xml:space="preserve"> v súlade s princípmi transparentnosti, nediskriminácie a rovnakého prístupu;</w:t>
      </w:r>
    </w:p>
    <w:p w:rsidR="00D90E59" w:rsidRDefault="00D90E59" w:rsidP="00FE6025">
      <w:pPr>
        <w:pStyle w:val="Odsekzoznamu"/>
        <w:numPr>
          <w:ilvl w:val="0"/>
          <w:numId w:val="28"/>
        </w:numPr>
        <w:spacing w:before="120" w:after="120"/>
        <w:jc w:val="both"/>
      </w:pPr>
      <w:r w:rsidRPr="004C2534">
        <w:rPr>
          <w:sz w:val="22"/>
          <w:szCs w:val="20"/>
          <w:lang w:eastAsia="en-US"/>
        </w:rPr>
        <w:t>zabezpečenie kontinuálneho prístupu verejnosti k možnostiam f</w:t>
      </w:r>
      <w:r>
        <w:rPr>
          <w:sz w:val="22"/>
          <w:szCs w:val="20"/>
          <w:lang w:eastAsia="en-US"/>
        </w:rPr>
        <w:t>inancovania zo zdrojov EÚ v </w:t>
      </w:r>
      <w:r w:rsidRPr="004C2534">
        <w:rPr>
          <w:sz w:val="22"/>
          <w:szCs w:val="20"/>
          <w:lang w:eastAsia="en-US"/>
        </w:rPr>
        <w:t xml:space="preserve">prípadoch aktivít, ktoré predpokladajú širší priestor konkurencie; </w:t>
      </w:r>
    </w:p>
    <w:p w:rsidR="00D90E59" w:rsidRPr="00B82DEF" w:rsidRDefault="00D90E59" w:rsidP="00FE6025">
      <w:pPr>
        <w:pStyle w:val="Odsekzoznamu"/>
        <w:numPr>
          <w:ilvl w:val="0"/>
          <w:numId w:val="28"/>
        </w:numPr>
        <w:spacing w:before="120" w:after="120"/>
        <w:jc w:val="both"/>
      </w:pPr>
      <w:r w:rsidRPr="004C2534">
        <w:rPr>
          <w:sz w:val="22"/>
          <w:szCs w:val="20"/>
          <w:lang w:eastAsia="en-US"/>
        </w:rPr>
        <w:t xml:space="preserve">nastavenie transparentných a objektívnych podmienok, ktorých overenie je potrebné pre financovanie národných projektov, spolu so zvýšením dôrazu na kvalitnú prípravu takýchto </w:t>
      </w:r>
      <w:r>
        <w:rPr>
          <w:sz w:val="22"/>
          <w:szCs w:val="20"/>
          <w:lang w:eastAsia="en-US"/>
        </w:rPr>
        <w:t>projektov;</w:t>
      </w:r>
    </w:p>
    <w:p w:rsidR="00B82DEF" w:rsidRDefault="00B82DEF" w:rsidP="00FE6025">
      <w:pPr>
        <w:pStyle w:val="Odsekzoznamu"/>
        <w:numPr>
          <w:ilvl w:val="0"/>
          <w:numId w:val="28"/>
        </w:numPr>
        <w:spacing w:before="120" w:after="120"/>
        <w:jc w:val="both"/>
      </w:pPr>
      <w:r w:rsidRPr="00B82DEF">
        <w:rPr>
          <w:sz w:val="22"/>
          <w:szCs w:val="20"/>
          <w:lang w:eastAsia="en-US"/>
        </w:rPr>
        <w:t>nastavenie podmienok, kde partnerom každého projektu bude inštitúcia zodpovedná za nákup HW a licencií, tzn. prijímateľ bude implementovať riešenie a nákup HW a licencií bude realizovať vopred stanovený partner</w:t>
      </w:r>
      <w:r>
        <w:rPr>
          <w:sz w:val="22"/>
          <w:szCs w:val="20"/>
          <w:lang w:eastAsia="en-US"/>
        </w:rPr>
        <w:t>;</w:t>
      </w:r>
    </w:p>
    <w:p w:rsidR="00D90E59" w:rsidRDefault="00D90E59" w:rsidP="00FE6025">
      <w:pPr>
        <w:pStyle w:val="Odsekzoznamu"/>
        <w:numPr>
          <w:ilvl w:val="0"/>
          <w:numId w:val="28"/>
        </w:numPr>
        <w:spacing w:before="120" w:after="120"/>
        <w:jc w:val="both"/>
      </w:pPr>
      <w:r w:rsidRPr="004C2534">
        <w:rPr>
          <w:sz w:val="22"/>
          <w:szCs w:val="20"/>
          <w:lang w:eastAsia="en-US"/>
        </w:rPr>
        <w:lastRenderedPageBreak/>
        <w:t xml:space="preserve">keďže v rámci riadenia projektov v programovom období 2007 – 2013 boli identifikované nedostatočné odborné kapacity prijímateľov, v rámci prípravy </w:t>
      </w:r>
      <w:r>
        <w:rPr>
          <w:sz w:val="22"/>
          <w:szCs w:val="20"/>
          <w:lang w:eastAsia="en-US"/>
        </w:rPr>
        <w:t xml:space="preserve">písomných </w:t>
      </w:r>
      <w:r w:rsidRPr="004C2534">
        <w:rPr>
          <w:sz w:val="22"/>
          <w:szCs w:val="20"/>
          <w:lang w:eastAsia="en-US"/>
        </w:rPr>
        <w:t>v</w:t>
      </w:r>
      <w:r>
        <w:rPr>
          <w:sz w:val="22"/>
          <w:szCs w:val="20"/>
          <w:lang w:eastAsia="en-US"/>
        </w:rPr>
        <w:t>y</w:t>
      </w:r>
      <w:r w:rsidRPr="004C2534">
        <w:rPr>
          <w:sz w:val="22"/>
          <w:szCs w:val="20"/>
          <w:lang w:eastAsia="en-US"/>
        </w:rPr>
        <w:t>zv</w:t>
      </w:r>
      <w:r>
        <w:rPr>
          <w:sz w:val="22"/>
          <w:szCs w:val="20"/>
          <w:lang w:eastAsia="en-US"/>
        </w:rPr>
        <w:t>aní</w:t>
      </w:r>
      <w:r w:rsidRPr="004C2534">
        <w:rPr>
          <w:sz w:val="22"/>
          <w:szCs w:val="20"/>
          <w:lang w:eastAsia="en-US"/>
        </w:rPr>
        <w:t xml:space="preserve"> pre </w:t>
      </w:r>
      <w:r w:rsidR="00B82DEF">
        <w:rPr>
          <w:sz w:val="22"/>
          <w:szCs w:val="20"/>
          <w:lang w:eastAsia="en-US"/>
        </w:rPr>
        <w:t>P</w:t>
      </w:r>
      <w:r w:rsidR="001355D9">
        <w:rPr>
          <w:sz w:val="22"/>
          <w:szCs w:val="20"/>
          <w:lang w:eastAsia="en-US"/>
        </w:rPr>
        <w:t>rioritnú os 7 môže byť</w:t>
      </w:r>
      <w:r w:rsidRPr="004C2534">
        <w:rPr>
          <w:sz w:val="22"/>
          <w:szCs w:val="20"/>
          <w:lang w:eastAsia="en-US"/>
        </w:rPr>
        <w:t xml:space="preserve"> definovaná povinnosť prijímateľa vyčleniť</w:t>
      </w:r>
      <w:r w:rsidR="001355D9">
        <w:rPr>
          <w:sz w:val="22"/>
          <w:szCs w:val="20"/>
          <w:lang w:eastAsia="en-US"/>
        </w:rPr>
        <w:t xml:space="preserve"> maximálne</w:t>
      </w:r>
      <w:r w:rsidRPr="004C2534">
        <w:rPr>
          <w:sz w:val="22"/>
          <w:szCs w:val="20"/>
          <w:lang w:eastAsia="en-US"/>
        </w:rPr>
        <w:t xml:space="preserve"> </w:t>
      </w:r>
      <w:r>
        <w:rPr>
          <w:sz w:val="22"/>
          <w:szCs w:val="20"/>
          <w:lang w:eastAsia="en-US"/>
        </w:rPr>
        <w:t xml:space="preserve">3 </w:t>
      </w:r>
      <w:r w:rsidRPr="004C2534">
        <w:rPr>
          <w:sz w:val="22"/>
          <w:szCs w:val="20"/>
          <w:lang w:eastAsia="en-US"/>
        </w:rPr>
        <w:t>% oprávnených výdavkov projektu pre programovú kanceláriu MF SR (ako partnera projektu), ktorá bude priamo aktívne participovať na riadení projektov a zabezpečení komplexného riadenia budovania informačnej spoločnosti.</w:t>
      </w:r>
    </w:p>
    <w:p w:rsidR="00D90E59" w:rsidRDefault="00D90E59" w:rsidP="00D90E59">
      <w:pPr>
        <w:pStyle w:val="06Normal"/>
        <w:spacing w:before="240"/>
      </w:pPr>
      <w:r>
        <w:t>Pri výbere projektov bude hrať kľúčovú úlohu správne nastavený schvaľovací proces, s cieľom zabezpečenia transparentného a efektívneho výberového procesu zadefinovaním jasných a objektívnych kritérií výberu operácií umožňujúcich objektívne posúdiť a vyhodnotiť mieru prínosu projektu k naplneniu špecifických cieľov operačného programu:</w:t>
      </w:r>
    </w:p>
    <w:p w:rsidR="00D90E59" w:rsidRDefault="00D90E59" w:rsidP="00FE6025">
      <w:pPr>
        <w:pStyle w:val="Odsekzoznamu"/>
        <w:numPr>
          <w:ilvl w:val="0"/>
          <w:numId w:val="28"/>
        </w:numPr>
        <w:spacing w:before="120" w:after="120"/>
        <w:jc w:val="both"/>
      </w:pPr>
      <w:r w:rsidRPr="004C2534">
        <w:rPr>
          <w:sz w:val="22"/>
          <w:szCs w:val="20"/>
          <w:lang w:eastAsia="en-US"/>
        </w:rPr>
        <w:t>jasne definovaným formátom projektu;</w:t>
      </w:r>
    </w:p>
    <w:p w:rsidR="00D90E59" w:rsidRDefault="00D90E59" w:rsidP="00FE6025">
      <w:pPr>
        <w:pStyle w:val="Odsekzoznamu"/>
        <w:numPr>
          <w:ilvl w:val="0"/>
          <w:numId w:val="28"/>
        </w:numPr>
        <w:spacing w:before="120" w:after="120"/>
        <w:jc w:val="both"/>
      </w:pPr>
      <w:r w:rsidRPr="004C2534">
        <w:rPr>
          <w:sz w:val="22"/>
          <w:szCs w:val="20"/>
          <w:lang w:eastAsia="en-US"/>
        </w:rPr>
        <w:t>hodnotiace kritériá, ktoré budú schvaľované v závislosti od charakteru prioritnej osi/špecifického cieľa a budú zamerané na cielené posúdenie prínosu okruhu obsahovo podobných projekto</w:t>
      </w:r>
      <w:r>
        <w:rPr>
          <w:sz w:val="22"/>
          <w:szCs w:val="20"/>
          <w:lang w:eastAsia="en-US"/>
        </w:rPr>
        <w:t>v k </w:t>
      </w:r>
      <w:r w:rsidRPr="004C2534">
        <w:rPr>
          <w:sz w:val="22"/>
          <w:szCs w:val="20"/>
          <w:lang w:eastAsia="en-US"/>
        </w:rPr>
        <w:t>týmto cieľom;</w:t>
      </w:r>
    </w:p>
    <w:p w:rsidR="00D90E59" w:rsidRDefault="00D90E59" w:rsidP="00FE6025">
      <w:pPr>
        <w:pStyle w:val="Odsekzoznamu"/>
        <w:numPr>
          <w:ilvl w:val="0"/>
          <w:numId w:val="28"/>
        </w:numPr>
        <w:spacing w:before="120" w:after="120"/>
        <w:jc w:val="both"/>
      </w:pPr>
      <w:r w:rsidRPr="004C2534">
        <w:rPr>
          <w:sz w:val="22"/>
          <w:szCs w:val="20"/>
          <w:lang w:eastAsia="en-US"/>
        </w:rPr>
        <w:t>systémom opravných prostriedkov.</w:t>
      </w:r>
    </w:p>
    <w:p w:rsidR="00D90E59" w:rsidRPr="007F1C63" w:rsidRDefault="00D90E59" w:rsidP="00D90E59">
      <w:pPr>
        <w:keepNext/>
        <w:numPr>
          <w:ilvl w:val="3"/>
          <w:numId w:val="18"/>
        </w:numPr>
        <w:tabs>
          <w:tab w:val="left" w:pos="709"/>
        </w:tabs>
        <w:spacing w:before="24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Plánované využitie finančných nástrojov</w:t>
      </w:r>
    </w:p>
    <w:p w:rsidR="00D90E59" w:rsidRPr="007F1C63" w:rsidRDefault="00D90E59" w:rsidP="00D90E59">
      <w:pPr>
        <w:jc w:val="both"/>
        <w:rPr>
          <w:sz w:val="22"/>
          <w:szCs w:val="22"/>
        </w:rPr>
      </w:pPr>
      <w:r w:rsidRPr="007F1C63">
        <w:rPr>
          <w:sz w:val="22"/>
          <w:szCs w:val="22"/>
        </w:rPr>
        <w:t>Finančné nástroje budú použité na podporu implementácie tých aktivít, pri ktorých bude preukázané efektívnejšie využitie finančných prostriedkov z EŠIF takouto formou podpory. Pri ekonomicky životaschopných projektoch, kde sa predpokladá návratnosť prostriedkov alebo úspora nákladov, predstavujú finančné nástroje vhodnejšiu formu podpory, ktorá vedie len k minimálnej, prípadne žiadnej deformácii trhu a nenarúša tak hospodársku súťaž. Finančné nástroje budú zamerané na podporu tých aktivít, ktoré nenachádzajú financovanie na trhu, prípadne nenachádzajú adekvátne financovanie, pri ktorom by ich realizácia bola efektívnou.</w:t>
      </w:r>
    </w:p>
    <w:p w:rsidR="00D90E59" w:rsidRPr="007F1C63" w:rsidRDefault="00D90E59" w:rsidP="00D90E59">
      <w:pPr>
        <w:spacing w:before="180"/>
        <w:jc w:val="both"/>
        <w:rPr>
          <w:sz w:val="22"/>
          <w:szCs w:val="22"/>
        </w:rPr>
      </w:pPr>
      <w:r w:rsidRPr="007F1C63">
        <w:rPr>
          <w:sz w:val="22"/>
          <w:szCs w:val="22"/>
        </w:rPr>
        <w:t>Okrem možnosti opakovateľného použitia prostriedkov spolu s akýmikoľvek ziskami na ciele prioritnej osi patrí medzi výhody využitia finančných nástrojov možnosť navýšenia prostriedkov pre dosiahnutie príslušných cieľov prostredníctvom pritiahnutia dodatočného kapitálu vďaka atraktívnemu nastaveniu daných nástrojov. Pritiahnutie dodatočného kapitálu je potrebné aj vzhľadom na limitovaný objem prostriedkov z EŠIF na pokrytie všetkých investičných potrieb v príslušných oblastiach. Účasť súkromných investorov môže prispieť aj ku skvalitneniu implementácie projektov, a teda dodatočne prispieva k celkovo efektívnejšiemu použitiu finančných prostriedkov.</w:t>
      </w:r>
    </w:p>
    <w:p w:rsidR="00D90E59" w:rsidRPr="007F1C63" w:rsidRDefault="00D90E59" w:rsidP="00D90E59">
      <w:pPr>
        <w:spacing w:before="180"/>
        <w:jc w:val="both"/>
        <w:rPr>
          <w:sz w:val="22"/>
          <w:szCs w:val="22"/>
        </w:rPr>
      </w:pPr>
      <w:r w:rsidRPr="007F1C63">
        <w:rPr>
          <w:sz w:val="22"/>
          <w:szCs w:val="22"/>
        </w:rPr>
        <w:t xml:space="preserve">Príslušné aktivity bude možné podporiť rôznymi finančnými produktmi (úvery, záruky, kapitálové vklady, mezanínové financovanie a pod.). V súlade s čl. 37(2) nariadenia č. 1303/2013, </w:t>
      </w:r>
      <w:r w:rsidRPr="007F1C63">
        <w:rPr>
          <w:b/>
          <w:sz w:val="22"/>
          <w:szCs w:val="22"/>
        </w:rPr>
        <w:t>konkrétne aktivity, vhodná suma prostriedkov a podmienky implementácie finančných nástrojov vrátane možnej multiplikácie alokovaných prostriedkov a ich kombinácie s inými formami podpory budú vychádzať z výsledkov ex ante hodnotenia pre finančné nástroje.</w:t>
      </w:r>
    </w:p>
    <w:p w:rsidR="00D90E59" w:rsidRPr="007F1C63" w:rsidRDefault="00D90E59" w:rsidP="00D90E59">
      <w:pPr>
        <w:keepNext/>
        <w:numPr>
          <w:ilvl w:val="3"/>
          <w:numId w:val="18"/>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Plánované využitie veľkých projektov</w:t>
      </w:r>
    </w:p>
    <w:p w:rsidR="00D90E59" w:rsidRPr="007F1C63" w:rsidRDefault="00B82DEF" w:rsidP="00D90E59">
      <w:pPr>
        <w:jc w:val="both"/>
        <w:rPr>
          <w:sz w:val="22"/>
          <w:szCs w:val="22"/>
        </w:rPr>
      </w:pPr>
      <w:r w:rsidRPr="00B82DEF">
        <w:rPr>
          <w:sz w:val="22"/>
          <w:szCs w:val="22"/>
        </w:rPr>
        <w:t>V rámci investičnej priority 2b) Vývoj produktov a služieb IKT, elektronického obchodu a posilnenia dopytu po IKT sa neuvažuje o veľkých projektoch.</w:t>
      </w:r>
    </w:p>
    <w:p w:rsidR="00D90E59" w:rsidRPr="007F1C63" w:rsidRDefault="00D90E59" w:rsidP="00D90E59">
      <w:pPr>
        <w:keepNext/>
        <w:numPr>
          <w:ilvl w:val="3"/>
          <w:numId w:val="18"/>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Ukazovatele výstupu na úrovni investičnej priority a kategórie regiónu</w:t>
      </w:r>
    </w:p>
    <w:p w:rsidR="00E92F9B" w:rsidRDefault="00BE1DDE">
      <w:pPr>
        <w:pStyle w:val="Tab"/>
      </w:pPr>
      <w:r>
        <w:t xml:space="preserve"> </w:t>
      </w:r>
      <w:r w:rsidR="00D90E59">
        <w:t>Š</w:t>
      </w:r>
      <w:r w:rsidR="00D90E59" w:rsidRPr="007F1C63">
        <w:t xml:space="preserve">pecifické ukazovatele výstupu investičnej priority </w:t>
      </w:r>
      <w:r w:rsidR="00D90E59">
        <w:t>2</w:t>
      </w:r>
      <w:r w:rsidR="00B82DEF">
        <w:t>b</w:t>
      </w:r>
      <w:r w:rsidR="00D90E59" w:rsidRPr="007F1C63">
        <w:t>)</w:t>
      </w:r>
      <w:r w:rsidR="00D90E59">
        <w:t>, ŠC 7.</w:t>
      </w:r>
      <w:r w:rsidR="00B82DEF">
        <w:t>2</w:t>
      </w:r>
      <w:r w:rsidR="00D90E59" w:rsidRPr="00AF27FE">
        <w:t xml:space="preserve"> </w:t>
      </w:r>
      <w:r w:rsidR="00B82DEF" w:rsidRPr="00D939EA">
        <w:t>Zvýšenie inovačnej kapacity</w:t>
      </w:r>
      <w:r w:rsidR="00B82DEF">
        <w:t xml:space="preserve"> najmä</w:t>
      </w:r>
      <w:r w:rsidR="00B82DEF" w:rsidRPr="00D939EA">
        <w:t xml:space="preserve"> malých a stredných podnikateľov v digitálnej ekonomike</w:t>
      </w:r>
    </w:p>
    <w:tbl>
      <w:tblPr>
        <w:tblStyle w:val="Mriekatabuky"/>
        <w:tblW w:w="9244" w:type="dxa"/>
        <w:jc w:val="center"/>
        <w:tblLayout w:type="fixed"/>
        <w:tblLook w:val="04A0"/>
      </w:tblPr>
      <w:tblGrid>
        <w:gridCol w:w="513"/>
        <w:gridCol w:w="3628"/>
        <w:gridCol w:w="850"/>
        <w:gridCol w:w="709"/>
        <w:gridCol w:w="908"/>
        <w:gridCol w:w="935"/>
        <w:gridCol w:w="850"/>
        <w:gridCol w:w="851"/>
      </w:tblGrid>
      <w:tr w:rsidR="00B82DEF" w:rsidRPr="002309F8" w:rsidTr="00B80F3A">
        <w:trPr>
          <w:trHeight w:val="340"/>
          <w:jc w:val="center"/>
        </w:trPr>
        <w:tc>
          <w:tcPr>
            <w:tcW w:w="513" w:type="dxa"/>
            <w:tcBorders>
              <w:bottom w:val="single" w:sz="4" w:space="0" w:color="auto"/>
            </w:tcBorders>
            <w:shd w:val="clear" w:color="auto" w:fill="C6D9F1" w:themeFill="text2" w:themeFillTint="33"/>
            <w:vAlign w:val="center"/>
          </w:tcPr>
          <w:p w:rsidR="00B82DEF" w:rsidRPr="00B82DEF" w:rsidRDefault="001218A8" w:rsidP="00B80F3A">
            <w:pPr>
              <w:ind w:left="0"/>
              <w:jc w:val="center"/>
              <w:rPr>
                <w:b/>
                <w:sz w:val="18"/>
                <w:szCs w:val="18"/>
              </w:rPr>
            </w:pPr>
            <w:r w:rsidRPr="001218A8">
              <w:rPr>
                <w:b/>
                <w:sz w:val="18"/>
                <w:szCs w:val="18"/>
              </w:rPr>
              <w:t>P. č.</w:t>
            </w:r>
          </w:p>
        </w:tc>
        <w:tc>
          <w:tcPr>
            <w:tcW w:w="3628" w:type="dxa"/>
            <w:tcBorders>
              <w:bottom w:val="single" w:sz="4" w:space="0" w:color="auto"/>
            </w:tcBorders>
            <w:shd w:val="clear" w:color="auto" w:fill="C6D9F1" w:themeFill="text2" w:themeFillTint="33"/>
            <w:vAlign w:val="center"/>
          </w:tcPr>
          <w:p w:rsidR="00B82DEF" w:rsidRPr="00B82DEF" w:rsidRDefault="001218A8" w:rsidP="00B80F3A">
            <w:pPr>
              <w:ind w:left="0"/>
              <w:rPr>
                <w:b/>
                <w:sz w:val="18"/>
                <w:szCs w:val="18"/>
              </w:rPr>
            </w:pPr>
            <w:r w:rsidRPr="001218A8">
              <w:rPr>
                <w:b/>
                <w:sz w:val="18"/>
                <w:szCs w:val="18"/>
              </w:rPr>
              <w:t>Ukazovateľ (názov ukazovateľa)</w:t>
            </w:r>
          </w:p>
        </w:tc>
        <w:tc>
          <w:tcPr>
            <w:tcW w:w="850" w:type="dxa"/>
            <w:tcBorders>
              <w:bottom w:val="single" w:sz="4" w:space="0" w:color="auto"/>
            </w:tcBorders>
            <w:shd w:val="clear" w:color="auto" w:fill="C6D9F1" w:themeFill="text2" w:themeFillTint="33"/>
            <w:vAlign w:val="center"/>
          </w:tcPr>
          <w:p w:rsidR="00B82DEF" w:rsidRPr="00B82DEF" w:rsidRDefault="001218A8" w:rsidP="00B80F3A">
            <w:pPr>
              <w:ind w:left="0"/>
              <w:jc w:val="center"/>
              <w:rPr>
                <w:b/>
                <w:sz w:val="18"/>
                <w:szCs w:val="18"/>
              </w:rPr>
            </w:pPr>
            <w:r w:rsidRPr="001218A8">
              <w:rPr>
                <w:b/>
                <w:sz w:val="18"/>
                <w:szCs w:val="18"/>
              </w:rPr>
              <w:t>Merná jednotka</w:t>
            </w:r>
          </w:p>
        </w:tc>
        <w:tc>
          <w:tcPr>
            <w:tcW w:w="709" w:type="dxa"/>
            <w:tcBorders>
              <w:bottom w:val="single" w:sz="4" w:space="0" w:color="auto"/>
            </w:tcBorders>
            <w:shd w:val="clear" w:color="auto" w:fill="C6D9F1" w:themeFill="text2" w:themeFillTint="33"/>
            <w:vAlign w:val="center"/>
          </w:tcPr>
          <w:p w:rsidR="00B82DEF" w:rsidRPr="00B82DEF" w:rsidRDefault="001218A8" w:rsidP="00B80F3A">
            <w:pPr>
              <w:ind w:left="0"/>
              <w:jc w:val="center"/>
              <w:rPr>
                <w:b/>
                <w:sz w:val="18"/>
                <w:szCs w:val="18"/>
              </w:rPr>
            </w:pPr>
            <w:r w:rsidRPr="001218A8">
              <w:rPr>
                <w:b/>
                <w:sz w:val="18"/>
                <w:szCs w:val="18"/>
              </w:rPr>
              <w:t>Fond</w:t>
            </w:r>
          </w:p>
        </w:tc>
        <w:tc>
          <w:tcPr>
            <w:tcW w:w="908" w:type="dxa"/>
            <w:tcBorders>
              <w:bottom w:val="single" w:sz="4" w:space="0" w:color="auto"/>
            </w:tcBorders>
            <w:shd w:val="clear" w:color="auto" w:fill="C6D9F1" w:themeFill="text2" w:themeFillTint="33"/>
            <w:vAlign w:val="center"/>
          </w:tcPr>
          <w:p w:rsidR="00B82DEF" w:rsidRPr="00B82DEF" w:rsidRDefault="001218A8" w:rsidP="00B80F3A">
            <w:pPr>
              <w:ind w:left="0"/>
              <w:jc w:val="center"/>
              <w:rPr>
                <w:b/>
                <w:sz w:val="18"/>
                <w:szCs w:val="18"/>
                <w:highlight w:val="yellow"/>
              </w:rPr>
            </w:pPr>
            <w:r w:rsidRPr="001218A8">
              <w:rPr>
                <w:b/>
                <w:sz w:val="18"/>
                <w:szCs w:val="18"/>
              </w:rPr>
              <w:t>Kategória regiónu</w:t>
            </w:r>
          </w:p>
        </w:tc>
        <w:tc>
          <w:tcPr>
            <w:tcW w:w="935" w:type="dxa"/>
            <w:tcBorders>
              <w:bottom w:val="single" w:sz="4" w:space="0" w:color="auto"/>
            </w:tcBorders>
            <w:shd w:val="clear" w:color="auto" w:fill="C6D9F1" w:themeFill="text2" w:themeFillTint="33"/>
            <w:vAlign w:val="center"/>
          </w:tcPr>
          <w:p w:rsidR="00B82DEF" w:rsidRPr="00B82DEF" w:rsidRDefault="001218A8" w:rsidP="00B80F3A">
            <w:pPr>
              <w:ind w:left="0"/>
              <w:jc w:val="center"/>
              <w:rPr>
                <w:b/>
                <w:sz w:val="18"/>
                <w:szCs w:val="18"/>
              </w:rPr>
            </w:pPr>
            <w:r w:rsidRPr="001218A8">
              <w:rPr>
                <w:b/>
                <w:sz w:val="18"/>
                <w:szCs w:val="18"/>
              </w:rPr>
              <w:t>Cieľová hodnota (2023)</w:t>
            </w:r>
          </w:p>
        </w:tc>
        <w:tc>
          <w:tcPr>
            <w:tcW w:w="850" w:type="dxa"/>
            <w:tcBorders>
              <w:bottom w:val="single" w:sz="4" w:space="0" w:color="auto"/>
            </w:tcBorders>
            <w:shd w:val="clear" w:color="auto" w:fill="C6D9F1" w:themeFill="text2" w:themeFillTint="33"/>
            <w:vAlign w:val="center"/>
          </w:tcPr>
          <w:p w:rsidR="00B82DEF" w:rsidRPr="00B82DEF" w:rsidRDefault="001218A8" w:rsidP="00B80F3A">
            <w:pPr>
              <w:ind w:left="0"/>
              <w:jc w:val="center"/>
              <w:rPr>
                <w:b/>
                <w:sz w:val="18"/>
                <w:szCs w:val="18"/>
              </w:rPr>
            </w:pPr>
            <w:r w:rsidRPr="001218A8">
              <w:rPr>
                <w:b/>
                <w:sz w:val="18"/>
                <w:szCs w:val="18"/>
              </w:rPr>
              <w:t>Zdroj údajov</w:t>
            </w:r>
          </w:p>
        </w:tc>
        <w:tc>
          <w:tcPr>
            <w:tcW w:w="851" w:type="dxa"/>
            <w:tcBorders>
              <w:bottom w:val="single" w:sz="4" w:space="0" w:color="auto"/>
            </w:tcBorders>
            <w:shd w:val="clear" w:color="auto" w:fill="C6D9F1" w:themeFill="text2" w:themeFillTint="33"/>
          </w:tcPr>
          <w:p w:rsidR="00B82DEF" w:rsidRPr="00B82DEF" w:rsidRDefault="001218A8" w:rsidP="00B80F3A">
            <w:pPr>
              <w:ind w:left="0"/>
              <w:jc w:val="center"/>
              <w:rPr>
                <w:b/>
                <w:sz w:val="18"/>
                <w:szCs w:val="18"/>
                <w:highlight w:val="yellow"/>
              </w:rPr>
            </w:pPr>
            <w:r w:rsidRPr="001218A8">
              <w:rPr>
                <w:b/>
                <w:sz w:val="18"/>
                <w:szCs w:val="18"/>
              </w:rPr>
              <w:t>Frekvencia vykazovania</w:t>
            </w:r>
          </w:p>
        </w:tc>
      </w:tr>
      <w:tr w:rsidR="00B82DEF" w:rsidRPr="002309F8" w:rsidTr="00B80F3A">
        <w:trPr>
          <w:trHeight w:val="454"/>
          <w:jc w:val="center"/>
        </w:trPr>
        <w:tc>
          <w:tcPr>
            <w:tcW w:w="513" w:type="dxa"/>
            <w:shd w:val="clear" w:color="auto" w:fill="auto"/>
            <w:vAlign w:val="center"/>
          </w:tcPr>
          <w:p w:rsidR="00B82DEF" w:rsidRPr="00D46C46" w:rsidRDefault="00B82DEF" w:rsidP="00B80F3A">
            <w:pPr>
              <w:ind w:left="0"/>
              <w:jc w:val="center"/>
              <w:rPr>
                <w:sz w:val="18"/>
                <w:szCs w:val="18"/>
              </w:rPr>
            </w:pPr>
            <w:r>
              <w:rPr>
                <w:sz w:val="18"/>
                <w:szCs w:val="18"/>
              </w:rPr>
              <w:t>1</w:t>
            </w:r>
            <w:r w:rsidRPr="00D46C46">
              <w:rPr>
                <w:sz w:val="18"/>
                <w:szCs w:val="18"/>
              </w:rPr>
              <w:t>.</w:t>
            </w:r>
          </w:p>
        </w:tc>
        <w:tc>
          <w:tcPr>
            <w:tcW w:w="3628" w:type="dxa"/>
            <w:shd w:val="clear" w:color="auto" w:fill="auto"/>
            <w:vAlign w:val="center"/>
          </w:tcPr>
          <w:p w:rsidR="00B82DEF" w:rsidRPr="00D46C46" w:rsidRDefault="00B82DEF" w:rsidP="00AF5171">
            <w:pPr>
              <w:ind w:left="0"/>
              <w:rPr>
                <w:sz w:val="18"/>
                <w:szCs w:val="18"/>
              </w:rPr>
            </w:pPr>
            <w:r w:rsidRPr="00D46C46">
              <w:rPr>
                <w:sz w:val="18"/>
                <w:szCs w:val="18"/>
              </w:rPr>
              <w:t>Počet nových MSP využívajúcich zdieľané služby verejnej správy</w:t>
            </w:r>
            <w:r w:rsidRPr="00D46C46" w:rsidDel="0059322B">
              <w:rPr>
                <w:sz w:val="18"/>
                <w:szCs w:val="18"/>
              </w:rPr>
              <w:t xml:space="preserve"> </w:t>
            </w:r>
          </w:p>
        </w:tc>
        <w:tc>
          <w:tcPr>
            <w:tcW w:w="850" w:type="dxa"/>
            <w:shd w:val="clear" w:color="auto" w:fill="auto"/>
            <w:vAlign w:val="center"/>
          </w:tcPr>
          <w:p w:rsidR="00B82DEF" w:rsidRPr="00D46C46" w:rsidRDefault="00B82DEF" w:rsidP="00B80F3A">
            <w:pPr>
              <w:ind w:left="0"/>
              <w:jc w:val="center"/>
              <w:rPr>
                <w:sz w:val="18"/>
                <w:szCs w:val="18"/>
              </w:rPr>
            </w:pPr>
            <w:r w:rsidRPr="00D46C46">
              <w:rPr>
                <w:sz w:val="18"/>
                <w:szCs w:val="18"/>
              </w:rPr>
              <w:t>Počet</w:t>
            </w:r>
          </w:p>
        </w:tc>
        <w:tc>
          <w:tcPr>
            <w:tcW w:w="709" w:type="dxa"/>
            <w:shd w:val="clear" w:color="auto" w:fill="auto"/>
            <w:vAlign w:val="center"/>
          </w:tcPr>
          <w:p w:rsidR="00B82DEF" w:rsidRPr="005949E1" w:rsidRDefault="00B82DEF"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EFRR</w:t>
            </w:r>
          </w:p>
        </w:tc>
        <w:tc>
          <w:tcPr>
            <w:tcW w:w="908" w:type="dxa"/>
            <w:shd w:val="clear" w:color="auto" w:fill="auto"/>
            <w:vAlign w:val="center"/>
          </w:tcPr>
          <w:p w:rsidR="00B82DEF" w:rsidRPr="005949E1" w:rsidRDefault="00B82DEF"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Menej rozvinuté regióny</w:t>
            </w:r>
          </w:p>
        </w:tc>
        <w:tc>
          <w:tcPr>
            <w:tcW w:w="935" w:type="dxa"/>
            <w:shd w:val="clear" w:color="auto" w:fill="auto"/>
            <w:vAlign w:val="center"/>
          </w:tcPr>
          <w:p w:rsidR="00B82DEF" w:rsidRPr="00E06002" w:rsidRDefault="00B82DEF" w:rsidP="00B80F3A">
            <w:pPr>
              <w:ind w:left="0"/>
              <w:jc w:val="center"/>
              <w:rPr>
                <w:sz w:val="18"/>
                <w:szCs w:val="18"/>
              </w:rPr>
            </w:pPr>
            <w:r w:rsidRPr="00D51947">
              <w:rPr>
                <w:sz w:val="18"/>
                <w:szCs w:val="18"/>
              </w:rPr>
              <w:t>6 000</w:t>
            </w:r>
          </w:p>
        </w:tc>
        <w:tc>
          <w:tcPr>
            <w:tcW w:w="850" w:type="dxa"/>
            <w:shd w:val="clear" w:color="auto" w:fill="auto"/>
            <w:vAlign w:val="center"/>
          </w:tcPr>
          <w:p w:rsidR="00B82DEF" w:rsidRPr="005949E1" w:rsidRDefault="00B82DEF"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SORO</w:t>
            </w:r>
          </w:p>
        </w:tc>
        <w:tc>
          <w:tcPr>
            <w:tcW w:w="851" w:type="dxa"/>
            <w:shd w:val="clear" w:color="auto" w:fill="auto"/>
            <w:vAlign w:val="center"/>
          </w:tcPr>
          <w:p w:rsidR="00B82DEF" w:rsidRPr="005949E1" w:rsidRDefault="00B82DEF"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Ročne počas trvania projektov</w:t>
            </w:r>
          </w:p>
        </w:tc>
      </w:tr>
      <w:tr w:rsidR="00B82DEF" w:rsidRPr="002309F8" w:rsidTr="00B80F3A">
        <w:trPr>
          <w:trHeight w:val="454"/>
          <w:jc w:val="center"/>
        </w:trPr>
        <w:tc>
          <w:tcPr>
            <w:tcW w:w="513" w:type="dxa"/>
            <w:shd w:val="clear" w:color="auto" w:fill="auto"/>
            <w:vAlign w:val="center"/>
          </w:tcPr>
          <w:p w:rsidR="00B82DEF" w:rsidRPr="00E06002" w:rsidRDefault="00B82DEF" w:rsidP="00B80F3A">
            <w:pPr>
              <w:ind w:left="0"/>
              <w:jc w:val="center"/>
              <w:rPr>
                <w:sz w:val="18"/>
                <w:szCs w:val="18"/>
              </w:rPr>
            </w:pPr>
            <w:r>
              <w:rPr>
                <w:sz w:val="18"/>
                <w:szCs w:val="18"/>
              </w:rPr>
              <w:lastRenderedPageBreak/>
              <w:t>2</w:t>
            </w:r>
            <w:r w:rsidRPr="00E06002">
              <w:rPr>
                <w:sz w:val="18"/>
                <w:szCs w:val="18"/>
              </w:rPr>
              <w:t>.</w:t>
            </w:r>
          </w:p>
        </w:tc>
        <w:tc>
          <w:tcPr>
            <w:tcW w:w="3628" w:type="dxa"/>
            <w:shd w:val="clear" w:color="auto" w:fill="auto"/>
          </w:tcPr>
          <w:p w:rsidR="00B82DEF" w:rsidRPr="00D46C46" w:rsidDel="000657D9" w:rsidRDefault="00B82DEF" w:rsidP="00AF5171">
            <w:pPr>
              <w:ind w:left="0"/>
              <w:rPr>
                <w:sz w:val="18"/>
                <w:szCs w:val="18"/>
              </w:rPr>
            </w:pPr>
            <w:r w:rsidRPr="00F22395">
              <w:rPr>
                <w:sz w:val="18"/>
                <w:szCs w:val="18"/>
              </w:rPr>
              <w:t xml:space="preserve">Počet nových inovatívnych aplikácií nasadených MSP (open data, language resources, ... ) </w:t>
            </w:r>
          </w:p>
        </w:tc>
        <w:tc>
          <w:tcPr>
            <w:tcW w:w="850" w:type="dxa"/>
            <w:shd w:val="clear" w:color="auto" w:fill="auto"/>
            <w:vAlign w:val="center"/>
          </w:tcPr>
          <w:p w:rsidR="00B82DEF" w:rsidRPr="00D46C46" w:rsidDel="000657D9" w:rsidRDefault="00B82DEF" w:rsidP="00B80F3A">
            <w:pPr>
              <w:ind w:left="0"/>
              <w:jc w:val="center"/>
              <w:rPr>
                <w:sz w:val="18"/>
                <w:szCs w:val="18"/>
              </w:rPr>
            </w:pPr>
            <w:r w:rsidRPr="00D46C46">
              <w:rPr>
                <w:sz w:val="18"/>
                <w:szCs w:val="18"/>
              </w:rPr>
              <w:t>Počet</w:t>
            </w:r>
          </w:p>
        </w:tc>
        <w:tc>
          <w:tcPr>
            <w:tcW w:w="709" w:type="dxa"/>
            <w:shd w:val="clear" w:color="auto" w:fill="auto"/>
            <w:vAlign w:val="center"/>
          </w:tcPr>
          <w:p w:rsidR="00B82DEF" w:rsidRPr="005949E1" w:rsidRDefault="00B82DEF"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EFRR</w:t>
            </w:r>
          </w:p>
        </w:tc>
        <w:tc>
          <w:tcPr>
            <w:tcW w:w="908" w:type="dxa"/>
            <w:shd w:val="clear" w:color="auto" w:fill="auto"/>
            <w:vAlign w:val="center"/>
          </w:tcPr>
          <w:p w:rsidR="00B82DEF" w:rsidRPr="005949E1" w:rsidRDefault="00B82DEF"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Menej rozvinuté regióny</w:t>
            </w:r>
          </w:p>
        </w:tc>
        <w:tc>
          <w:tcPr>
            <w:tcW w:w="935" w:type="dxa"/>
            <w:shd w:val="clear" w:color="auto" w:fill="auto"/>
            <w:vAlign w:val="center"/>
          </w:tcPr>
          <w:p w:rsidR="00B82DEF" w:rsidRPr="00E06002" w:rsidRDefault="00B82DEF" w:rsidP="00B80F3A">
            <w:pPr>
              <w:ind w:left="0"/>
              <w:jc w:val="center"/>
              <w:rPr>
                <w:sz w:val="18"/>
                <w:szCs w:val="18"/>
              </w:rPr>
            </w:pPr>
            <w:r w:rsidRPr="00D51947">
              <w:rPr>
                <w:sz w:val="18"/>
                <w:szCs w:val="18"/>
              </w:rPr>
              <w:t>300</w:t>
            </w:r>
          </w:p>
        </w:tc>
        <w:tc>
          <w:tcPr>
            <w:tcW w:w="850" w:type="dxa"/>
            <w:shd w:val="clear" w:color="auto" w:fill="auto"/>
            <w:vAlign w:val="center"/>
          </w:tcPr>
          <w:p w:rsidR="00B82DEF" w:rsidRPr="005949E1" w:rsidRDefault="00B82DEF"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SORO</w:t>
            </w:r>
          </w:p>
        </w:tc>
        <w:tc>
          <w:tcPr>
            <w:tcW w:w="851" w:type="dxa"/>
            <w:shd w:val="clear" w:color="auto" w:fill="auto"/>
            <w:vAlign w:val="center"/>
          </w:tcPr>
          <w:p w:rsidR="00B82DEF" w:rsidRPr="005949E1" w:rsidRDefault="00B82DEF" w:rsidP="00B80F3A">
            <w:pPr>
              <w:tabs>
                <w:tab w:val="left" w:pos="567"/>
                <w:tab w:val="left" w:leader="dot" w:pos="9356"/>
              </w:tabs>
              <w:ind w:left="0" w:hanging="851"/>
              <w:jc w:val="center"/>
              <w:rPr>
                <w:sz w:val="18"/>
                <w:szCs w:val="18"/>
              </w:rPr>
            </w:pPr>
            <w:r>
              <w:rPr>
                <w:sz w:val="18"/>
                <w:szCs w:val="18"/>
              </w:rPr>
              <w:t xml:space="preserve">                   </w:t>
            </w:r>
            <w:r w:rsidRPr="006B6BE8">
              <w:rPr>
                <w:sz w:val="18"/>
                <w:szCs w:val="18"/>
              </w:rPr>
              <w:t>Ročne počas trvania projektov</w:t>
            </w:r>
          </w:p>
        </w:tc>
      </w:tr>
    </w:tbl>
    <w:p w:rsidR="00D90E59" w:rsidRDefault="00D90E59" w:rsidP="00D90E59">
      <w:pPr>
        <w:rPr>
          <w:lang w:eastAsia="cs-CZ"/>
        </w:rPr>
      </w:pPr>
    </w:p>
    <w:p w:rsidR="00445E30" w:rsidRPr="007F1C63" w:rsidRDefault="00445E30" w:rsidP="00445E30">
      <w:pPr>
        <w:pStyle w:val="Nadpis3"/>
        <w:numPr>
          <w:ilvl w:val="2"/>
          <w:numId w:val="18"/>
        </w:numPr>
        <w:tabs>
          <w:tab w:val="clear" w:pos="851"/>
          <w:tab w:val="num" w:pos="709"/>
        </w:tabs>
        <w:ind w:left="709" w:hanging="709"/>
        <w:jc w:val="both"/>
      </w:pPr>
      <w:bookmarkStart w:id="79" w:name="_Toc385310728"/>
      <w:r w:rsidRPr="007F1C63">
        <w:t xml:space="preserve">INVESTIČNÁ PRIORITA </w:t>
      </w:r>
      <w:r>
        <w:t>2c</w:t>
      </w:r>
      <w:r w:rsidRPr="007F1C63">
        <w:t xml:space="preserve">): </w:t>
      </w:r>
      <w:r w:rsidRPr="00445E30">
        <w:t>Posilnenie aplikácií IKT v rámci elektronickej štátnej správy, elektronického vzdelávania, elektronickej inklúzie, elektronickej kultúry a elektronického zdravotníctva</w:t>
      </w:r>
      <w:bookmarkEnd w:id="79"/>
    </w:p>
    <w:p w:rsidR="00445E30" w:rsidRPr="007F1C63" w:rsidRDefault="00445E30" w:rsidP="00445E30">
      <w:pPr>
        <w:keepNext/>
        <w:numPr>
          <w:ilvl w:val="3"/>
          <w:numId w:val="18"/>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Špecifické ciele investičnej priority a očakávané výsledky</w:t>
      </w:r>
    </w:p>
    <w:p w:rsidR="00445E30" w:rsidRPr="00445E30" w:rsidRDefault="00445E30" w:rsidP="002E1021">
      <w:pPr>
        <w:shd w:val="clear" w:color="auto" w:fill="FFFFCC"/>
        <w:jc w:val="both"/>
        <w:rPr>
          <w:b/>
          <w:i/>
        </w:rPr>
      </w:pPr>
      <w:r w:rsidRPr="007F1C63">
        <w:rPr>
          <w:i/>
        </w:rPr>
        <w:t xml:space="preserve">ŠPECIFICKÝ CIEĽ </w:t>
      </w:r>
      <w:r>
        <w:rPr>
          <w:i/>
        </w:rPr>
        <w:t>7</w:t>
      </w:r>
      <w:r w:rsidRPr="007F1C63">
        <w:rPr>
          <w:i/>
        </w:rPr>
        <w:t>.</w:t>
      </w:r>
      <w:r>
        <w:rPr>
          <w:i/>
        </w:rPr>
        <w:t xml:space="preserve">3: </w:t>
      </w:r>
      <w:r w:rsidR="001218A8" w:rsidRPr="001218A8">
        <w:rPr>
          <w:b/>
          <w:i/>
        </w:rPr>
        <w:t>Zvýšenie kvality, štandardu a dostupnosti eGovernment služieb pre podnikateľov</w:t>
      </w:r>
    </w:p>
    <w:p w:rsidR="00445E30" w:rsidRDefault="00445E30" w:rsidP="00445E30">
      <w:pPr>
        <w:spacing w:before="180"/>
        <w:jc w:val="both"/>
        <w:rPr>
          <w:rFonts w:ascii="Arial Narrow" w:hAnsi="Arial Narrow"/>
          <w:b/>
          <w:i/>
          <w:color w:val="548DD4" w:themeColor="text2" w:themeTint="99"/>
          <w:sz w:val="22"/>
          <w:szCs w:val="22"/>
        </w:rPr>
      </w:pPr>
      <w:r w:rsidRPr="00560E77">
        <w:rPr>
          <w:rFonts w:ascii="Arial Narrow" w:hAnsi="Arial Narrow"/>
          <w:b/>
          <w:i/>
          <w:color w:val="548DD4" w:themeColor="text2" w:themeTint="99"/>
          <w:sz w:val="22"/>
          <w:szCs w:val="22"/>
        </w:rPr>
        <w:t>Opis východiskovej situácie</w:t>
      </w:r>
    </w:p>
    <w:p w:rsidR="00445E30" w:rsidRPr="00FF09C9" w:rsidRDefault="00445E30" w:rsidP="00445E30">
      <w:pPr>
        <w:spacing w:before="120" w:after="60"/>
        <w:jc w:val="both"/>
        <w:rPr>
          <w:sz w:val="22"/>
          <w:szCs w:val="20"/>
          <w:lang w:eastAsia="en-US"/>
        </w:rPr>
      </w:pPr>
      <w:r w:rsidRPr="00FF09C9">
        <w:rPr>
          <w:sz w:val="22"/>
          <w:szCs w:val="20"/>
          <w:lang w:eastAsia="en-US"/>
        </w:rPr>
        <w:t>Zámerom špecifického cieľa je zlepšenie kvality, štandardu a dostupnosti elektronických služieb verejnej správy pre podnikateľov tak, aby sa výrazne zvýšila konkurencieschopnosť podnikateľského prostredia na Slovensku.</w:t>
      </w:r>
    </w:p>
    <w:p w:rsidR="00445E30" w:rsidRDefault="00445E30" w:rsidP="00445E30">
      <w:pPr>
        <w:spacing w:before="120" w:after="120"/>
        <w:jc w:val="both"/>
        <w:rPr>
          <w:sz w:val="22"/>
          <w:szCs w:val="20"/>
          <w:lang w:eastAsia="en-US"/>
        </w:rPr>
      </w:pPr>
      <w:r w:rsidRPr="00FF09C9">
        <w:rPr>
          <w:sz w:val="22"/>
          <w:szCs w:val="20"/>
          <w:lang w:eastAsia="en-US"/>
        </w:rPr>
        <w:t xml:space="preserve">Na základe stratégie informatizácie verejnej správy </w:t>
      </w:r>
      <w:r>
        <w:rPr>
          <w:sz w:val="22"/>
          <w:szCs w:val="20"/>
          <w:lang w:eastAsia="en-US"/>
        </w:rPr>
        <w:t>s</w:t>
      </w:r>
      <w:r w:rsidRPr="00FF09C9">
        <w:rPr>
          <w:sz w:val="22"/>
          <w:szCs w:val="20"/>
          <w:lang w:eastAsia="en-US"/>
        </w:rPr>
        <w:t>a v programovom období 2007 až 2013 elektroniz</w:t>
      </w:r>
      <w:r>
        <w:rPr>
          <w:sz w:val="22"/>
          <w:szCs w:val="20"/>
          <w:lang w:eastAsia="en-US"/>
        </w:rPr>
        <w:t>uje</w:t>
      </w:r>
      <w:r w:rsidRPr="00FF09C9">
        <w:rPr>
          <w:sz w:val="22"/>
          <w:szCs w:val="20"/>
          <w:lang w:eastAsia="en-US"/>
        </w:rPr>
        <w:t xml:space="preserve"> vybraná skupina agend verejnej správy (Prioritná os číslo 1 Operačného programu Informatizácia spoločnosti). Nasadzovanie elektronických služieb pre podnikateľov v tomto období prebieha prostredníctvom implementácie informačných systémov verejnej správy:</w:t>
      </w:r>
    </w:p>
    <w:p w:rsidR="00E92F9B" w:rsidRDefault="001218A8" w:rsidP="00FE6025">
      <w:pPr>
        <w:pStyle w:val="Odsekzoznamu"/>
        <w:numPr>
          <w:ilvl w:val="0"/>
          <w:numId w:val="28"/>
        </w:numPr>
        <w:jc w:val="both"/>
        <w:rPr>
          <w:sz w:val="22"/>
          <w:szCs w:val="22"/>
        </w:rPr>
      </w:pPr>
      <w:r w:rsidRPr="001218A8">
        <w:rPr>
          <w:sz w:val="22"/>
          <w:szCs w:val="22"/>
        </w:rPr>
        <w:t>Z celkového počtu 224 úsekov verejnej správy bude 55 percent elektronizovaných;</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Zavedie sa približne 2000 elektronických služieb, okrem iného 6 základných služieb pre podnikateľov z celkového počtu 8 podľa benchmarku i2010</w:t>
      </w:r>
      <w:r w:rsidR="00445E30">
        <w:rPr>
          <w:rStyle w:val="Odkaznapoznmkupodiarou"/>
          <w:sz w:val="22"/>
          <w:szCs w:val="20"/>
          <w:lang w:eastAsia="cs-CZ"/>
        </w:rPr>
        <w:footnoteReference w:id="22"/>
      </w:r>
      <w:r w:rsidRPr="001218A8">
        <w:rPr>
          <w:sz w:val="22"/>
          <w:szCs w:val="20"/>
          <w:lang w:eastAsia="cs-CZ"/>
        </w:rPr>
        <w:t xml:space="preserve">. </w:t>
      </w:r>
    </w:p>
    <w:p w:rsidR="00445E30" w:rsidRPr="00FF09C9" w:rsidRDefault="00445E30" w:rsidP="00445E30">
      <w:pPr>
        <w:spacing w:before="120" w:after="120"/>
        <w:jc w:val="both"/>
        <w:rPr>
          <w:sz w:val="22"/>
          <w:szCs w:val="20"/>
          <w:lang w:eastAsia="en-US"/>
        </w:rPr>
      </w:pPr>
      <w:r w:rsidRPr="00FF09C9">
        <w:rPr>
          <w:sz w:val="22"/>
          <w:szCs w:val="20"/>
          <w:lang w:eastAsia="en-US"/>
        </w:rPr>
        <w:t>Východiskovou situáciou budú fungujúce transakčné služby pre podnikateľov (úroveň 4), ktoré umožnia podávanie žiadostí a získavanie rozhodnutí elektronickým spôsobom. Pre jednoduchý prístup k týmto službám akceleruje rozvoj ústredného portálu verejnej správy. Pre asistované využívanie tohto portálu sa v 1200 lokalitách vybudujú integrované obslužné miesta.</w:t>
      </w:r>
    </w:p>
    <w:p w:rsidR="00445E30" w:rsidRDefault="00445E30" w:rsidP="00445E30">
      <w:pPr>
        <w:spacing w:before="120" w:after="120"/>
        <w:jc w:val="both"/>
        <w:rPr>
          <w:sz w:val="22"/>
          <w:szCs w:val="20"/>
          <w:lang w:eastAsia="en-US"/>
        </w:rPr>
      </w:pPr>
      <w:r w:rsidRPr="00FF09C9">
        <w:rPr>
          <w:sz w:val="22"/>
          <w:szCs w:val="20"/>
          <w:lang w:eastAsia="en-US"/>
        </w:rPr>
        <w:t>Za základné oblasti pre ďalší rozvoj je možné považovať:</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Pokračovať v elektronizácii úsekov, ktoré neboli elektronizované;</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Zaviesť komplexné riešenie životných situácií z dôvodu časových úspor a zvýšenia komfortu pri používaní služieb;</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Využiť reformu procesov vo verejnej správe na posun elektronických služieb na proaktívnu úroveň;</w:t>
      </w:r>
    </w:p>
    <w:p w:rsidR="00E92F9B" w:rsidRDefault="001218A8" w:rsidP="00FE6025">
      <w:pPr>
        <w:pStyle w:val="Odsekzoznamu"/>
        <w:numPr>
          <w:ilvl w:val="0"/>
          <w:numId w:val="28"/>
        </w:numPr>
        <w:spacing w:after="120"/>
        <w:jc w:val="both"/>
        <w:rPr>
          <w:sz w:val="22"/>
          <w:szCs w:val="20"/>
          <w:lang w:eastAsia="cs-CZ"/>
        </w:rPr>
      </w:pPr>
      <w:r w:rsidRPr="001218A8">
        <w:rPr>
          <w:sz w:val="22"/>
          <w:szCs w:val="20"/>
          <w:lang w:eastAsia="cs-CZ"/>
        </w:rPr>
        <w:t>Výrazne inovovať elektronické služby – elektronizovaná agenda a transakčné služby, ktoré vzniknú v rámci OP IS je možné považovať za solídny základ, ktorý však nestíha za súčasnými trendmi v informačných technológiách (mobilita, interaktivita, využívanie dát).</w:t>
      </w:r>
    </w:p>
    <w:p w:rsidR="00445E30" w:rsidRPr="007F1C63" w:rsidRDefault="00445E30" w:rsidP="00445E30">
      <w:pPr>
        <w:spacing w:before="180" w:after="120"/>
        <w:rPr>
          <w:rFonts w:ascii="Arial Narrow" w:hAnsi="Arial Narrow"/>
          <w:b/>
          <w:i/>
          <w:color w:val="548DD4" w:themeColor="text2" w:themeTint="99"/>
          <w:sz w:val="22"/>
          <w:szCs w:val="22"/>
        </w:rPr>
      </w:pPr>
      <w:r w:rsidRPr="007F1C63">
        <w:rPr>
          <w:rFonts w:ascii="Arial Narrow" w:hAnsi="Arial Narrow"/>
          <w:b/>
          <w:i/>
          <w:color w:val="548DD4" w:themeColor="text2" w:themeTint="99"/>
          <w:sz w:val="22"/>
          <w:szCs w:val="22"/>
        </w:rPr>
        <w:t>VÝSLEDKY</w:t>
      </w:r>
    </w:p>
    <w:p w:rsidR="0017337B" w:rsidRPr="00FF09C9" w:rsidRDefault="0017337B" w:rsidP="0017337B">
      <w:pPr>
        <w:spacing w:before="120" w:after="60"/>
        <w:jc w:val="both"/>
        <w:rPr>
          <w:sz w:val="22"/>
          <w:szCs w:val="20"/>
          <w:lang w:eastAsia="en-US"/>
        </w:rPr>
      </w:pPr>
      <w:r w:rsidRPr="00FF09C9">
        <w:rPr>
          <w:sz w:val="22"/>
          <w:szCs w:val="20"/>
          <w:lang w:eastAsia="en-US"/>
        </w:rPr>
        <w:t xml:space="preserve">Vďaka rozvoju elektronických služieb dosiahneme: </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Používanie služieb eGovernmentu sa stane neoddeliteľnou súčasťou úspešného podnikania;</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Nárast konkurencieschopnosti podnikateľského prostredia – komunikácia s verejnou správou bude jednoduchšia, komfortnejšia a transparentnejšia;</w:t>
      </w:r>
    </w:p>
    <w:p w:rsidR="00E92F9B" w:rsidRPr="0075315D" w:rsidRDefault="001218A8" w:rsidP="00FE6025">
      <w:pPr>
        <w:pStyle w:val="Odsekzoznamu"/>
        <w:numPr>
          <w:ilvl w:val="0"/>
          <w:numId w:val="28"/>
        </w:numPr>
        <w:jc w:val="both"/>
        <w:rPr>
          <w:szCs w:val="20"/>
          <w:lang w:eastAsia="cs-CZ"/>
        </w:rPr>
      </w:pPr>
      <w:r w:rsidRPr="001218A8">
        <w:rPr>
          <w:sz w:val="22"/>
          <w:szCs w:val="20"/>
          <w:lang w:eastAsia="cs-CZ"/>
        </w:rPr>
        <w:t>Výrazné zvýšenie inovačného potenciálu digitálnej ekonomiky vďaka vyvolanému dopytu po moderných riešeniach.</w:t>
      </w:r>
    </w:p>
    <w:p w:rsidR="0075315D" w:rsidRDefault="0075315D" w:rsidP="0075315D">
      <w:pPr>
        <w:jc w:val="both"/>
        <w:rPr>
          <w:szCs w:val="20"/>
          <w:lang w:eastAsia="cs-CZ"/>
        </w:rPr>
      </w:pPr>
    </w:p>
    <w:p w:rsidR="0075315D" w:rsidRDefault="0075315D" w:rsidP="0075315D">
      <w:pPr>
        <w:jc w:val="both"/>
        <w:rPr>
          <w:szCs w:val="20"/>
          <w:lang w:eastAsia="cs-CZ"/>
        </w:rPr>
      </w:pPr>
    </w:p>
    <w:p w:rsidR="0075315D" w:rsidRPr="0075315D" w:rsidRDefault="0075315D" w:rsidP="0075315D">
      <w:pPr>
        <w:jc w:val="both"/>
        <w:rPr>
          <w:szCs w:val="20"/>
          <w:lang w:eastAsia="cs-CZ"/>
        </w:rPr>
      </w:pPr>
    </w:p>
    <w:p w:rsidR="00445E30" w:rsidRDefault="0017337B" w:rsidP="00445E30">
      <w:pPr>
        <w:pStyle w:val="Tab"/>
      </w:pPr>
      <w:r>
        <w:lastRenderedPageBreak/>
        <w:t xml:space="preserve"> </w:t>
      </w:r>
      <w:r w:rsidR="00BE1DDE">
        <w:t xml:space="preserve">Špecifické </w:t>
      </w:r>
      <w:r w:rsidR="00445E30" w:rsidRPr="007F1C63">
        <w:t xml:space="preserve">ukazovatele </w:t>
      </w:r>
      <w:r w:rsidR="00BE1DDE">
        <w:t>v</w:t>
      </w:r>
      <w:r w:rsidR="00BE1DDE" w:rsidRPr="007F1C63">
        <w:t>ýsledk</w:t>
      </w:r>
      <w:r w:rsidR="00BE1DDE">
        <w:t>ov programu</w:t>
      </w:r>
      <w:r w:rsidR="00BE1DDE" w:rsidRPr="007F1C63">
        <w:t xml:space="preserve"> </w:t>
      </w:r>
      <w:r w:rsidR="00445E30" w:rsidRPr="007F1C63">
        <w:t>zodpovedajúce špecifickému cieľu</w:t>
      </w:r>
      <w:r w:rsidR="00445E30">
        <w:t xml:space="preserve"> 7.</w:t>
      </w:r>
      <w:r>
        <w:t>3</w:t>
      </w:r>
    </w:p>
    <w:tbl>
      <w:tblPr>
        <w:tblStyle w:val="Mriekatabuky"/>
        <w:tblW w:w="9752" w:type="dxa"/>
        <w:tblLayout w:type="fixed"/>
        <w:tblLook w:val="04A0"/>
      </w:tblPr>
      <w:tblGrid>
        <w:gridCol w:w="552"/>
        <w:gridCol w:w="1810"/>
        <w:gridCol w:w="900"/>
        <w:gridCol w:w="983"/>
        <w:gridCol w:w="1314"/>
        <w:gridCol w:w="1285"/>
        <w:gridCol w:w="886"/>
        <w:gridCol w:w="859"/>
        <w:gridCol w:w="1163"/>
      </w:tblGrid>
      <w:tr w:rsidR="0017337B" w:rsidRPr="00C40332" w:rsidTr="00B80F3A">
        <w:trPr>
          <w:trHeight w:val="454"/>
        </w:trPr>
        <w:tc>
          <w:tcPr>
            <w:tcW w:w="556" w:type="dxa"/>
            <w:shd w:val="clear" w:color="auto" w:fill="C6D9F1" w:themeFill="text2" w:themeFillTint="33"/>
            <w:vAlign w:val="center"/>
          </w:tcPr>
          <w:p w:rsidR="0017337B" w:rsidRPr="0017337B" w:rsidRDefault="001218A8" w:rsidP="00B80F3A">
            <w:pPr>
              <w:ind w:left="0"/>
              <w:rPr>
                <w:b/>
                <w:sz w:val="18"/>
                <w:szCs w:val="18"/>
              </w:rPr>
            </w:pPr>
            <w:r w:rsidRPr="001218A8">
              <w:rPr>
                <w:b/>
                <w:sz w:val="18"/>
                <w:szCs w:val="18"/>
              </w:rPr>
              <w:t>ID</w:t>
            </w:r>
          </w:p>
        </w:tc>
        <w:tc>
          <w:tcPr>
            <w:tcW w:w="1834" w:type="dxa"/>
            <w:shd w:val="clear" w:color="auto" w:fill="C6D9F1" w:themeFill="text2" w:themeFillTint="33"/>
            <w:vAlign w:val="center"/>
          </w:tcPr>
          <w:p w:rsidR="0017337B" w:rsidRPr="0017337B" w:rsidRDefault="001218A8" w:rsidP="00B80F3A">
            <w:pPr>
              <w:ind w:left="0"/>
              <w:rPr>
                <w:b/>
                <w:sz w:val="18"/>
                <w:szCs w:val="18"/>
              </w:rPr>
            </w:pPr>
            <w:r w:rsidRPr="001218A8">
              <w:rPr>
                <w:b/>
                <w:sz w:val="18"/>
                <w:szCs w:val="18"/>
              </w:rPr>
              <w:t>Ukazovateľ</w:t>
            </w:r>
          </w:p>
        </w:tc>
        <w:tc>
          <w:tcPr>
            <w:tcW w:w="910" w:type="dxa"/>
            <w:shd w:val="clear" w:color="auto" w:fill="C6D9F1" w:themeFill="text2" w:themeFillTint="33"/>
            <w:vAlign w:val="center"/>
          </w:tcPr>
          <w:p w:rsidR="0017337B" w:rsidRPr="0017337B" w:rsidRDefault="001218A8" w:rsidP="00B80F3A">
            <w:pPr>
              <w:ind w:left="0"/>
              <w:jc w:val="center"/>
              <w:rPr>
                <w:b/>
                <w:sz w:val="18"/>
                <w:szCs w:val="18"/>
              </w:rPr>
            </w:pPr>
            <w:r w:rsidRPr="001218A8">
              <w:rPr>
                <w:b/>
                <w:sz w:val="18"/>
                <w:szCs w:val="18"/>
              </w:rPr>
              <w:t>Merná jednotka</w:t>
            </w:r>
          </w:p>
        </w:tc>
        <w:tc>
          <w:tcPr>
            <w:tcW w:w="994" w:type="dxa"/>
            <w:shd w:val="clear" w:color="auto" w:fill="C6D9F1" w:themeFill="text2" w:themeFillTint="33"/>
            <w:vAlign w:val="center"/>
          </w:tcPr>
          <w:p w:rsidR="0017337B" w:rsidRPr="0017337B" w:rsidRDefault="001218A8" w:rsidP="00B80F3A">
            <w:pPr>
              <w:ind w:left="0"/>
              <w:jc w:val="center"/>
              <w:rPr>
                <w:b/>
                <w:sz w:val="18"/>
                <w:szCs w:val="18"/>
                <w:highlight w:val="yellow"/>
              </w:rPr>
            </w:pPr>
            <w:r w:rsidRPr="001218A8">
              <w:rPr>
                <w:b/>
                <w:sz w:val="18"/>
                <w:szCs w:val="18"/>
              </w:rPr>
              <w:t>Kategória regiónu</w:t>
            </w:r>
          </w:p>
        </w:tc>
        <w:tc>
          <w:tcPr>
            <w:tcW w:w="1330" w:type="dxa"/>
            <w:shd w:val="clear" w:color="auto" w:fill="C6D9F1" w:themeFill="text2" w:themeFillTint="33"/>
            <w:vAlign w:val="center"/>
          </w:tcPr>
          <w:p w:rsidR="0017337B" w:rsidRPr="0017337B" w:rsidRDefault="001218A8" w:rsidP="00B80F3A">
            <w:pPr>
              <w:ind w:left="0"/>
              <w:jc w:val="center"/>
              <w:rPr>
                <w:b/>
                <w:sz w:val="18"/>
                <w:szCs w:val="18"/>
              </w:rPr>
            </w:pPr>
            <w:r w:rsidRPr="001218A8">
              <w:rPr>
                <w:b/>
                <w:sz w:val="18"/>
                <w:szCs w:val="18"/>
              </w:rPr>
              <w:t>Východisková hodnota</w:t>
            </w:r>
          </w:p>
        </w:tc>
        <w:tc>
          <w:tcPr>
            <w:tcW w:w="1301" w:type="dxa"/>
            <w:shd w:val="clear" w:color="auto" w:fill="C6D9F1" w:themeFill="text2" w:themeFillTint="33"/>
            <w:vAlign w:val="center"/>
          </w:tcPr>
          <w:p w:rsidR="0017337B" w:rsidRPr="0017337B" w:rsidRDefault="001218A8" w:rsidP="00B80F3A">
            <w:pPr>
              <w:ind w:left="0"/>
              <w:jc w:val="center"/>
              <w:rPr>
                <w:b/>
                <w:sz w:val="18"/>
                <w:szCs w:val="18"/>
              </w:rPr>
            </w:pPr>
            <w:r w:rsidRPr="001218A8">
              <w:rPr>
                <w:b/>
                <w:sz w:val="18"/>
                <w:szCs w:val="18"/>
              </w:rPr>
              <w:t>Východiskový rok</w:t>
            </w:r>
          </w:p>
        </w:tc>
        <w:tc>
          <w:tcPr>
            <w:tcW w:w="896" w:type="dxa"/>
            <w:shd w:val="clear" w:color="auto" w:fill="C6D9F1" w:themeFill="text2" w:themeFillTint="33"/>
            <w:vAlign w:val="center"/>
          </w:tcPr>
          <w:p w:rsidR="0017337B" w:rsidRPr="0017337B" w:rsidRDefault="001218A8" w:rsidP="00B80F3A">
            <w:pPr>
              <w:ind w:left="0"/>
              <w:jc w:val="center"/>
              <w:rPr>
                <w:b/>
                <w:sz w:val="18"/>
                <w:szCs w:val="18"/>
              </w:rPr>
            </w:pPr>
            <w:r w:rsidRPr="001218A8">
              <w:rPr>
                <w:b/>
                <w:sz w:val="18"/>
                <w:szCs w:val="18"/>
              </w:rPr>
              <w:t>Cieľová hodnota</w:t>
            </w:r>
          </w:p>
        </w:tc>
        <w:tc>
          <w:tcPr>
            <w:tcW w:w="868" w:type="dxa"/>
            <w:shd w:val="clear" w:color="auto" w:fill="C6D9F1" w:themeFill="text2" w:themeFillTint="33"/>
            <w:vAlign w:val="center"/>
          </w:tcPr>
          <w:p w:rsidR="0017337B" w:rsidRPr="0017337B" w:rsidRDefault="001218A8" w:rsidP="00B80F3A">
            <w:pPr>
              <w:ind w:left="0"/>
              <w:jc w:val="center"/>
              <w:rPr>
                <w:b/>
                <w:sz w:val="18"/>
                <w:szCs w:val="18"/>
              </w:rPr>
            </w:pPr>
            <w:r w:rsidRPr="001218A8">
              <w:rPr>
                <w:b/>
                <w:sz w:val="18"/>
                <w:szCs w:val="18"/>
              </w:rPr>
              <w:t>Zdroj údajov</w:t>
            </w:r>
          </w:p>
        </w:tc>
        <w:tc>
          <w:tcPr>
            <w:tcW w:w="1177" w:type="dxa"/>
            <w:shd w:val="clear" w:color="auto" w:fill="C6D9F1" w:themeFill="text2" w:themeFillTint="33"/>
            <w:vAlign w:val="center"/>
          </w:tcPr>
          <w:p w:rsidR="0017337B" w:rsidRPr="0017337B" w:rsidRDefault="001218A8" w:rsidP="00B80F3A">
            <w:pPr>
              <w:ind w:left="0"/>
              <w:jc w:val="center"/>
              <w:rPr>
                <w:b/>
                <w:sz w:val="18"/>
                <w:szCs w:val="18"/>
              </w:rPr>
            </w:pPr>
            <w:r w:rsidRPr="001218A8">
              <w:rPr>
                <w:b/>
                <w:sz w:val="18"/>
                <w:szCs w:val="18"/>
              </w:rPr>
              <w:t>Interval vykazovania</w:t>
            </w:r>
          </w:p>
        </w:tc>
      </w:tr>
      <w:tr w:rsidR="0017337B" w:rsidRPr="00B02869" w:rsidTr="00B80F3A">
        <w:trPr>
          <w:trHeight w:val="340"/>
        </w:trPr>
        <w:tc>
          <w:tcPr>
            <w:tcW w:w="556" w:type="dxa"/>
            <w:vAlign w:val="center"/>
          </w:tcPr>
          <w:p w:rsidR="0017337B" w:rsidRPr="005C17C4" w:rsidRDefault="0017337B" w:rsidP="00B80F3A">
            <w:pPr>
              <w:ind w:left="0"/>
              <w:rPr>
                <w:sz w:val="16"/>
                <w:szCs w:val="16"/>
              </w:rPr>
            </w:pPr>
            <w:r w:rsidRPr="005C17C4">
              <w:rPr>
                <w:sz w:val="16"/>
                <w:szCs w:val="16"/>
              </w:rPr>
              <w:t>1.</w:t>
            </w:r>
          </w:p>
        </w:tc>
        <w:tc>
          <w:tcPr>
            <w:tcW w:w="1834" w:type="dxa"/>
            <w:vAlign w:val="center"/>
          </w:tcPr>
          <w:p w:rsidR="0017337B" w:rsidRPr="00C93890" w:rsidRDefault="0017337B" w:rsidP="00B80F3A">
            <w:pPr>
              <w:tabs>
                <w:tab w:val="left" w:pos="567"/>
                <w:tab w:val="left" w:leader="dot" w:pos="9356"/>
              </w:tabs>
              <w:ind w:left="0" w:hanging="851"/>
              <w:rPr>
                <w:sz w:val="18"/>
                <w:szCs w:val="18"/>
              </w:rPr>
            </w:pPr>
            <w:r>
              <w:rPr>
                <w:sz w:val="18"/>
                <w:szCs w:val="18"/>
              </w:rPr>
              <w:t xml:space="preserve">                   </w:t>
            </w:r>
            <w:r w:rsidRPr="006B6BE8">
              <w:rPr>
                <w:sz w:val="18"/>
                <w:szCs w:val="18"/>
              </w:rPr>
              <w:t xml:space="preserve">Celková </w:t>
            </w:r>
            <w:r>
              <w:rPr>
                <w:sz w:val="18"/>
                <w:szCs w:val="18"/>
              </w:rPr>
              <w:t>s</w:t>
            </w:r>
            <w:r w:rsidRPr="006B6BE8">
              <w:rPr>
                <w:sz w:val="18"/>
                <w:szCs w:val="18"/>
              </w:rPr>
              <w:t xml:space="preserve">pokojnosť podnikateľov  so službami eGovernmentu </w:t>
            </w:r>
          </w:p>
        </w:tc>
        <w:tc>
          <w:tcPr>
            <w:tcW w:w="910" w:type="dxa"/>
            <w:vAlign w:val="center"/>
          </w:tcPr>
          <w:p w:rsidR="0017337B" w:rsidRPr="00C93890" w:rsidRDefault="0017337B" w:rsidP="00B80F3A">
            <w:pPr>
              <w:tabs>
                <w:tab w:val="left" w:pos="567"/>
                <w:tab w:val="left" w:leader="dot" w:pos="9356"/>
              </w:tabs>
              <w:ind w:left="0"/>
              <w:jc w:val="center"/>
              <w:rPr>
                <w:sz w:val="18"/>
                <w:szCs w:val="18"/>
              </w:rPr>
            </w:pPr>
            <w:r>
              <w:rPr>
                <w:sz w:val="18"/>
                <w:szCs w:val="18"/>
              </w:rPr>
              <w:t>i</w:t>
            </w:r>
            <w:r w:rsidRPr="006B6BE8">
              <w:rPr>
                <w:sz w:val="18"/>
                <w:szCs w:val="18"/>
              </w:rPr>
              <w:t>ndex</w:t>
            </w:r>
          </w:p>
        </w:tc>
        <w:tc>
          <w:tcPr>
            <w:tcW w:w="994" w:type="dxa"/>
            <w:vAlign w:val="center"/>
          </w:tcPr>
          <w:p w:rsidR="0017337B" w:rsidRPr="005D6722" w:rsidRDefault="0017337B" w:rsidP="00B80F3A">
            <w:pPr>
              <w:tabs>
                <w:tab w:val="left" w:pos="567"/>
                <w:tab w:val="left" w:leader="dot" w:pos="9356"/>
              </w:tabs>
              <w:ind w:left="0"/>
              <w:jc w:val="center"/>
              <w:rPr>
                <w:i/>
                <w:sz w:val="18"/>
                <w:szCs w:val="18"/>
              </w:rPr>
            </w:pPr>
            <w:r w:rsidRPr="005D6722">
              <w:rPr>
                <w:i/>
                <w:sz w:val="18"/>
                <w:szCs w:val="18"/>
              </w:rPr>
              <w:t>Menej rozvinuté regióny</w:t>
            </w:r>
          </w:p>
        </w:tc>
        <w:tc>
          <w:tcPr>
            <w:tcW w:w="1330" w:type="dxa"/>
            <w:vAlign w:val="center"/>
          </w:tcPr>
          <w:p w:rsidR="0017337B" w:rsidRPr="00C93890" w:rsidRDefault="0017337B" w:rsidP="00B80F3A">
            <w:pPr>
              <w:ind w:left="0"/>
              <w:jc w:val="center"/>
              <w:rPr>
                <w:sz w:val="18"/>
                <w:szCs w:val="18"/>
              </w:rPr>
            </w:pPr>
          </w:p>
          <w:p w:rsidR="0017337B" w:rsidRPr="00C93890" w:rsidRDefault="0017337B" w:rsidP="00B80F3A">
            <w:pPr>
              <w:ind w:left="0"/>
              <w:jc w:val="center"/>
              <w:rPr>
                <w:sz w:val="18"/>
                <w:szCs w:val="18"/>
              </w:rPr>
            </w:pPr>
            <w:r w:rsidRPr="006B6BE8">
              <w:rPr>
                <w:sz w:val="18"/>
                <w:szCs w:val="18"/>
              </w:rPr>
              <w:t>64,2</w:t>
            </w:r>
          </w:p>
          <w:p w:rsidR="0017337B" w:rsidRPr="00C93890" w:rsidRDefault="0017337B" w:rsidP="00B80F3A">
            <w:pPr>
              <w:ind w:left="0"/>
              <w:jc w:val="center"/>
              <w:rPr>
                <w:sz w:val="18"/>
                <w:szCs w:val="18"/>
              </w:rPr>
            </w:pPr>
          </w:p>
        </w:tc>
        <w:tc>
          <w:tcPr>
            <w:tcW w:w="1301" w:type="dxa"/>
            <w:vAlign w:val="center"/>
          </w:tcPr>
          <w:p w:rsidR="0017337B" w:rsidRPr="00C93890" w:rsidRDefault="0017337B" w:rsidP="00B80F3A">
            <w:pPr>
              <w:tabs>
                <w:tab w:val="left" w:pos="567"/>
                <w:tab w:val="left" w:leader="dot" w:pos="9356"/>
              </w:tabs>
              <w:ind w:left="0"/>
              <w:jc w:val="center"/>
              <w:rPr>
                <w:sz w:val="18"/>
                <w:szCs w:val="18"/>
              </w:rPr>
            </w:pPr>
            <w:r w:rsidRPr="006B6BE8">
              <w:rPr>
                <w:sz w:val="18"/>
                <w:szCs w:val="18"/>
              </w:rPr>
              <w:t>2012</w:t>
            </w:r>
          </w:p>
        </w:tc>
        <w:tc>
          <w:tcPr>
            <w:tcW w:w="896" w:type="dxa"/>
            <w:vAlign w:val="center"/>
          </w:tcPr>
          <w:p w:rsidR="0017337B" w:rsidRPr="00C93890" w:rsidRDefault="0017337B" w:rsidP="00B80F3A">
            <w:pPr>
              <w:ind w:left="0"/>
              <w:jc w:val="center"/>
              <w:rPr>
                <w:sz w:val="18"/>
                <w:szCs w:val="18"/>
              </w:rPr>
            </w:pPr>
          </w:p>
          <w:p w:rsidR="0017337B" w:rsidRPr="00C93890" w:rsidRDefault="0017337B" w:rsidP="00B80F3A">
            <w:pPr>
              <w:ind w:left="0"/>
              <w:jc w:val="center"/>
              <w:rPr>
                <w:sz w:val="18"/>
                <w:szCs w:val="18"/>
              </w:rPr>
            </w:pPr>
            <w:r w:rsidRPr="006B6BE8">
              <w:rPr>
                <w:sz w:val="18"/>
                <w:szCs w:val="18"/>
              </w:rPr>
              <w:t>74</w:t>
            </w:r>
          </w:p>
          <w:p w:rsidR="0017337B" w:rsidRPr="00C93890" w:rsidRDefault="0017337B" w:rsidP="00B80F3A">
            <w:pPr>
              <w:ind w:left="0"/>
              <w:jc w:val="center"/>
              <w:rPr>
                <w:sz w:val="18"/>
                <w:szCs w:val="18"/>
              </w:rPr>
            </w:pPr>
          </w:p>
        </w:tc>
        <w:tc>
          <w:tcPr>
            <w:tcW w:w="868" w:type="dxa"/>
            <w:vAlign w:val="center"/>
          </w:tcPr>
          <w:p w:rsidR="0017337B" w:rsidRPr="00C93890" w:rsidRDefault="0017337B" w:rsidP="00B80F3A">
            <w:pPr>
              <w:tabs>
                <w:tab w:val="left" w:pos="567"/>
                <w:tab w:val="left" w:leader="dot" w:pos="9356"/>
              </w:tabs>
              <w:ind w:left="0"/>
              <w:jc w:val="center"/>
              <w:rPr>
                <w:sz w:val="18"/>
                <w:szCs w:val="18"/>
              </w:rPr>
            </w:pPr>
            <w:r w:rsidRPr="006B6BE8">
              <w:rPr>
                <w:sz w:val="18"/>
                <w:szCs w:val="18"/>
              </w:rPr>
              <w:t>SORO</w:t>
            </w:r>
          </w:p>
        </w:tc>
        <w:tc>
          <w:tcPr>
            <w:tcW w:w="1177" w:type="dxa"/>
            <w:vAlign w:val="center"/>
          </w:tcPr>
          <w:p w:rsidR="0017337B" w:rsidRPr="00C93890" w:rsidRDefault="0017337B" w:rsidP="00B80F3A">
            <w:pPr>
              <w:tabs>
                <w:tab w:val="left" w:pos="567"/>
                <w:tab w:val="left" w:leader="dot" w:pos="9356"/>
              </w:tabs>
              <w:ind w:left="0"/>
              <w:jc w:val="center"/>
              <w:rPr>
                <w:sz w:val="18"/>
                <w:szCs w:val="18"/>
              </w:rPr>
            </w:pPr>
            <w:r w:rsidRPr="006B6BE8">
              <w:rPr>
                <w:sz w:val="18"/>
                <w:szCs w:val="18"/>
              </w:rPr>
              <w:t>Ročne</w:t>
            </w:r>
          </w:p>
        </w:tc>
      </w:tr>
      <w:tr w:rsidR="0017337B" w:rsidRPr="00B02869" w:rsidTr="00B80F3A">
        <w:trPr>
          <w:trHeight w:val="340"/>
        </w:trPr>
        <w:tc>
          <w:tcPr>
            <w:tcW w:w="556" w:type="dxa"/>
            <w:vAlign w:val="center"/>
          </w:tcPr>
          <w:p w:rsidR="0017337B" w:rsidRPr="005C17C4" w:rsidRDefault="0017337B" w:rsidP="00B80F3A">
            <w:pPr>
              <w:ind w:left="0"/>
              <w:rPr>
                <w:sz w:val="16"/>
                <w:szCs w:val="16"/>
              </w:rPr>
            </w:pPr>
            <w:r w:rsidRPr="005C17C4">
              <w:rPr>
                <w:sz w:val="16"/>
                <w:szCs w:val="16"/>
              </w:rPr>
              <w:t>2.</w:t>
            </w:r>
          </w:p>
        </w:tc>
        <w:tc>
          <w:tcPr>
            <w:tcW w:w="1834" w:type="dxa"/>
            <w:vAlign w:val="center"/>
          </w:tcPr>
          <w:p w:rsidR="0017337B" w:rsidRPr="005D6722" w:rsidRDefault="0017337B" w:rsidP="00B80F3A">
            <w:pPr>
              <w:tabs>
                <w:tab w:val="left" w:pos="567"/>
                <w:tab w:val="left" w:leader="dot" w:pos="9356"/>
              </w:tabs>
              <w:ind w:left="0" w:hanging="851"/>
              <w:rPr>
                <w:sz w:val="18"/>
                <w:szCs w:val="18"/>
              </w:rPr>
            </w:pPr>
            <w:r>
              <w:rPr>
                <w:sz w:val="18"/>
                <w:szCs w:val="18"/>
              </w:rPr>
              <w:t xml:space="preserve">                   </w:t>
            </w:r>
            <w:r w:rsidRPr="006B6BE8">
              <w:rPr>
                <w:sz w:val="18"/>
                <w:szCs w:val="18"/>
              </w:rPr>
              <w:t>Celkové používanie služieb eGove</w:t>
            </w:r>
            <w:r>
              <w:rPr>
                <w:sz w:val="18"/>
                <w:szCs w:val="18"/>
              </w:rPr>
              <w:t>rn</w:t>
            </w:r>
            <w:r w:rsidRPr="006B6BE8">
              <w:rPr>
                <w:sz w:val="18"/>
                <w:szCs w:val="18"/>
              </w:rPr>
              <w:t>mentu podnikateľmi</w:t>
            </w:r>
          </w:p>
        </w:tc>
        <w:tc>
          <w:tcPr>
            <w:tcW w:w="910" w:type="dxa"/>
            <w:vAlign w:val="center"/>
          </w:tcPr>
          <w:p w:rsidR="0017337B" w:rsidRPr="00C93890" w:rsidRDefault="0017337B" w:rsidP="00B80F3A">
            <w:pPr>
              <w:tabs>
                <w:tab w:val="left" w:pos="567"/>
                <w:tab w:val="left" w:leader="dot" w:pos="9356"/>
              </w:tabs>
              <w:ind w:left="0"/>
              <w:jc w:val="center"/>
              <w:rPr>
                <w:sz w:val="18"/>
                <w:szCs w:val="18"/>
              </w:rPr>
            </w:pPr>
            <w:r w:rsidRPr="006B6BE8">
              <w:rPr>
                <w:sz w:val="18"/>
                <w:szCs w:val="18"/>
              </w:rPr>
              <w:t>%</w:t>
            </w:r>
          </w:p>
        </w:tc>
        <w:tc>
          <w:tcPr>
            <w:tcW w:w="994" w:type="dxa"/>
            <w:vAlign w:val="center"/>
          </w:tcPr>
          <w:p w:rsidR="0017337B" w:rsidRPr="005D6722" w:rsidRDefault="0017337B" w:rsidP="00B80F3A">
            <w:pPr>
              <w:tabs>
                <w:tab w:val="left" w:pos="567"/>
                <w:tab w:val="left" w:leader="dot" w:pos="9356"/>
              </w:tabs>
              <w:ind w:left="0"/>
              <w:jc w:val="center"/>
              <w:rPr>
                <w:i/>
                <w:sz w:val="18"/>
                <w:szCs w:val="18"/>
              </w:rPr>
            </w:pPr>
            <w:r w:rsidRPr="005D6722">
              <w:rPr>
                <w:i/>
                <w:sz w:val="18"/>
                <w:szCs w:val="18"/>
              </w:rPr>
              <w:t>Menej rozvinuté regióny</w:t>
            </w:r>
          </w:p>
        </w:tc>
        <w:tc>
          <w:tcPr>
            <w:tcW w:w="1330" w:type="dxa"/>
            <w:vAlign w:val="center"/>
          </w:tcPr>
          <w:p w:rsidR="0017337B" w:rsidRPr="00C93890" w:rsidRDefault="0017337B" w:rsidP="00B80F3A">
            <w:pPr>
              <w:ind w:left="0"/>
              <w:jc w:val="center"/>
              <w:rPr>
                <w:sz w:val="18"/>
                <w:szCs w:val="18"/>
              </w:rPr>
            </w:pPr>
            <w:r w:rsidRPr="006B6BE8">
              <w:rPr>
                <w:sz w:val="18"/>
                <w:szCs w:val="18"/>
              </w:rPr>
              <w:t>90,7</w:t>
            </w:r>
          </w:p>
        </w:tc>
        <w:tc>
          <w:tcPr>
            <w:tcW w:w="1301" w:type="dxa"/>
            <w:vAlign w:val="center"/>
          </w:tcPr>
          <w:p w:rsidR="0017337B" w:rsidRPr="00C93890" w:rsidRDefault="0017337B" w:rsidP="00B80F3A">
            <w:pPr>
              <w:tabs>
                <w:tab w:val="left" w:pos="567"/>
                <w:tab w:val="left" w:leader="dot" w:pos="9356"/>
              </w:tabs>
              <w:ind w:left="0"/>
              <w:jc w:val="center"/>
              <w:rPr>
                <w:sz w:val="18"/>
                <w:szCs w:val="18"/>
              </w:rPr>
            </w:pPr>
            <w:r w:rsidRPr="006B6BE8">
              <w:rPr>
                <w:sz w:val="18"/>
                <w:szCs w:val="18"/>
              </w:rPr>
              <w:t>2012</w:t>
            </w:r>
          </w:p>
        </w:tc>
        <w:tc>
          <w:tcPr>
            <w:tcW w:w="896" w:type="dxa"/>
            <w:vAlign w:val="center"/>
          </w:tcPr>
          <w:p w:rsidR="0017337B" w:rsidRPr="00C93890" w:rsidRDefault="0017337B" w:rsidP="00B80F3A">
            <w:pPr>
              <w:ind w:left="0"/>
              <w:jc w:val="center"/>
              <w:rPr>
                <w:sz w:val="18"/>
                <w:szCs w:val="18"/>
              </w:rPr>
            </w:pPr>
          </w:p>
          <w:p w:rsidR="0017337B" w:rsidRPr="00C93890" w:rsidRDefault="0017337B" w:rsidP="00B80F3A">
            <w:pPr>
              <w:ind w:left="0"/>
              <w:jc w:val="center"/>
              <w:rPr>
                <w:sz w:val="18"/>
                <w:szCs w:val="18"/>
              </w:rPr>
            </w:pPr>
            <w:r w:rsidRPr="006B6BE8">
              <w:rPr>
                <w:sz w:val="18"/>
                <w:szCs w:val="18"/>
              </w:rPr>
              <w:t>98</w:t>
            </w:r>
          </w:p>
          <w:p w:rsidR="0017337B" w:rsidRPr="00C93890" w:rsidRDefault="0017337B" w:rsidP="00B80F3A">
            <w:pPr>
              <w:ind w:left="0"/>
              <w:jc w:val="center"/>
              <w:rPr>
                <w:sz w:val="18"/>
                <w:szCs w:val="18"/>
              </w:rPr>
            </w:pPr>
          </w:p>
        </w:tc>
        <w:tc>
          <w:tcPr>
            <w:tcW w:w="868" w:type="dxa"/>
            <w:vAlign w:val="center"/>
          </w:tcPr>
          <w:p w:rsidR="0017337B" w:rsidRPr="00C93890" w:rsidRDefault="0017337B" w:rsidP="00B80F3A">
            <w:pPr>
              <w:tabs>
                <w:tab w:val="left" w:pos="567"/>
                <w:tab w:val="left" w:leader="dot" w:pos="9356"/>
              </w:tabs>
              <w:ind w:left="0"/>
              <w:jc w:val="center"/>
              <w:rPr>
                <w:sz w:val="18"/>
                <w:szCs w:val="18"/>
              </w:rPr>
            </w:pPr>
            <w:r>
              <w:rPr>
                <w:sz w:val="18"/>
                <w:szCs w:val="18"/>
              </w:rPr>
              <w:t>Eurostat</w:t>
            </w:r>
          </w:p>
        </w:tc>
        <w:tc>
          <w:tcPr>
            <w:tcW w:w="1177" w:type="dxa"/>
            <w:vAlign w:val="center"/>
          </w:tcPr>
          <w:p w:rsidR="0017337B" w:rsidRPr="00C93890" w:rsidRDefault="0017337B" w:rsidP="00B80F3A">
            <w:pPr>
              <w:tabs>
                <w:tab w:val="left" w:pos="567"/>
                <w:tab w:val="left" w:leader="dot" w:pos="9356"/>
              </w:tabs>
              <w:ind w:left="0"/>
              <w:jc w:val="center"/>
              <w:rPr>
                <w:sz w:val="18"/>
                <w:szCs w:val="18"/>
              </w:rPr>
            </w:pPr>
            <w:r w:rsidRPr="006B6BE8">
              <w:rPr>
                <w:sz w:val="18"/>
                <w:szCs w:val="18"/>
              </w:rPr>
              <w:t>Ročne</w:t>
            </w:r>
          </w:p>
        </w:tc>
      </w:tr>
    </w:tbl>
    <w:p w:rsidR="00E92F9B" w:rsidRDefault="00E92F9B">
      <w:pPr>
        <w:keepNext/>
        <w:tabs>
          <w:tab w:val="left" w:pos="709"/>
        </w:tabs>
        <w:spacing w:after="120"/>
        <w:outlineLvl w:val="2"/>
        <w:rPr>
          <w:rFonts w:ascii="Arial Narrow" w:hAnsi="Arial Narrow" w:cs="Arial"/>
          <w:b/>
          <w:bCs/>
          <w:color w:val="1F497D" w:themeColor="text2"/>
          <w:sz w:val="22"/>
          <w:szCs w:val="26"/>
        </w:rPr>
      </w:pPr>
    </w:p>
    <w:p w:rsidR="00B80F3A" w:rsidRPr="00445E30" w:rsidRDefault="00B80F3A" w:rsidP="002E1021">
      <w:pPr>
        <w:shd w:val="clear" w:color="auto" w:fill="FFFFCC"/>
        <w:jc w:val="both"/>
        <w:rPr>
          <w:b/>
          <w:i/>
        </w:rPr>
      </w:pPr>
      <w:r w:rsidRPr="007F1C63">
        <w:rPr>
          <w:i/>
        </w:rPr>
        <w:t xml:space="preserve">ŠPECIFICKÝ CIEĽ </w:t>
      </w:r>
      <w:r>
        <w:rPr>
          <w:i/>
        </w:rPr>
        <w:t>7</w:t>
      </w:r>
      <w:r w:rsidRPr="007F1C63">
        <w:rPr>
          <w:i/>
        </w:rPr>
        <w:t>.</w:t>
      </w:r>
      <w:r>
        <w:rPr>
          <w:i/>
        </w:rPr>
        <w:t xml:space="preserve">4: </w:t>
      </w:r>
      <w:r w:rsidRPr="00560E77">
        <w:rPr>
          <w:b/>
          <w:i/>
        </w:rPr>
        <w:t>Zvýšenie kvality, štandardu a dostupnosti eGov</w:t>
      </w:r>
      <w:r>
        <w:rPr>
          <w:b/>
          <w:i/>
        </w:rPr>
        <w:t>ernment služieb pre občanov</w:t>
      </w:r>
    </w:p>
    <w:p w:rsidR="00B80F3A" w:rsidRDefault="00B80F3A" w:rsidP="00B80F3A">
      <w:pPr>
        <w:spacing w:before="180"/>
        <w:jc w:val="both"/>
        <w:rPr>
          <w:rFonts w:ascii="Arial Narrow" w:hAnsi="Arial Narrow"/>
          <w:b/>
          <w:i/>
          <w:color w:val="548DD4" w:themeColor="text2" w:themeTint="99"/>
          <w:sz w:val="22"/>
          <w:szCs w:val="22"/>
        </w:rPr>
      </w:pPr>
      <w:r w:rsidRPr="00560E77">
        <w:rPr>
          <w:rFonts w:ascii="Arial Narrow" w:hAnsi="Arial Narrow"/>
          <w:b/>
          <w:i/>
          <w:color w:val="548DD4" w:themeColor="text2" w:themeTint="99"/>
          <w:sz w:val="22"/>
          <w:szCs w:val="22"/>
        </w:rPr>
        <w:t>Opis východiskovej situácie</w:t>
      </w:r>
    </w:p>
    <w:p w:rsidR="00B80F3A" w:rsidRPr="003F7E73" w:rsidRDefault="00B80F3A" w:rsidP="00B80F3A">
      <w:pPr>
        <w:spacing w:before="120" w:after="60"/>
        <w:jc w:val="both"/>
        <w:rPr>
          <w:sz w:val="22"/>
          <w:szCs w:val="20"/>
          <w:lang w:eastAsia="en-US"/>
        </w:rPr>
      </w:pPr>
      <w:r w:rsidRPr="003F7E73">
        <w:rPr>
          <w:sz w:val="22"/>
          <w:szCs w:val="20"/>
          <w:lang w:eastAsia="en-US"/>
        </w:rPr>
        <w:t>Zámerom špecifického cieľa je zlepšenie kvality, štandardu a dostupnosti elektronických služieb verejnej správy pre občanov.</w:t>
      </w:r>
    </w:p>
    <w:p w:rsidR="00B80F3A" w:rsidRPr="003F7E73" w:rsidRDefault="00B80F3A" w:rsidP="00B80F3A">
      <w:pPr>
        <w:spacing w:before="120" w:after="60"/>
        <w:jc w:val="both"/>
        <w:rPr>
          <w:sz w:val="22"/>
          <w:szCs w:val="20"/>
          <w:lang w:eastAsia="en-US"/>
        </w:rPr>
      </w:pPr>
      <w:r w:rsidRPr="003F7E73">
        <w:rPr>
          <w:sz w:val="22"/>
          <w:szCs w:val="20"/>
          <w:lang w:eastAsia="en-US"/>
        </w:rPr>
        <w:t xml:space="preserve">Východisková situácia je obdobná ako pre služby podnikateľom uvedené v špecifickom cieli </w:t>
      </w:r>
      <w:r w:rsidR="00A77C61">
        <w:rPr>
          <w:sz w:val="22"/>
          <w:szCs w:val="20"/>
          <w:lang w:eastAsia="en-US"/>
        </w:rPr>
        <w:t>7.</w:t>
      </w:r>
      <w:r>
        <w:rPr>
          <w:sz w:val="22"/>
          <w:szCs w:val="20"/>
          <w:lang w:eastAsia="en-US"/>
        </w:rPr>
        <w:t>3</w:t>
      </w:r>
      <w:r w:rsidRPr="003F7E73">
        <w:rPr>
          <w:sz w:val="22"/>
          <w:szCs w:val="20"/>
          <w:lang w:eastAsia="en-US"/>
        </w:rPr>
        <w:t xml:space="preserve">. Projekty boli realizované spoločne pre občanov a podnikateľov. </w:t>
      </w:r>
      <w:r w:rsidRPr="005E7CAE">
        <w:rPr>
          <w:sz w:val="22"/>
          <w:szCs w:val="20"/>
          <w:lang w:eastAsia="en-US"/>
        </w:rPr>
        <w:t xml:space="preserve">Pre účely identifikácie a autentifikácie budú občanom postupne vydávané elektronické občianske preukazy eID. </w:t>
      </w:r>
      <w:r w:rsidRPr="003F7E73">
        <w:rPr>
          <w:sz w:val="22"/>
          <w:szCs w:val="20"/>
          <w:lang w:eastAsia="en-US"/>
        </w:rPr>
        <w:t>Z celkového počtu 12 základných služieb pre občanov podľa benchmarku i2010</w:t>
      </w:r>
      <w:r>
        <w:rPr>
          <w:rStyle w:val="Odkaznapoznmkupodiarou"/>
          <w:sz w:val="22"/>
          <w:szCs w:val="20"/>
          <w:lang w:eastAsia="cs-CZ"/>
        </w:rPr>
        <w:footnoteReference w:id="23"/>
      </w:r>
      <w:r w:rsidRPr="003F7E73">
        <w:rPr>
          <w:sz w:val="22"/>
          <w:szCs w:val="20"/>
          <w:lang w:eastAsia="en-US"/>
        </w:rPr>
        <w:t xml:space="preserve"> bude elektronizovaných 9 služieb. V období 2014 až 2020 je možné oblasti ďalšieho rozvoja služieb pre občanov a podnikateľov považovať za rovnaké.</w:t>
      </w:r>
    </w:p>
    <w:p w:rsidR="00B80F3A" w:rsidRPr="007F1C63" w:rsidRDefault="00B80F3A" w:rsidP="00B80F3A">
      <w:pPr>
        <w:spacing w:before="180" w:after="120"/>
        <w:rPr>
          <w:rFonts w:ascii="Arial Narrow" w:hAnsi="Arial Narrow"/>
          <w:b/>
          <w:i/>
          <w:color w:val="548DD4" w:themeColor="text2" w:themeTint="99"/>
          <w:sz w:val="22"/>
          <w:szCs w:val="22"/>
        </w:rPr>
      </w:pPr>
      <w:r w:rsidRPr="007F1C63">
        <w:rPr>
          <w:rFonts w:ascii="Arial Narrow" w:hAnsi="Arial Narrow"/>
          <w:b/>
          <w:i/>
          <w:color w:val="548DD4" w:themeColor="text2" w:themeTint="99"/>
          <w:sz w:val="22"/>
          <w:szCs w:val="22"/>
        </w:rPr>
        <w:t>VÝSLEDKY</w:t>
      </w:r>
    </w:p>
    <w:p w:rsidR="00B80F3A" w:rsidRPr="003F7E73" w:rsidRDefault="00B80F3A" w:rsidP="00B80F3A">
      <w:pPr>
        <w:spacing w:before="120" w:after="60"/>
        <w:jc w:val="both"/>
        <w:rPr>
          <w:sz w:val="22"/>
          <w:szCs w:val="20"/>
          <w:lang w:eastAsia="en-US"/>
        </w:rPr>
      </w:pPr>
      <w:r w:rsidRPr="003F7E73">
        <w:rPr>
          <w:sz w:val="22"/>
          <w:szCs w:val="20"/>
          <w:lang w:eastAsia="en-US"/>
        </w:rPr>
        <w:t xml:space="preserve">Vďaka rozvoju elektronických služieb dosiahneme: </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Používanie služieb eGovernmentu sa stane všeobecným štandardom za celkovej vysokej spokojnosti s kvalitou služieb;</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Zvýšenie kvality života občanov - výrazne sa zredukuje čas potrebný na riešenie životných situácií s verejnou správou a zvýšia sa možnosti participácie na správe vecí verejných;</w:t>
      </w:r>
    </w:p>
    <w:p w:rsidR="00E92F9B" w:rsidRDefault="001218A8" w:rsidP="00FE6025">
      <w:pPr>
        <w:pStyle w:val="Odsekzoznamu"/>
        <w:numPr>
          <w:ilvl w:val="0"/>
          <w:numId w:val="28"/>
        </w:numPr>
        <w:jc w:val="both"/>
        <w:rPr>
          <w:lang w:eastAsia="cs-CZ"/>
        </w:rPr>
      </w:pPr>
      <w:r w:rsidRPr="001218A8">
        <w:rPr>
          <w:sz w:val="22"/>
          <w:szCs w:val="20"/>
          <w:lang w:eastAsia="cs-CZ"/>
        </w:rPr>
        <w:t>Zvýšenie otvorenosti verejnej správy pre občanov.</w:t>
      </w:r>
    </w:p>
    <w:p w:rsidR="00B80F3A" w:rsidRDefault="00B80F3A" w:rsidP="00B80F3A">
      <w:pPr>
        <w:pStyle w:val="Tab"/>
      </w:pPr>
      <w:r>
        <w:t xml:space="preserve"> </w:t>
      </w:r>
      <w:r w:rsidR="00BE1DDE">
        <w:t xml:space="preserve">Špecifické </w:t>
      </w:r>
      <w:r w:rsidRPr="007F1C63">
        <w:t>ukazovatele</w:t>
      </w:r>
      <w:r w:rsidR="00BE1DDE">
        <w:t xml:space="preserve"> výsledkov programu</w:t>
      </w:r>
      <w:r w:rsidRPr="007F1C63">
        <w:t xml:space="preserve"> zodpovedajúce špecifickému cieľu</w:t>
      </w:r>
      <w:r>
        <w:t xml:space="preserve"> 7.4</w:t>
      </w:r>
    </w:p>
    <w:tbl>
      <w:tblPr>
        <w:tblStyle w:val="Mriekatabuky"/>
        <w:tblW w:w="9752" w:type="dxa"/>
        <w:tblLayout w:type="fixed"/>
        <w:tblLook w:val="04A0"/>
      </w:tblPr>
      <w:tblGrid>
        <w:gridCol w:w="552"/>
        <w:gridCol w:w="1810"/>
        <w:gridCol w:w="886"/>
        <w:gridCol w:w="997"/>
        <w:gridCol w:w="1314"/>
        <w:gridCol w:w="1285"/>
        <w:gridCol w:w="886"/>
        <w:gridCol w:w="849"/>
        <w:gridCol w:w="1173"/>
      </w:tblGrid>
      <w:tr w:rsidR="00B80F3A" w:rsidRPr="00C40332" w:rsidTr="00B80F3A">
        <w:trPr>
          <w:trHeight w:val="454"/>
        </w:trPr>
        <w:tc>
          <w:tcPr>
            <w:tcW w:w="556" w:type="dxa"/>
            <w:shd w:val="clear" w:color="auto" w:fill="C6D9F1" w:themeFill="text2" w:themeFillTint="33"/>
            <w:vAlign w:val="center"/>
          </w:tcPr>
          <w:p w:rsidR="00B80F3A" w:rsidRPr="00B80F3A" w:rsidRDefault="001218A8" w:rsidP="00B80F3A">
            <w:pPr>
              <w:ind w:left="0"/>
              <w:rPr>
                <w:b/>
                <w:sz w:val="18"/>
                <w:szCs w:val="18"/>
              </w:rPr>
            </w:pPr>
            <w:r w:rsidRPr="001218A8">
              <w:rPr>
                <w:b/>
                <w:sz w:val="18"/>
                <w:szCs w:val="18"/>
              </w:rPr>
              <w:t>ID</w:t>
            </w:r>
          </w:p>
        </w:tc>
        <w:tc>
          <w:tcPr>
            <w:tcW w:w="1834" w:type="dxa"/>
            <w:shd w:val="clear" w:color="auto" w:fill="C6D9F1" w:themeFill="text2" w:themeFillTint="33"/>
            <w:vAlign w:val="center"/>
          </w:tcPr>
          <w:p w:rsidR="00B80F3A" w:rsidRPr="00B80F3A" w:rsidRDefault="001218A8" w:rsidP="00B80F3A">
            <w:pPr>
              <w:ind w:left="0"/>
              <w:rPr>
                <w:b/>
                <w:sz w:val="18"/>
                <w:szCs w:val="18"/>
              </w:rPr>
            </w:pPr>
            <w:r w:rsidRPr="001218A8">
              <w:rPr>
                <w:b/>
                <w:sz w:val="18"/>
                <w:szCs w:val="18"/>
              </w:rPr>
              <w:t>Ukazovateľ</w:t>
            </w:r>
          </w:p>
        </w:tc>
        <w:tc>
          <w:tcPr>
            <w:tcW w:w="896"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Merná jednotka</w:t>
            </w:r>
          </w:p>
        </w:tc>
        <w:tc>
          <w:tcPr>
            <w:tcW w:w="1008" w:type="dxa"/>
            <w:shd w:val="clear" w:color="auto" w:fill="C6D9F1" w:themeFill="text2" w:themeFillTint="33"/>
            <w:vAlign w:val="center"/>
          </w:tcPr>
          <w:p w:rsidR="00B80F3A" w:rsidRPr="00B80F3A" w:rsidRDefault="001218A8" w:rsidP="00B80F3A">
            <w:pPr>
              <w:ind w:left="0"/>
              <w:jc w:val="center"/>
              <w:rPr>
                <w:b/>
                <w:sz w:val="18"/>
                <w:szCs w:val="18"/>
                <w:highlight w:val="yellow"/>
              </w:rPr>
            </w:pPr>
            <w:r w:rsidRPr="001218A8">
              <w:rPr>
                <w:b/>
                <w:sz w:val="18"/>
                <w:szCs w:val="18"/>
              </w:rPr>
              <w:t>Kategória regiónu</w:t>
            </w:r>
          </w:p>
        </w:tc>
        <w:tc>
          <w:tcPr>
            <w:tcW w:w="1330"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Východisková hodnota</w:t>
            </w:r>
          </w:p>
        </w:tc>
        <w:tc>
          <w:tcPr>
            <w:tcW w:w="1301"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Východiskový rok</w:t>
            </w:r>
          </w:p>
        </w:tc>
        <w:tc>
          <w:tcPr>
            <w:tcW w:w="896"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Cieľová hodnota</w:t>
            </w:r>
          </w:p>
        </w:tc>
        <w:tc>
          <w:tcPr>
            <w:tcW w:w="858"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Zdroj údajov</w:t>
            </w:r>
          </w:p>
        </w:tc>
        <w:tc>
          <w:tcPr>
            <w:tcW w:w="1187"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Frekvencia vykazovania</w:t>
            </w:r>
          </w:p>
        </w:tc>
      </w:tr>
      <w:tr w:rsidR="00B80F3A" w:rsidRPr="00B02869" w:rsidTr="00B80F3A">
        <w:trPr>
          <w:trHeight w:val="340"/>
        </w:trPr>
        <w:tc>
          <w:tcPr>
            <w:tcW w:w="556" w:type="dxa"/>
            <w:vAlign w:val="center"/>
          </w:tcPr>
          <w:p w:rsidR="00B80F3A" w:rsidRPr="00B02869" w:rsidRDefault="00B80F3A" w:rsidP="00B80F3A">
            <w:pPr>
              <w:ind w:left="0"/>
              <w:rPr>
                <w:sz w:val="18"/>
                <w:szCs w:val="18"/>
              </w:rPr>
            </w:pPr>
            <w:r w:rsidRPr="00B02869">
              <w:rPr>
                <w:sz w:val="18"/>
                <w:szCs w:val="18"/>
              </w:rPr>
              <w:t>1.</w:t>
            </w:r>
          </w:p>
        </w:tc>
        <w:tc>
          <w:tcPr>
            <w:tcW w:w="1834" w:type="dxa"/>
            <w:vAlign w:val="center"/>
          </w:tcPr>
          <w:p w:rsidR="00B80F3A" w:rsidRPr="00B02869" w:rsidRDefault="00B80F3A" w:rsidP="00B80F3A">
            <w:pPr>
              <w:ind w:left="0"/>
              <w:rPr>
                <w:sz w:val="18"/>
                <w:szCs w:val="18"/>
              </w:rPr>
            </w:pPr>
            <w:r w:rsidRPr="003F7E73">
              <w:rPr>
                <w:sz w:val="18"/>
                <w:szCs w:val="18"/>
              </w:rPr>
              <w:t>Celková spokojnosť občanov so službami eGovernmentu</w:t>
            </w:r>
            <w:r w:rsidRPr="003F7E73" w:rsidDel="003F7E73">
              <w:rPr>
                <w:sz w:val="18"/>
                <w:szCs w:val="18"/>
              </w:rPr>
              <w:t xml:space="preserve"> </w:t>
            </w:r>
          </w:p>
        </w:tc>
        <w:tc>
          <w:tcPr>
            <w:tcW w:w="896" w:type="dxa"/>
            <w:vAlign w:val="center"/>
          </w:tcPr>
          <w:p w:rsidR="00B80F3A" w:rsidRPr="00B02869" w:rsidRDefault="00B80F3A" w:rsidP="00B80F3A">
            <w:pPr>
              <w:ind w:left="0"/>
              <w:jc w:val="center"/>
              <w:rPr>
                <w:sz w:val="18"/>
                <w:szCs w:val="18"/>
              </w:rPr>
            </w:pPr>
            <w:r>
              <w:rPr>
                <w:sz w:val="18"/>
                <w:szCs w:val="18"/>
              </w:rPr>
              <w:t>index</w:t>
            </w:r>
          </w:p>
        </w:tc>
        <w:tc>
          <w:tcPr>
            <w:tcW w:w="1008" w:type="dxa"/>
            <w:vAlign w:val="center"/>
          </w:tcPr>
          <w:p w:rsidR="00B80F3A" w:rsidRPr="005D6722" w:rsidRDefault="00B80F3A" w:rsidP="00B80F3A">
            <w:pPr>
              <w:ind w:left="0"/>
              <w:jc w:val="center"/>
              <w:rPr>
                <w:i/>
                <w:sz w:val="18"/>
                <w:szCs w:val="18"/>
              </w:rPr>
            </w:pPr>
            <w:r w:rsidRPr="005D6722">
              <w:rPr>
                <w:i/>
                <w:sz w:val="16"/>
                <w:szCs w:val="16"/>
              </w:rPr>
              <w:t>Menej rozvinuté regióny</w:t>
            </w:r>
          </w:p>
        </w:tc>
        <w:tc>
          <w:tcPr>
            <w:tcW w:w="1330" w:type="dxa"/>
            <w:vAlign w:val="center"/>
          </w:tcPr>
          <w:p w:rsidR="00B80F3A" w:rsidRPr="00B02869" w:rsidRDefault="00B80F3A" w:rsidP="00B80F3A">
            <w:pPr>
              <w:ind w:left="0"/>
              <w:jc w:val="center"/>
              <w:rPr>
                <w:sz w:val="18"/>
                <w:szCs w:val="18"/>
              </w:rPr>
            </w:pPr>
            <w:r>
              <w:rPr>
                <w:sz w:val="18"/>
                <w:szCs w:val="18"/>
              </w:rPr>
              <w:t>59,9</w:t>
            </w:r>
          </w:p>
        </w:tc>
        <w:tc>
          <w:tcPr>
            <w:tcW w:w="1301" w:type="dxa"/>
            <w:vAlign w:val="center"/>
          </w:tcPr>
          <w:p w:rsidR="00B80F3A" w:rsidRPr="00B02869" w:rsidRDefault="00B80F3A" w:rsidP="00B80F3A">
            <w:pPr>
              <w:ind w:left="0"/>
              <w:jc w:val="center"/>
              <w:rPr>
                <w:sz w:val="18"/>
                <w:szCs w:val="18"/>
              </w:rPr>
            </w:pPr>
            <w:r w:rsidRPr="00B02869">
              <w:rPr>
                <w:sz w:val="18"/>
                <w:szCs w:val="18"/>
              </w:rPr>
              <w:t>201</w:t>
            </w:r>
            <w:r>
              <w:rPr>
                <w:sz w:val="18"/>
                <w:szCs w:val="18"/>
              </w:rPr>
              <w:t>2</w:t>
            </w:r>
          </w:p>
        </w:tc>
        <w:tc>
          <w:tcPr>
            <w:tcW w:w="896" w:type="dxa"/>
            <w:vAlign w:val="center"/>
          </w:tcPr>
          <w:p w:rsidR="00B80F3A" w:rsidRPr="00B02869" w:rsidRDefault="00B80F3A" w:rsidP="00B80F3A">
            <w:pPr>
              <w:ind w:left="0"/>
              <w:jc w:val="center"/>
              <w:rPr>
                <w:sz w:val="18"/>
                <w:szCs w:val="18"/>
              </w:rPr>
            </w:pPr>
            <w:r>
              <w:rPr>
                <w:sz w:val="18"/>
                <w:szCs w:val="18"/>
              </w:rPr>
              <w:t>73</w:t>
            </w:r>
          </w:p>
        </w:tc>
        <w:tc>
          <w:tcPr>
            <w:tcW w:w="858" w:type="dxa"/>
            <w:vAlign w:val="center"/>
          </w:tcPr>
          <w:p w:rsidR="00B80F3A" w:rsidRPr="00B02869" w:rsidRDefault="00B80F3A" w:rsidP="00B80F3A">
            <w:pPr>
              <w:ind w:left="0"/>
              <w:jc w:val="center"/>
              <w:rPr>
                <w:sz w:val="18"/>
                <w:szCs w:val="18"/>
              </w:rPr>
            </w:pPr>
            <w:r w:rsidRPr="00B02869">
              <w:rPr>
                <w:sz w:val="18"/>
                <w:szCs w:val="18"/>
              </w:rPr>
              <w:t>SORO</w:t>
            </w:r>
          </w:p>
        </w:tc>
        <w:tc>
          <w:tcPr>
            <w:tcW w:w="1187" w:type="dxa"/>
            <w:vAlign w:val="center"/>
          </w:tcPr>
          <w:p w:rsidR="00B80F3A" w:rsidRPr="00B02869" w:rsidRDefault="00B80F3A" w:rsidP="00B80F3A">
            <w:pPr>
              <w:ind w:left="0"/>
              <w:jc w:val="center"/>
              <w:rPr>
                <w:sz w:val="18"/>
                <w:szCs w:val="18"/>
              </w:rPr>
            </w:pPr>
            <w:r w:rsidRPr="00B02869">
              <w:rPr>
                <w:sz w:val="18"/>
                <w:szCs w:val="18"/>
              </w:rPr>
              <w:t>Ročne</w:t>
            </w:r>
          </w:p>
        </w:tc>
      </w:tr>
      <w:tr w:rsidR="00B80F3A" w:rsidRPr="00B02869" w:rsidTr="00B80F3A">
        <w:trPr>
          <w:trHeight w:val="340"/>
        </w:trPr>
        <w:tc>
          <w:tcPr>
            <w:tcW w:w="556" w:type="dxa"/>
            <w:vAlign w:val="center"/>
          </w:tcPr>
          <w:p w:rsidR="00B80F3A" w:rsidRPr="00B02869" w:rsidRDefault="00B80F3A" w:rsidP="00B80F3A">
            <w:pPr>
              <w:ind w:left="0"/>
              <w:rPr>
                <w:sz w:val="18"/>
                <w:szCs w:val="18"/>
              </w:rPr>
            </w:pPr>
            <w:r>
              <w:rPr>
                <w:sz w:val="18"/>
                <w:szCs w:val="18"/>
              </w:rPr>
              <w:t>2</w:t>
            </w:r>
            <w:r w:rsidRPr="00B02869">
              <w:rPr>
                <w:sz w:val="18"/>
                <w:szCs w:val="18"/>
              </w:rPr>
              <w:t>.</w:t>
            </w:r>
          </w:p>
        </w:tc>
        <w:tc>
          <w:tcPr>
            <w:tcW w:w="1834" w:type="dxa"/>
            <w:vAlign w:val="center"/>
          </w:tcPr>
          <w:p w:rsidR="00B80F3A" w:rsidRPr="00B02869" w:rsidRDefault="00B80F3A" w:rsidP="00B80F3A">
            <w:pPr>
              <w:ind w:left="0"/>
              <w:rPr>
                <w:sz w:val="18"/>
                <w:szCs w:val="18"/>
              </w:rPr>
            </w:pPr>
            <w:r w:rsidRPr="003E5117">
              <w:rPr>
                <w:sz w:val="18"/>
                <w:szCs w:val="18"/>
              </w:rPr>
              <w:t>Celkové používanie služieb eGovernmentu občanmi</w:t>
            </w:r>
          </w:p>
        </w:tc>
        <w:tc>
          <w:tcPr>
            <w:tcW w:w="896" w:type="dxa"/>
            <w:vAlign w:val="center"/>
          </w:tcPr>
          <w:p w:rsidR="00B80F3A" w:rsidRPr="00B02869" w:rsidRDefault="00B80F3A" w:rsidP="00B80F3A">
            <w:pPr>
              <w:ind w:left="0"/>
              <w:jc w:val="center"/>
              <w:rPr>
                <w:sz w:val="18"/>
                <w:szCs w:val="18"/>
              </w:rPr>
            </w:pPr>
            <w:r>
              <w:rPr>
                <w:sz w:val="18"/>
                <w:szCs w:val="18"/>
              </w:rPr>
              <w:t>%</w:t>
            </w:r>
          </w:p>
        </w:tc>
        <w:tc>
          <w:tcPr>
            <w:tcW w:w="1008" w:type="dxa"/>
            <w:vAlign w:val="center"/>
          </w:tcPr>
          <w:p w:rsidR="00B80F3A" w:rsidRPr="005D6722" w:rsidRDefault="00B80F3A" w:rsidP="00B80F3A">
            <w:pPr>
              <w:ind w:left="0"/>
              <w:jc w:val="center"/>
              <w:rPr>
                <w:i/>
                <w:sz w:val="18"/>
                <w:szCs w:val="18"/>
              </w:rPr>
            </w:pPr>
            <w:r w:rsidRPr="005D6722">
              <w:rPr>
                <w:i/>
                <w:sz w:val="16"/>
                <w:szCs w:val="16"/>
              </w:rPr>
              <w:t>Menej rozvinuté regióny</w:t>
            </w:r>
          </w:p>
        </w:tc>
        <w:tc>
          <w:tcPr>
            <w:tcW w:w="1330" w:type="dxa"/>
            <w:vAlign w:val="center"/>
          </w:tcPr>
          <w:p w:rsidR="00B80F3A" w:rsidRPr="00B02869" w:rsidRDefault="00B80F3A" w:rsidP="00B80F3A">
            <w:pPr>
              <w:ind w:left="0"/>
              <w:jc w:val="center"/>
              <w:rPr>
                <w:sz w:val="18"/>
                <w:szCs w:val="18"/>
              </w:rPr>
            </w:pPr>
            <w:r>
              <w:rPr>
                <w:sz w:val="18"/>
                <w:szCs w:val="18"/>
              </w:rPr>
              <w:t>42,2</w:t>
            </w:r>
          </w:p>
        </w:tc>
        <w:tc>
          <w:tcPr>
            <w:tcW w:w="1301" w:type="dxa"/>
            <w:vAlign w:val="center"/>
          </w:tcPr>
          <w:p w:rsidR="00B80F3A" w:rsidRPr="00B02869" w:rsidRDefault="00B80F3A" w:rsidP="00B80F3A">
            <w:pPr>
              <w:ind w:left="0"/>
              <w:jc w:val="center"/>
              <w:rPr>
                <w:sz w:val="18"/>
                <w:szCs w:val="18"/>
              </w:rPr>
            </w:pPr>
            <w:r w:rsidRPr="00B02869">
              <w:rPr>
                <w:sz w:val="18"/>
                <w:szCs w:val="18"/>
              </w:rPr>
              <w:t>201</w:t>
            </w:r>
            <w:r>
              <w:rPr>
                <w:sz w:val="18"/>
                <w:szCs w:val="18"/>
              </w:rPr>
              <w:t>2</w:t>
            </w:r>
          </w:p>
        </w:tc>
        <w:tc>
          <w:tcPr>
            <w:tcW w:w="896" w:type="dxa"/>
            <w:vAlign w:val="center"/>
          </w:tcPr>
          <w:p w:rsidR="00B80F3A" w:rsidRPr="00B02869" w:rsidRDefault="00B80F3A" w:rsidP="00B80F3A">
            <w:pPr>
              <w:ind w:left="0"/>
              <w:jc w:val="center"/>
              <w:rPr>
                <w:sz w:val="18"/>
                <w:szCs w:val="18"/>
              </w:rPr>
            </w:pPr>
            <w:r>
              <w:rPr>
                <w:sz w:val="18"/>
                <w:szCs w:val="18"/>
              </w:rPr>
              <w:t>74</w:t>
            </w:r>
          </w:p>
        </w:tc>
        <w:tc>
          <w:tcPr>
            <w:tcW w:w="858" w:type="dxa"/>
            <w:vAlign w:val="center"/>
          </w:tcPr>
          <w:p w:rsidR="00B80F3A" w:rsidRPr="00B02869" w:rsidRDefault="00B80F3A" w:rsidP="00B80F3A">
            <w:pPr>
              <w:ind w:left="0"/>
              <w:jc w:val="center"/>
              <w:rPr>
                <w:sz w:val="18"/>
                <w:szCs w:val="18"/>
              </w:rPr>
            </w:pPr>
            <w:r>
              <w:rPr>
                <w:sz w:val="18"/>
                <w:szCs w:val="18"/>
              </w:rPr>
              <w:t>Eurostat</w:t>
            </w:r>
          </w:p>
        </w:tc>
        <w:tc>
          <w:tcPr>
            <w:tcW w:w="1187" w:type="dxa"/>
            <w:vAlign w:val="center"/>
          </w:tcPr>
          <w:p w:rsidR="00B80F3A" w:rsidRPr="00B02869" w:rsidRDefault="00B80F3A" w:rsidP="00B80F3A">
            <w:pPr>
              <w:ind w:left="0"/>
              <w:jc w:val="center"/>
              <w:rPr>
                <w:sz w:val="18"/>
                <w:szCs w:val="18"/>
              </w:rPr>
            </w:pPr>
            <w:r w:rsidRPr="00B02869">
              <w:rPr>
                <w:sz w:val="18"/>
                <w:szCs w:val="18"/>
              </w:rPr>
              <w:t>Ročne</w:t>
            </w:r>
          </w:p>
        </w:tc>
      </w:tr>
    </w:tbl>
    <w:p w:rsidR="00E92F9B" w:rsidRDefault="00E92F9B"/>
    <w:p w:rsidR="00B80F3A" w:rsidRPr="00B80F3A" w:rsidRDefault="00B80F3A" w:rsidP="002E1021">
      <w:pPr>
        <w:shd w:val="clear" w:color="auto" w:fill="FFFFCC"/>
        <w:jc w:val="both"/>
        <w:rPr>
          <w:b/>
          <w:i/>
        </w:rPr>
      </w:pPr>
      <w:r w:rsidRPr="007F1C63">
        <w:rPr>
          <w:i/>
        </w:rPr>
        <w:t xml:space="preserve">ŠPECIFICKÝ CIEĽ </w:t>
      </w:r>
      <w:r>
        <w:rPr>
          <w:i/>
        </w:rPr>
        <w:t>7</w:t>
      </w:r>
      <w:r w:rsidRPr="007F1C63">
        <w:rPr>
          <w:i/>
        </w:rPr>
        <w:t>.</w:t>
      </w:r>
      <w:r>
        <w:rPr>
          <w:i/>
        </w:rPr>
        <w:t xml:space="preserve">5: </w:t>
      </w:r>
      <w:r w:rsidR="001218A8" w:rsidRPr="001218A8">
        <w:rPr>
          <w:b/>
          <w:i/>
          <w:sz w:val="23"/>
          <w:szCs w:val="23"/>
        </w:rPr>
        <w:t>Zlepšenie celkovej dostupnosti dát verejnej správy vo forme otvorených dát</w:t>
      </w:r>
    </w:p>
    <w:p w:rsidR="00B80F3A" w:rsidRDefault="00B80F3A" w:rsidP="00B80F3A">
      <w:pPr>
        <w:spacing w:before="180"/>
        <w:jc w:val="both"/>
        <w:rPr>
          <w:rFonts w:ascii="Arial Narrow" w:hAnsi="Arial Narrow"/>
          <w:b/>
          <w:i/>
          <w:color w:val="548DD4" w:themeColor="text2" w:themeTint="99"/>
          <w:sz w:val="22"/>
          <w:szCs w:val="22"/>
        </w:rPr>
      </w:pPr>
      <w:r w:rsidRPr="00560E77">
        <w:rPr>
          <w:rFonts w:ascii="Arial Narrow" w:hAnsi="Arial Narrow"/>
          <w:b/>
          <w:i/>
          <w:color w:val="548DD4" w:themeColor="text2" w:themeTint="99"/>
          <w:sz w:val="22"/>
          <w:szCs w:val="22"/>
        </w:rPr>
        <w:t>Opis východiskovej situácie</w:t>
      </w:r>
    </w:p>
    <w:p w:rsidR="00B80F3A" w:rsidRPr="00B80F3A" w:rsidRDefault="00B80F3A" w:rsidP="00B80F3A">
      <w:pPr>
        <w:spacing w:before="120" w:after="60"/>
        <w:jc w:val="both"/>
        <w:rPr>
          <w:sz w:val="22"/>
          <w:szCs w:val="20"/>
          <w:lang w:eastAsia="en-US"/>
        </w:rPr>
      </w:pPr>
      <w:r w:rsidRPr="00B80F3A">
        <w:rPr>
          <w:sz w:val="22"/>
          <w:szCs w:val="20"/>
          <w:lang w:eastAsia="en-US"/>
        </w:rPr>
        <w:t xml:space="preserve">Na Slovensku momentálne prebieha posun v politike zverejňovania informácii verejnej správy od pasívnej smerom k proaktívnej, založenej na princípoch otvorených dát. Z pohľadov publikovania dát, možností využívania a spôsobu prístupu k dátam patrí Slovensko medzi začiatočníkov. V pilotnom katalógu momentálne zverejnilo 11 inštitúcií spolu približne 200 datasetov a zámerom je, aby sa tento počet v ďalšom období výrazne zvýšil. Pilotné riešenie má len obmedzenú aplikačnú a prezentačnú </w:t>
      </w:r>
      <w:r w:rsidRPr="00B80F3A">
        <w:rPr>
          <w:sz w:val="22"/>
          <w:szCs w:val="20"/>
          <w:lang w:eastAsia="en-US"/>
        </w:rPr>
        <w:lastRenderedPageBreak/>
        <w:t>funkcionalitu a participácia vývojárskej komunity je nízka. V rámci programového obdobia 2007-2013 sa dá očakávať mierne vylepšenie tohto systému. Postupuje sa tak podľa odporúčaní EK a začína sa malými iniciatívami, ktoré umožnia experimentovanie a rýchlo prinesú prvotné výsledky.</w:t>
      </w:r>
    </w:p>
    <w:p w:rsidR="00B80F3A" w:rsidRPr="00B80F3A" w:rsidRDefault="00B80F3A" w:rsidP="00B80F3A">
      <w:pPr>
        <w:spacing w:before="120" w:after="60"/>
        <w:jc w:val="both"/>
        <w:rPr>
          <w:sz w:val="22"/>
          <w:szCs w:val="20"/>
          <w:lang w:eastAsia="en-US"/>
        </w:rPr>
      </w:pPr>
      <w:r w:rsidRPr="00B80F3A">
        <w:rPr>
          <w:sz w:val="22"/>
          <w:szCs w:val="20"/>
          <w:lang w:eastAsia="en-US"/>
        </w:rPr>
        <w:t xml:space="preserve">Komplexné riešenie otvorených dát prináša až OP II. Prebiehajúce iniciatívy sa skonsolidujú so zámerom postupného zavedenia rutinného používania otvorených dát vo verejnej správe. Cieľom je, aby jednotlivé inštitúcie verejnej správy zverejňovali údaje, ktoré súvisia s výkonom ich agendy vo forme otvorených dát s vysokým potenciálom pre znovupoužitie. Znovupoužiteľnosť možno podporiť zavedením otvoreného formátu dát, aplikovaním štandardu pre linked dáta a vytvorením metadát podľa interoperabilného štandardu. Výnimku z pravidla o zverejňovaní dát budú predstavovať utajované skutočnosti, osobné a citlivé údaje. </w:t>
      </w:r>
    </w:p>
    <w:p w:rsidR="00B80F3A" w:rsidRPr="003F7E73" w:rsidRDefault="00B80F3A" w:rsidP="00B80F3A">
      <w:pPr>
        <w:spacing w:before="120" w:after="60"/>
        <w:jc w:val="both"/>
        <w:rPr>
          <w:sz w:val="22"/>
          <w:szCs w:val="20"/>
          <w:lang w:eastAsia="en-US"/>
        </w:rPr>
      </w:pPr>
      <w:r w:rsidRPr="00B80F3A">
        <w:rPr>
          <w:sz w:val="22"/>
          <w:szCs w:val="20"/>
          <w:lang w:eastAsia="en-US"/>
        </w:rPr>
        <w:t>K dátam vo verejnej správe bude pristupované ako ku vzácnym zdrojom a ich zverejňovanie umožní nájsť ich optimálne použitie. Okrem prezentácie a získaniu prístupu k dátam prostredníctvom rozhraní je dôležitá samotná práca s dátami, ich výmena, interpretácia a tvorba nových dát. Otvorené dáta z verejnej správy budú k dispozícií verejnosti a súkromnému sektoru.</w:t>
      </w:r>
    </w:p>
    <w:p w:rsidR="00B80F3A" w:rsidRPr="007F1C63" w:rsidRDefault="00B80F3A" w:rsidP="00B80F3A">
      <w:pPr>
        <w:spacing w:before="180" w:after="120"/>
        <w:rPr>
          <w:rFonts w:ascii="Arial Narrow" w:hAnsi="Arial Narrow"/>
          <w:b/>
          <w:i/>
          <w:color w:val="548DD4" w:themeColor="text2" w:themeTint="99"/>
          <w:sz w:val="22"/>
          <w:szCs w:val="22"/>
        </w:rPr>
      </w:pPr>
      <w:r w:rsidRPr="007F1C63">
        <w:rPr>
          <w:rFonts w:ascii="Arial Narrow" w:hAnsi="Arial Narrow"/>
          <w:b/>
          <w:i/>
          <w:color w:val="548DD4" w:themeColor="text2" w:themeTint="99"/>
          <w:sz w:val="22"/>
          <w:szCs w:val="22"/>
        </w:rPr>
        <w:t>VÝSLEDKY</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Vďaka využívaniu otvorených dát sa výrazne zvýši miera transparentnosti verejnej správy, čím vznikne pozitívny dosah na jej efektivitu;</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Na Slovensku vznikne dostatočne silné odvetvie pracujúce s otvorenými dátami, pričom vzniknú kompetencie v progresívnych oblastiach informačných technológií, ako sú dátové analýzy;</w:t>
      </w:r>
    </w:p>
    <w:p w:rsidR="00B80F3A" w:rsidRDefault="00B80F3A" w:rsidP="00FE6025">
      <w:pPr>
        <w:pStyle w:val="Odsekzoznamu"/>
        <w:numPr>
          <w:ilvl w:val="0"/>
          <w:numId w:val="28"/>
        </w:numPr>
        <w:jc w:val="both"/>
        <w:rPr>
          <w:lang w:eastAsia="cs-CZ"/>
        </w:rPr>
      </w:pPr>
      <w:r w:rsidRPr="006B6BE8">
        <w:rPr>
          <w:sz w:val="22"/>
          <w:szCs w:val="20"/>
          <w:lang w:eastAsia="cs-CZ"/>
        </w:rPr>
        <w:t>Inovatívne použitie otvorených dát vygeneruje pridanú hodnotu pre používateľov, ktorá sa premietne do ekonomického dopadu.</w:t>
      </w:r>
    </w:p>
    <w:p w:rsidR="00B80F3A" w:rsidRDefault="00B80F3A" w:rsidP="00B80F3A">
      <w:pPr>
        <w:pStyle w:val="Tab"/>
      </w:pPr>
      <w:r>
        <w:t xml:space="preserve"> </w:t>
      </w:r>
      <w:r w:rsidR="00BE1DDE">
        <w:t xml:space="preserve">Špecifické </w:t>
      </w:r>
      <w:r w:rsidRPr="007F1C63">
        <w:t>ukazovatele</w:t>
      </w:r>
      <w:r w:rsidR="00BE1DDE">
        <w:t xml:space="preserve"> výsledkov programu</w:t>
      </w:r>
      <w:r w:rsidRPr="007F1C63">
        <w:t xml:space="preserve"> zodpovedajúce špecifickému cieľu</w:t>
      </w:r>
      <w:r>
        <w:t xml:space="preserve"> 7.5</w:t>
      </w:r>
    </w:p>
    <w:tbl>
      <w:tblPr>
        <w:tblStyle w:val="Mriekatabuky"/>
        <w:tblW w:w="9752" w:type="dxa"/>
        <w:tblLayout w:type="fixed"/>
        <w:tblLook w:val="04A0"/>
      </w:tblPr>
      <w:tblGrid>
        <w:gridCol w:w="551"/>
        <w:gridCol w:w="1797"/>
        <w:gridCol w:w="914"/>
        <w:gridCol w:w="983"/>
        <w:gridCol w:w="1314"/>
        <w:gridCol w:w="1285"/>
        <w:gridCol w:w="886"/>
        <w:gridCol w:w="859"/>
        <w:gridCol w:w="1163"/>
      </w:tblGrid>
      <w:tr w:rsidR="00B80F3A" w:rsidRPr="00B02869" w:rsidTr="00B80F3A">
        <w:trPr>
          <w:trHeight w:val="454"/>
        </w:trPr>
        <w:tc>
          <w:tcPr>
            <w:tcW w:w="556" w:type="dxa"/>
            <w:shd w:val="clear" w:color="auto" w:fill="C6D9F1" w:themeFill="text2" w:themeFillTint="33"/>
            <w:vAlign w:val="center"/>
          </w:tcPr>
          <w:p w:rsidR="00B80F3A" w:rsidRPr="00B80F3A" w:rsidRDefault="001218A8" w:rsidP="00B80F3A">
            <w:pPr>
              <w:ind w:left="0"/>
              <w:rPr>
                <w:b/>
                <w:sz w:val="18"/>
                <w:szCs w:val="18"/>
              </w:rPr>
            </w:pPr>
            <w:r w:rsidRPr="001218A8">
              <w:rPr>
                <w:b/>
                <w:sz w:val="18"/>
                <w:szCs w:val="18"/>
              </w:rPr>
              <w:t>ID</w:t>
            </w:r>
          </w:p>
        </w:tc>
        <w:tc>
          <w:tcPr>
            <w:tcW w:w="1820" w:type="dxa"/>
            <w:shd w:val="clear" w:color="auto" w:fill="C6D9F1" w:themeFill="text2" w:themeFillTint="33"/>
            <w:vAlign w:val="center"/>
          </w:tcPr>
          <w:p w:rsidR="00B80F3A" w:rsidRPr="00B80F3A" w:rsidRDefault="001218A8" w:rsidP="00B80F3A">
            <w:pPr>
              <w:ind w:left="0"/>
              <w:rPr>
                <w:b/>
                <w:sz w:val="18"/>
                <w:szCs w:val="18"/>
              </w:rPr>
            </w:pPr>
            <w:r w:rsidRPr="001218A8">
              <w:rPr>
                <w:b/>
                <w:sz w:val="18"/>
                <w:szCs w:val="18"/>
              </w:rPr>
              <w:t>Ukazovateľ</w:t>
            </w:r>
          </w:p>
        </w:tc>
        <w:tc>
          <w:tcPr>
            <w:tcW w:w="924"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Merná jednotka</w:t>
            </w:r>
          </w:p>
        </w:tc>
        <w:tc>
          <w:tcPr>
            <w:tcW w:w="994" w:type="dxa"/>
            <w:shd w:val="clear" w:color="auto" w:fill="C6D9F1" w:themeFill="text2" w:themeFillTint="33"/>
            <w:vAlign w:val="center"/>
          </w:tcPr>
          <w:p w:rsidR="00B80F3A" w:rsidRPr="00B80F3A" w:rsidRDefault="001218A8" w:rsidP="00B80F3A">
            <w:pPr>
              <w:ind w:left="0"/>
              <w:jc w:val="center"/>
              <w:rPr>
                <w:b/>
                <w:sz w:val="18"/>
                <w:szCs w:val="18"/>
                <w:highlight w:val="yellow"/>
              </w:rPr>
            </w:pPr>
            <w:r w:rsidRPr="001218A8">
              <w:rPr>
                <w:b/>
                <w:sz w:val="18"/>
                <w:szCs w:val="18"/>
              </w:rPr>
              <w:t>Kategória regiónu</w:t>
            </w:r>
          </w:p>
        </w:tc>
        <w:tc>
          <w:tcPr>
            <w:tcW w:w="1330"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Východisková hodnota</w:t>
            </w:r>
          </w:p>
        </w:tc>
        <w:tc>
          <w:tcPr>
            <w:tcW w:w="1301"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Východiskový rok</w:t>
            </w:r>
          </w:p>
        </w:tc>
        <w:tc>
          <w:tcPr>
            <w:tcW w:w="896"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Cieľová hodnota</w:t>
            </w:r>
          </w:p>
        </w:tc>
        <w:tc>
          <w:tcPr>
            <w:tcW w:w="868"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Zdroj údajov</w:t>
            </w:r>
          </w:p>
        </w:tc>
        <w:tc>
          <w:tcPr>
            <w:tcW w:w="1177"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Interval vykazovania</w:t>
            </w:r>
          </w:p>
        </w:tc>
      </w:tr>
      <w:tr w:rsidR="00B80F3A" w:rsidRPr="00B02869" w:rsidTr="00B80F3A">
        <w:trPr>
          <w:trHeight w:val="340"/>
        </w:trPr>
        <w:tc>
          <w:tcPr>
            <w:tcW w:w="556" w:type="dxa"/>
            <w:vAlign w:val="center"/>
          </w:tcPr>
          <w:p w:rsidR="00B80F3A" w:rsidRPr="00B02869" w:rsidRDefault="00B80F3A" w:rsidP="00B80F3A">
            <w:pPr>
              <w:ind w:left="0"/>
              <w:rPr>
                <w:sz w:val="18"/>
                <w:szCs w:val="18"/>
              </w:rPr>
            </w:pPr>
            <w:r w:rsidRPr="00B02869">
              <w:rPr>
                <w:sz w:val="18"/>
                <w:szCs w:val="18"/>
              </w:rPr>
              <w:t>1.</w:t>
            </w:r>
          </w:p>
        </w:tc>
        <w:tc>
          <w:tcPr>
            <w:tcW w:w="1820" w:type="dxa"/>
            <w:vAlign w:val="center"/>
          </w:tcPr>
          <w:p w:rsidR="00B80F3A" w:rsidRPr="00B02869" w:rsidRDefault="00B80F3A" w:rsidP="00B80F3A">
            <w:pPr>
              <w:ind w:left="0"/>
              <w:rPr>
                <w:sz w:val="18"/>
                <w:szCs w:val="18"/>
              </w:rPr>
            </w:pPr>
            <w:r w:rsidRPr="003E5117">
              <w:rPr>
                <w:sz w:val="18"/>
                <w:szCs w:val="18"/>
              </w:rPr>
              <w:t>Počet stiahnutí otvorených dát</w:t>
            </w:r>
            <w:r w:rsidRPr="003E5117" w:rsidDel="003E5117">
              <w:rPr>
                <w:sz w:val="18"/>
                <w:szCs w:val="18"/>
              </w:rPr>
              <w:t xml:space="preserve"> </w:t>
            </w:r>
          </w:p>
        </w:tc>
        <w:tc>
          <w:tcPr>
            <w:tcW w:w="924" w:type="dxa"/>
            <w:vAlign w:val="center"/>
          </w:tcPr>
          <w:p w:rsidR="00B80F3A" w:rsidRPr="00B02869" w:rsidRDefault="00B80F3A" w:rsidP="00B80F3A">
            <w:pPr>
              <w:ind w:left="0"/>
              <w:jc w:val="center"/>
              <w:rPr>
                <w:sz w:val="18"/>
                <w:szCs w:val="18"/>
              </w:rPr>
            </w:pPr>
            <w:r>
              <w:rPr>
                <w:sz w:val="18"/>
                <w:szCs w:val="18"/>
              </w:rPr>
              <w:t>počet</w:t>
            </w:r>
          </w:p>
        </w:tc>
        <w:tc>
          <w:tcPr>
            <w:tcW w:w="994" w:type="dxa"/>
          </w:tcPr>
          <w:p w:rsidR="00B80F3A" w:rsidRPr="00284BBB" w:rsidRDefault="00B80F3A" w:rsidP="00B80F3A">
            <w:pPr>
              <w:ind w:left="0"/>
              <w:jc w:val="center"/>
              <w:rPr>
                <w:sz w:val="18"/>
                <w:szCs w:val="18"/>
              </w:rPr>
            </w:pPr>
            <w:r w:rsidRPr="00284BBB">
              <w:rPr>
                <w:sz w:val="16"/>
                <w:szCs w:val="16"/>
              </w:rPr>
              <w:t xml:space="preserve">Menej rozvinuté regióny </w:t>
            </w:r>
          </w:p>
        </w:tc>
        <w:tc>
          <w:tcPr>
            <w:tcW w:w="1330" w:type="dxa"/>
            <w:vAlign w:val="center"/>
          </w:tcPr>
          <w:p w:rsidR="00B80F3A" w:rsidRPr="00B02869" w:rsidRDefault="00B80F3A" w:rsidP="00B80F3A">
            <w:pPr>
              <w:ind w:left="0"/>
              <w:jc w:val="center"/>
              <w:rPr>
                <w:sz w:val="18"/>
                <w:szCs w:val="18"/>
              </w:rPr>
            </w:pPr>
            <w:r>
              <w:rPr>
                <w:sz w:val="18"/>
                <w:szCs w:val="18"/>
              </w:rPr>
              <w:t>5 000</w:t>
            </w:r>
          </w:p>
        </w:tc>
        <w:tc>
          <w:tcPr>
            <w:tcW w:w="1301" w:type="dxa"/>
            <w:vAlign w:val="center"/>
          </w:tcPr>
          <w:p w:rsidR="00B80F3A" w:rsidRPr="00B02869" w:rsidRDefault="00B80F3A" w:rsidP="00B80F3A">
            <w:pPr>
              <w:ind w:left="0"/>
              <w:jc w:val="center"/>
              <w:rPr>
                <w:sz w:val="18"/>
                <w:szCs w:val="18"/>
              </w:rPr>
            </w:pPr>
            <w:r w:rsidRPr="00B02869">
              <w:rPr>
                <w:sz w:val="18"/>
                <w:szCs w:val="18"/>
              </w:rPr>
              <w:t>201</w:t>
            </w:r>
            <w:r>
              <w:rPr>
                <w:sz w:val="18"/>
                <w:szCs w:val="18"/>
              </w:rPr>
              <w:t>3</w:t>
            </w:r>
          </w:p>
        </w:tc>
        <w:tc>
          <w:tcPr>
            <w:tcW w:w="896" w:type="dxa"/>
            <w:vAlign w:val="center"/>
          </w:tcPr>
          <w:p w:rsidR="00B80F3A" w:rsidRPr="00B02869" w:rsidRDefault="00B80F3A" w:rsidP="00B80F3A">
            <w:pPr>
              <w:ind w:left="0"/>
              <w:jc w:val="center"/>
              <w:rPr>
                <w:sz w:val="18"/>
                <w:szCs w:val="18"/>
              </w:rPr>
            </w:pPr>
            <w:r>
              <w:rPr>
                <w:sz w:val="18"/>
                <w:szCs w:val="18"/>
              </w:rPr>
              <w:t>950 000</w:t>
            </w:r>
          </w:p>
        </w:tc>
        <w:tc>
          <w:tcPr>
            <w:tcW w:w="868" w:type="dxa"/>
            <w:vAlign w:val="center"/>
          </w:tcPr>
          <w:p w:rsidR="00B80F3A" w:rsidRPr="00B02869" w:rsidRDefault="00B80F3A" w:rsidP="00B80F3A">
            <w:pPr>
              <w:ind w:left="0"/>
              <w:jc w:val="center"/>
              <w:rPr>
                <w:sz w:val="18"/>
                <w:szCs w:val="18"/>
              </w:rPr>
            </w:pPr>
            <w:r w:rsidRPr="00B02869">
              <w:rPr>
                <w:sz w:val="18"/>
                <w:szCs w:val="18"/>
              </w:rPr>
              <w:t>SORO</w:t>
            </w:r>
          </w:p>
        </w:tc>
        <w:tc>
          <w:tcPr>
            <w:tcW w:w="1177" w:type="dxa"/>
            <w:vAlign w:val="center"/>
          </w:tcPr>
          <w:p w:rsidR="00B80F3A" w:rsidRPr="00B02869" w:rsidRDefault="00B80F3A" w:rsidP="00B80F3A">
            <w:pPr>
              <w:ind w:left="0"/>
              <w:jc w:val="center"/>
              <w:rPr>
                <w:sz w:val="18"/>
                <w:szCs w:val="18"/>
              </w:rPr>
            </w:pPr>
            <w:r w:rsidRPr="00B02869">
              <w:rPr>
                <w:sz w:val="18"/>
                <w:szCs w:val="18"/>
              </w:rPr>
              <w:t>Ročne</w:t>
            </w:r>
          </w:p>
        </w:tc>
      </w:tr>
    </w:tbl>
    <w:p w:rsidR="00B80F3A" w:rsidRPr="00560E77" w:rsidRDefault="00B80F3A" w:rsidP="00B80F3A">
      <w:pPr>
        <w:rPr>
          <w:lang w:eastAsia="cs-CZ"/>
        </w:rPr>
      </w:pPr>
    </w:p>
    <w:p w:rsidR="00B80F3A" w:rsidRPr="00B80F3A" w:rsidRDefault="00B80F3A" w:rsidP="002E1021">
      <w:pPr>
        <w:shd w:val="clear" w:color="auto" w:fill="FFFFCC"/>
        <w:jc w:val="both"/>
        <w:rPr>
          <w:b/>
          <w:i/>
        </w:rPr>
      </w:pPr>
      <w:r w:rsidRPr="007F1C63">
        <w:rPr>
          <w:i/>
        </w:rPr>
        <w:t xml:space="preserve">ŠPECIFICKÝ CIEĽ </w:t>
      </w:r>
      <w:r>
        <w:rPr>
          <w:i/>
        </w:rPr>
        <w:t>7</w:t>
      </w:r>
      <w:r w:rsidRPr="007F1C63">
        <w:rPr>
          <w:i/>
        </w:rPr>
        <w:t>.</w:t>
      </w:r>
      <w:r>
        <w:rPr>
          <w:i/>
        </w:rPr>
        <w:t xml:space="preserve">6: </w:t>
      </w:r>
      <w:r w:rsidR="001218A8" w:rsidRPr="001218A8">
        <w:rPr>
          <w:b/>
          <w:bCs/>
          <w:i/>
          <w:iCs/>
        </w:rPr>
        <w:t>Zlepšenie digitálnych zručností a inklúzie znevýhodnených jednotlivcov do digitálneho trhu</w:t>
      </w:r>
    </w:p>
    <w:p w:rsidR="00B80F3A" w:rsidRDefault="00B80F3A" w:rsidP="00B80F3A">
      <w:pPr>
        <w:spacing w:before="180"/>
        <w:jc w:val="both"/>
        <w:rPr>
          <w:rFonts w:ascii="Arial Narrow" w:hAnsi="Arial Narrow"/>
          <w:b/>
          <w:i/>
          <w:color w:val="548DD4" w:themeColor="text2" w:themeTint="99"/>
          <w:sz w:val="22"/>
          <w:szCs w:val="22"/>
        </w:rPr>
      </w:pPr>
      <w:r w:rsidRPr="00560E77">
        <w:rPr>
          <w:rFonts w:ascii="Arial Narrow" w:hAnsi="Arial Narrow"/>
          <w:b/>
          <w:i/>
          <w:color w:val="548DD4" w:themeColor="text2" w:themeTint="99"/>
          <w:sz w:val="22"/>
          <w:szCs w:val="22"/>
        </w:rPr>
        <w:t>Opis východiskovej situácie</w:t>
      </w:r>
    </w:p>
    <w:p w:rsidR="00B80F3A" w:rsidRPr="00B80F3A" w:rsidRDefault="00B80F3A" w:rsidP="00B80F3A">
      <w:pPr>
        <w:spacing w:before="120" w:after="60"/>
        <w:jc w:val="both"/>
        <w:rPr>
          <w:sz w:val="22"/>
          <w:szCs w:val="20"/>
          <w:lang w:eastAsia="en-US"/>
        </w:rPr>
      </w:pPr>
      <w:r w:rsidRPr="00B80F3A">
        <w:rPr>
          <w:sz w:val="22"/>
          <w:szCs w:val="20"/>
          <w:lang w:eastAsia="en-US"/>
        </w:rPr>
        <w:t>Predpokladom zapojenia znevýhodnenej populácie</w:t>
      </w:r>
      <w:r w:rsidRPr="00B80F3A">
        <w:rPr>
          <w:sz w:val="22"/>
          <w:szCs w:val="20"/>
          <w:vertAlign w:val="superscript"/>
          <w:lang w:eastAsia="en-US"/>
        </w:rPr>
        <w:footnoteReference w:id="24"/>
      </w:r>
      <w:r w:rsidRPr="00B80F3A">
        <w:rPr>
          <w:sz w:val="22"/>
          <w:szCs w:val="20"/>
          <w:lang w:eastAsia="en-US"/>
        </w:rPr>
        <w:t xml:space="preserve"> prostredníctvom eInklúzie je na jednej strane vzdelanie občanov v zručnostiach používania nových technológii ako inteligentné telefóny, a na strane druhej dostatočná ponuka služieb pre zapojenie sa do diania v digitálnom svete. Napriek všetkým doterajším snahám pretrvávajú na Slovensku v súčasnosti skupiny, ktoré nemôžu využívať výhody informačnej spoločnosti. Dôvodom je, že znevýhodnení občania:</w:t>
      </w:r>
    </w:p>
    <w:p w:rsidR="00E92F9B" w:rsidRDefault="001218A8" w:rsidP="00FE6025">
      <w:pPr>
        <w:pStyle w:val="Odsekzoznamu"/>
        <w:numPr>
          <w:ilvl w:val="0"/>
          <w:numId w:val="28"/>
        </w:numPr>
        <w:spacing w:before="120" w:after="60"/>
        <w:jc w:val="both"/>
        <w:rPr>
          <w:sz w:val="22"/>
          <w:szCs w:val="20"/>
          <w:lang w:eastAsia="en-US"/>
        </w:rPr>
      </w:pPr>
      <w:r w:rsidRPr="001218A8">
        <w:rPr>
          <w:sz w:val="22"/>
          <w:szCs w:val="20"/>
          <w:lang w:eastAsia="en-US"/>
        </w:rPr>
        <w:t>nie sú dostatočne vzdelaní a kompetentní používať nové technológie;</w:t>
      </w:r>
    </w:p>
    <w:p w:rsidR="00E92F9B" w:rsidRDefault="001218A8" w:rsidP="00FE6025">
      <w:pPr>
        <w:pStyle w:val="Odsekzoznamu"/>
        <w:numPr>
          <w:ilvl w:val="0"/>
          <w:numId w:val="28"/>
        </w:numPr>
        <w:spacing w:before="120" w:after="60"/>
        <w:jc w:val="both"/>
        <w:rPr>
          <w:sz w:val="22"/>
          <w:szCs w:val="20"/>
          <w:lang w:eastAsia="en-US"/>
        </w:rPr>
      </w:pPr>
      <w:r w:rsidRPr="001218A8">
        <w:rPr>
          <w:sz w:val="22"/>
          <w:szCs w:val="20"/>
          <w:lang w:eastAsia="en-US"/>
        </w:rPr>
        <w:t>nemajú dostatočné finančné zdroje na zaobstaranie a používanie technologických vymožeností;</w:t>
      </w:r>
    </w:p>
    <w:p w:rsidR="00E92F9B" w:rsidRDefault="001218A8" w:rsidP="00FE6025">
      <w:pPr>
        <w:pStyle w:val="Odsekzoznamu"/>
        <w:numPr>
          <w:ilvl w:val="0"/>
          <w:numId w:val="28"/>
        </w:numPr>
        <w:spacing w:before="120" w:after="60"/>
        <w:jc w:val="both"/>
        <w:rPr>
          <w:sz w:val="22"/>
          <w:szCs w:val="20"/>
          <w:lang w:eastAsia="en-US"/>
        </w:rPr>
      </w:pPr>
      <w:r w:rsidRPr="001218A8">
        <w:rPr>
          <w:sz w:val="22"/>
          <w:szCs w:val="20"/>
          <w:lang w:eastAsia="en-US"/>
        </w:rPr>
        <w:t>nevidia uspokojivé výhody a zmysel v zapojení sa do digitálneho sveta.</w:t>
      </w:r>
    </w:p>
    <w:p w:rsidR="00B80F3A" w:rsidRPr="00B80F3A" w:rsidRDefault="00B80F3A" w:rsidP="00B80F3A">
      <w:pPr>
        <w:spacing w:before="120" w:after="60"/>
        <w:jc w:val="both"/>
        <w:rPr>
          <w:sz w:val="22"/>
          <w:szCs w:val="20"/>
          <w:lang w:eastAsia="en-US"/>
        </w:rPr>
      </w:pPr>
      <w:r w:rsidRPr="00B80F3A">
        <w:rPr>
          <w:sz w:val="22"/>
          <w:szCs w:val="20"/>
          <w:lang w:eastAsia="en-US"/>
        </w:rPr>
        <w:t xml:space="preserve">Takáto skupina ľudí si znižuje svoje šance nájsť si prácu a zúčastňovať sa na spoločenskom a verejnom živote. Taktiež prichádza o prístup k veľkému množstvu informácii prístupných na internete a tým pádom sa nedokáže adekvátne rozhodovať a utvoriť si názor. Navyše títo občania nemôžu využívať služby eCommerce, eBusiness a eGovernment z pohodlia domova a sú odkázaní na inštitúcie a firmy nachádzajúce sa v blízkosti ich bydliska alebo na dlhé cestovanie, ktoré si tiež často </w:t>
      </w:r>
      <w:r w:rsidRPr="00B80F3A">
        <w:rPr>
          <w:sz w:val="22"/>
          <w:szCs w:val="20"/>
          <w:lang w:eastAsia="en-US"/>
        </w:rPr>
        <w:lastRenderedPageBreak/>
        <w:t>nedokážu dovoliť alebo nemôžu absolvovať. V mnohých situáciách by práve táto skupina občanov dokázala najviac oceniť výhody informačnej spoločnosti.</w:t>
      </w:r>
    </w:p>
    <w:p w:rsidR="00B80F3A" w:rsidRPr="00B80F3A" w:rsidRDefault="00B80F3A" w:rsidP="00B80F3A">
      <w:pPr>
        <w:spacing w:before="120" w:after="60"/>
        <w:jc w:val="both"/>
        <w:rPr>
          <w:sz w:val="22"/>
          <w:szCs w:val="20"/>
          <w:lang w:eastAsia="en-US"/>
        </w:rPr>
      </w:pPr>
      <w:r w:rsidRPr="00B80F3A">
        <w:rPr>
          <w:sz w:val="22"/>
          <w:szCs w:val="20"/>
          <w:lang w:eastAsia="en-US"/>
        </w:rPr>
        <w:t>V rámci špecifického cieľa sa nadväzuje na iniciatívu inkluzívneho eGovernmentu, v ktorom nik nesmie zaostávať. Každý má mať prístup k výhodám eGovernmentu, aj keď nedisponuje najmodernejšími informačnými a komunikačnými technológiami, alebo ich nevie dostatočne využívať. Aplikovaním týchto princípov výrazne znížime digitálnu priepasť a elektronickými prostriedkami zapojíme znevýhodnených občanov do diania vo verejnej správe. Snahou bude tiež predĺžiť obdobie, počas ktorého môže človek žiť autonómne v preferovanom prostredí, v ktorom sa cíti sebaisto, bezpečne a dostatočne mobilne. Tento zámer možno dosiahnuť technológiami asistovaného života a telemedicíny, ktoré majú ambíciu efektívne využívať zdroje v starnúcich populáciách.</w:t>
      </w:r>
    </w:p>
    <w:p w:rsidR="00B80F3A" w:rsidRPr="007F1C63" w:rsidRDefault="00B80F3A" w:rsidP="00B80F3A">
      <w:pPr>
        <w:spacing w:before="180" w:after="120"/>
        <w:rPr>
          <w:rFonts w:ascii="Arial Narrow" w:hAnsi="Arial Narrow"/>
          <w:b/>
          <w:i/>
          <w:color w:val="548DD4" w:themeColor="text2" w:themeTint="99"/>
          <w:sz w:val="22"/>
          <w:szCs w:val="22"/>
        </w:rPr>
      </w:pPr>
      <w:r w:rsidRPr="007F1C63">
        <w:rPr>
          <w:rFonts w:ascii="Arial Narrow" w:hAnsi="Arial Narrow"/>
          <w:b/>
          <w:i/>
          <w:color w:val="548DD4" w:themeColor="text2" w:themeTint="99"/>
          <w:sz w:val="22"/>
          <w:szCs w:val="22"/>
        </w:rPr>
        <w:t>VÝSLEDKY</w:t>
      </w:r>
    </w:p>
    <w:p w:rsidR="00B80F3A" w:rsidRPr="008354B1" w:rsidRDefault="00B80F3A" w:rsidP="00B80F3A">
      <w:pPr>
        <w:spacing w:before="120" w:after="60"/>
        <w:jc w:val="both"/>
        <w:rPr>
          <w:sz w:val="22"/>
          <w:szCs w:val="20"/>
          <w:lang w:eastAsia="en-US"/>
        </w:rPr>
      </w:pPr>
      <w:r w:rsidRPr="008354B1">
        <w:rPr>
          <w:sz w:val="22"/>
          <w:szCs w:val="20"/>
          <w:lang w:eastAsia="en-US"/>
        </w:rPr>
        <w:t>Znevýhodnené skupiny:</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Zvýšenie využívania nástrojov pre podporu asistovaného života;</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Zvýšenie dostupnosti vzdelávacích materiálov a digitálneho obsahu vo vhodnom formáte;</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Zvýšenie intenzity využívania služieb a vzdelávania sa v digitálnom prostredí;</w:t>
      </w:r>
    </w:p>
    <w:p w:rsidR="00E92F9B" w:rsidRDefault="001218A8" w:rsidP="00FE6025">
      <w:pPr>
        <w:pStyle w:val="Odsekzoznamu"/>
        <w:numPr>
          <w:ilvl w:val="0"/>
          <w:numId w:val="28"/>
        </w:numPr>
        <w:jc w:val="both"/>
        <w:rPr>
          <w:sz w:val="22"/>
          <w:szCs w:val="20"/>
          <w:lang w:eastAsia="cs-CZ"/>
        </w:rPr>
      </w:pPr>
      <w:r w:rsidRPr="001218A8">
        <w:rPr>
          <w:sz w:val="22"/>
          <w:szCs w:val="20"/>
          <w:lang w:eastAsia="cs-CZ"/>
        </w:rPr>
        <w:t>Zvýšenie aktívneho zapojenia do ekonomického a sociálneho diania v svojom okolí.</w:t>
      </w:r>
    </w:p>
    <w:p w:rsidR="00B80F3A" w:rsidRDefault="00BE1DDE" w:rsidP="00B80F3A">
      <w:pPr>
        <w:pStyle w:val="Tab"/>
      </w:pPr>
      <w:r>
        <w:t>Špecifické</w:t>
      </w:r>
      <w:r w:rsidR="00B80F3A" w:rsidRPr="007F1C63">
        <w:t xml:space="preserve"> ukazovatele </w:t>
      </w:r>
      <w:r>
        <w:t xml:space="preserve">výsledkov programu </w:t>
      </w:r>
      <w:r w:rsidR="00B80F3A" w:rsidRPr="007F1C63">
        <w:t>zodpovedajúce špecifickému cieľu</w:t>
      </w:r>
      <w:r w:rsidR="00B80F3A">
        <w:t xml:space="preserve"> 7.6</w:t>
      </w:r>
    </w:p>
    <w:tbl>
      <w:tblPr>
        <w:tblStyle w:val="Mriekatabuky"/>
        <w:tblW w:w="9865" w:type="dxa"/>
        <w:tblLayout w:type="fixed"/>
        <w:tblLook w:val="04A0"/>
      </w:tblPr>
      <w:tblGrid>
        <w:gridCol w:w="542"/>
        <w:gridCol w:w="1848"/>
        <w:gridCol w:w="910"/>
        <w:gridCol w:w="994"/>
        <w:gridCol w:w="1330"/>
        <w:gridCol w:w="1301"/>
        <w:gridCol w:w="896"/>
        <w:gridCol w:w="840"/>
        <w:gridCol w:w="1204"/>
      </w:tblGrid>
      <w:tr w:rsidR="00B80F3A" w:rsidRPr="00C40332" w:rsidTr="00B80F3A">
        <w:trPr>
          <w:cantSplit/>
          <w:trHeight w:val="454"/>
        </w:trPr>
        <w:tc>
          <w:tcPr>
            <w:tcW w:w="542" w:type="dxa"/>
            <w:shd w:val="clear" w:color="auto" w:fill="C6D9F1" w:themeFill="text2" w:themeFillTint="33"/>
            <w:vAlign w:val="center"/>
          </w:tcPr>
          <w:p w:rsidR="00B80F3A" w:rsidRPr="00B80F3A" w:rsidRDefault="00B80F3A" w:rsidP="00B80F3A">
            <w:pPr>
              <w:ind w:left="0"/>
              <w:rPr>
                <w:b/>
                <w:sz w:val="18"/>
                <w:szCs w:val="18"/>
              </w:rPr>
            </w:pPr>
            <w:r>
              <w:rPr>
                <w:b/>
                <w:sz w:val="18"/>
                <w:szCs w:val="18"/>
              </w:rPr>
              <w:t>ID</w:t>
            </w:r>
          </w:p>
        </w:tc>
        <w:tc>
          <w:tcPr>
            <w:tcW w:w="1848" w:type="dxa"/>
            <w:shd w:val="clear" w:color="auto" w:fill="C6D9F1" w:themeFill="text2" w:themeFillTint="33"/>
            <w:vAlign w:val="center"/>
          </w:tcPr>
          <w:p w:rsidR="00B80F3A" w:rsidRPr="00B80F3A" w:rsidRDefault="001218A8" w:rsidP="00B80F3A">
            <w:pPr>
              <w:ind w:left="0"/>
              <w:rPr>
                <w:b/>
                <w:sz w:val="18"/>
                <w:szCs w:val="18"/>
              </w:rPr>
            </w:pPr>
            <w:r w:rsidRPr="001218A8">
              <w:rPr>
                <w:b/>
                <w:sz w:val="18"/>
                <w:szCs w:val="18"/>
              </w:rPr>
              <w:t>Ukazovateľ</w:t>
            </w:r>
          </w:p>
        </w:tc>
        <w:tc>
          <w:tcPr>
            <w:tcW w:w="910"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Merná jednotka</w:t>
            </w:r>
          </w:p>
        </w:tc>
        <w:tc>
          <w:tcPr>
            <w:tcW w:w="994" w:type="dxa"/>
            <w:shd w:val="clear" w:color="auto" w:fill="C6D9F1" w:themeFill="text2" w:themeFillTint="33"/>
            <w:vAlign w:val="center"/>
          </w:tcPr>
          <w:p w:rsidR="00B80F3A" w:rsidRPr="00B80F3A" w:rsidRDefault="001218A8" w:rsidP="00B80F3A">
            <w:pPr>
              <w:ind w:left="0"/>
              <w:jc w:val="center"/>
              <w:rPr>
                <w:b/>
                <w:sz w:val="18"/>
                <w:szCs w:val="18"/>
                <w:highlight w:val="yellow"/>
              </w:rPr>
            </w:pPr>
            <w:r w:rsidRPr="001218A8">
              <w:rPr>
                <w:b/>
                <w:sz w:val="18"/>
                <w:szCs w:val="18"/>
              </w:rPr>
              <w:t>Kategória regiónu</w:t>
            </w:r>
          </w:p>
        </w:tc>
        <w:tc>
          <w:tcPr>
            <w:tcW w:w="1330"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Východisková hodnota</w:t>
            </w:r>
          </w:p>
        </w:tc>
        <w:tc>
          <w:tcPr>
            <w:tcW w:w="1301"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Východiskový rok</w:t>
            </w:r>
          </w:p>
        </w:tc>
        <w:tc>
          <w:tcPr>
            <w:tcW w:w="896"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Cieľová hodnota</w:t>
            </w:r>
          </w:p>
        </w:tc>
        <w:tc>
          <w:tcPr>
            <w:tcW w:w="840"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Zdroj údajov</w:t>
            </w:r>
          </w:p>
        </w:tc>
        <w:tc>
          <w:tcPr>
            <w:tcW w:w="1204" w:type="dxa"/>
            <w:shd w:val="clear" w:color="auto" w:fill="C6D9F1" w:themeFill="text2" w:themeFillTint="33"/>
            <w:vAlign w:val="center"/>
          </w:tcPr>
          <w:p w:rsidR="00B80F3A" w:rsidRPr="00B80F3A" w:rsidRDefault="001218A8" w:rsidP="00B80F3A">
            <w:pPr>
              <w:ind w:left="0"/>
              <w:jc w:val="center"/>
              <w:rPr>
                <w:b/>
                <w:sz w:val="18"/>
                <w:szCs w:val="18"/>
              </w:rPr>
            </w:pPr>
            <w:r w:rsidRPr="001218A8">
              <w:rPr>
                <w:b/>
                <w:sz w:val="18"/>
                <w:szCs w:val="18"/>
              </w:rPr>
              <w:t>Interval vykazovania</w:t>
            </w:r>
          </w:p>
        </w:tc>
      </w:tr>
      <w:tr w:rsidR="00B80F3A" w:rsidRPr="008354B1" w:rsidTr="00B80F3A">
        <w:trPr>
          <w:cantSplit/>
          <w:trHeight w:val="340"/>
        </w:trPr>
        <w:tc>
          <w:tcPr>
            <w:tcW w:w="542" w:type="dxa"/>
            <w:vAlign w:val="center"/>
          </w:tcPr>
          <w:p w:rsidR="00B80F3A" w:rsidRPr="00D51947" w:rsidRDefault="00B80F3A" w:rsidP="00B80F3A">
            <w:pPr>
              <w:ind w:left="0"/>
              <w:rPr>
                <w:sz w:val="18"/>
                <w:szCs w:val="18"/>
              </w:rPr>
            </w:pPr>
            <w:r w:rsidRPr="00D51947">
              <w:rPr>
                <w:sz w:val="18"/>
                <w:szCs w:val="18"/>
              </w:rPr>
              <w:t>1.</w:t>
            </w:r>
          </w:p>
        </w:tc>
        <w:tc>
          <w:tcPr>
            <w:tcW w:w="1848" w:type="dxa"/>
            <w:vAlign w:val="center"/>
          </w:tcPr>
          <w:p w:rsidR="00B80F3A" w:rsidRPr="00E06002" w:rsidRDefault="00B80F3A" w:rsidP="00B80F3A">
            <w:pPr>
              <w:ind w:left="0"/>
              <w:rPr>
                <w:sz w:val="18"/>
                <w:szCs w:val="18"/>
              </w:rPr>
            </w:pPr>
            <w:r w:rsidRPr="00E06002">
              <w:rPr>
                <w:sz w:val="18"/>
                <w:szCs w:val="18"/>
              </w:rPr>
              <w:t>Percento znevýhodnených jednotlivcov používajúcich internet</w:t>
            </w:r>
          </w:p>
        </w:tc>
        <w:tc>
          <w:tcPr>
            <w:tcW w:w="910" w:type="dxa"/>
            <w:vAlign w:val="center"/>
          </w:tcPr>
          <w:p w:rsidR="00B80F3A" w:rsidRPr="00BA6FCB" w:rsidRDefault="00B80F3A" w:rsidP="00B80F3A">
            <w:pPr>
              <w:ind w:left="0"/>
              <w:jc w:val="center"/>
              <w:rPr>
                <w:b/>
                <w:bCs/>
                <w:sz w:val="18"/>
                <w:szCs w:val="18"/>
              </w:rPr>
            </w:pPr>
            <w:r w:rsidRPr="00F22395">
              <w:rPr>
                <w:sz w:val="18"/>
                <w:szCs w:val="18"/>
              </w:rPr>
              <w:t>%</w:t>
            </w:r>
          </w:p>
        </w:tc>
        <w:tc>
          <w:tcPr>
            <w:tcW w:w="994" w:type="dxa"/>
            <w:vAlign w:val="center"/>
          </w:tcPr>
          <w:p w:rsidR="00B80F3A" w:rsidRPr="00D51947" w:rsidRDefault="00B80F3A" w:rsidP="00B80F3A">
            <w:pPr>
              <w:ind w:left="0"/>
              <w:jc w:val="center"/>
              <w:rPr>
                <w:sz w:val="18"/>
                <w:szCs w:val="18"/>
              </w:rPr>
            </w:pPr>
            <w:r w:rsidRPr="006B6BE8">
              <w:rPr>
                <w:sz w:val="18"/>
                <w:szCs w:val="18"/>
              </w:rPr>
              <w:t>Menej rozvinuté regióny</w:t>
            </w:r>
          </w:p>
        </w:tc>
        <w:tc>
          <w:tcPr>
            <w:tcW w:w="1330" w:type="dxa"/>
            <w:vAlign w:val="center"/>
          </w:tcPr>
          <w:p w:rsidR="00B80F3A" w:rsidRPr="00E06002" w:rsidRDefault="00B80F3A" w:rsidP="00B80F3A">
            <w:pPr>
              <w:ind w:left="0"/>
              <w:jc w:val="center"/>
              <w:rPr>
                <w:sz w:val="18"/>
                <w:szCs w:val="18"/>
              </w:rPr>
            </w:pPr>
            <w:r w:rsidRPr="00E06002">
              <w:rPr>
                <w:sz w:val="18"/>
                <w:szCs w:val="18"/>
              </w:rPr>
              <w:t>52,8</w:t>
            </w:r>
          </w:p>
        </w:tc>
        <w:tc>
          <w:tcPr>
            <w:tcW w:w="1301" w:type="dxa"/>
            <w:vAlign w:val="center"/>
          </w:tcPr>
          <w:p w:rsidR="00B80F3A" w:rsidRPr="00F22395" w:rsidRDefault="00B80F3A" w:rsidP="00B80F3A">
            <w:pPr>
              <w:ind w:left="0"/>
              <w:jc w:val="center"/>
              <w:rPr>
                <w:sz w:val="18"/>
                <w:szCs w:val="18"/>
              </w:rPr>
            </w:pPr>
            <w:r w:rsidRPr="00F22395">
              <w:rPr>
                <w:sz w:val="18"/>
                <w:szCs w:val="18"/>
              </w:rPr>
              <w:t>2012</w:t>
            </w:r>
          </w:p>
        </w:tc>
        <w:tc>
          <w:tcPr>
            <w:tcW w:w="896" w:type="dxa"/>
            <w:vAlign w:val="center"/>
          </w:tcPr>
          <w:p w:rsidR="00B80F3A" w:rsidRPr="00BA6FCB" w:rsidRDefault="00B80F3A" w:rsidP="00B80F3A">
            <w:pPr>
              <w:ind w:left="0"/>
              <w:jc w:val="center"/>
              <w:rPr>
                <w:sz w:val="18"/>
                <w:szCs w:val="18"/>
              </w:rPr>
            </w:pPr>
            <w:r w:rsidRPr="00BA6FCB">
              <w:rPr>
                <w:sz w:val="18"/>
                <w:szCs w:val="18"/>
              </w:rPr>
              <w:t>70</w:t>
            </w:r>
          </w:p>
        </w:tc>
        <w:tc>
          <w:tcPr>
            <w:tcW w:w="840" w:type="dxa"/>
            <w:vAlign w:val="center"/>
          </w:tcPr>
          <w:p w:rsidR="00B80F3A" w:rsidRPr="00D46C46" w:rsidRDefault="00B80F3A" w:rsidP="00B80F3A">
            <w:pPr>
              <w:ind w:left="0"/>
              <w:jc w:val="center"/>
              <w:rPr>
                <w:sz w:val="18"/>
                <w:szCs w:val="18"/>
              </w:rPr>
            </w:pPr>
            <w:r>
              <w:rPr>
                <w:sz w:val="18"/>
                <w:szCs w:val="18"/>
              </w:rPr>
              <w:t>Eurostat</w:t>
            </w:r>
          </w:p>
        </w:tc>
        <w:tc>
          <w:tcPr>
            <w:tcW w:w="1204" w:type="dxa"/>
            <w:vAlign w:val="center"/>
          </w:tcPr>
          <w:p w:rsidR="00B80F3A" w:rsidRPr="00D46C46" w:rsidRDefault="00B80F3A" w:rsidP="00B80F3A">
            <w:pPr>
              <w:ind w:left="0"/>
              <w:jc w:val="center"/>
              <w:rPr>
                <w:sz w:val="18"/>
                <w:szCs w:val="18"/>
              </w:rPr>
            </w:pPr>
            <w:r w:rsidRPr="00D46C46">
              <w:rPr>
                <w:sz w:val="18"/>
                <w:szCs w:val="18"/>
              </w:rPr>
              <w:t>Ročne</w:t>
            </w:r>
          </w:p>
        </w:tc>
      </w:tr>
      <w:tr w:rsidR="00B80F3A" w:rsidRPr="008354B1" w:rsidTr="00B80F3A">
        <w:trPr>
          <w:cantSplit/>
          <w:trHeight w:val="340"/>
        </w:trPr>
        <w:tc>
          <w:tcPr>
            <w:tcW w:w="542" w:type="dxa"/>
            <w:vAlign w:val="center"/>
          </w:tcPr>
          <w:p w:rsidR="00B80F3A" w:rsidRPr="00D51947" w:rsidRDefault="00B80F3A" w:rsidP="00B80F3A">
            <w:pPr>
              <w:ind w:left="0"/>
              <w:rPr>
                <w:sz w:val="18"/>
                <w:szCs w:val="18"/>
              </w:rPr>
            </w:pPr>
            <w:r w:rsidRPr="00D51947">
              <w:rPr>
                <w:sz w:val="18"/>
                <w:szCs w:val="18"/>
              </w:rPr>
              <w:t>2.</w:t>
            </w:r>
          </w:p>
        </w:tc>
        <w:tc>
          <w:tcPr>
            <w:tcW w:w="1848" w:type="dxa"/>
            <w:vAlign w:val="center"/>
          </w:tcPr>
          <w:p w:rsidR="00B80F3A" w:rsidRPr="00E06002" w:rsidRDefault="00B80F3A" w:rsidP="00B80F3A">
            <w:pPr>
              <w:ind w:left="0"/>
              <w:rPr>
                <w:sz w:val="18"/>
                <w:szCs w:val="18"/>
              </w:rPr>
            </w:pPr>
            <w:r w:rsidRPr="00E06002">
              <w:rPr>
                <w:sz w:val="18"/>
                <w:szCs w:val="18"/>
              </w:rPr>
              <w:t xml:space="preserve">Percento jednotlivcov so strednými až vysokými počítačovými zručnosťami </w:t>
            </w:r>
          </w:p>
        </w:tc>
        <w:tc>
          <w:tcPr>
            <w:tcW w:w="910" w:type="dxa"/>
            <w:vAlign w:val="center"/>
          </w:tcPr>
          <w:p w:rsidR="00B80F3A" w:rsidRPr="00F22395" w:rsidRDefault="00B80F3A" w:rsidP="00B80F3A">
            <w:pPr>
              <w:ind w:left="0"/>
              <w:jc w:val="center"/>
              <w:rPr>
                <w:sz w:val="18"/>
                <w:szCs w:val="18"/>
              </w:rPr>
            </w:pPr>
            <w:r w:rsidRPr="00F22395">
              <w:rPr>
                <w:sz w:val="18"/>
                <w:szCs w:val="18"/>
              </w:rPr>
              <w:t>%</w:t>
            </w:r>
          </w:p>
        </w:tc>
        <w:tc>
          <w:tcPr>
            <w:tcW w:w="994" w:type="dxa"/>
            <w:vAlign w:val="center"/>
          </w:tcPr>
          <w:p w:rsidR="00B80F3A" w:rsidRPr="00D51947" w:rsidRDefault="00B80F3A" w:rsidP="00B80F3A">
            <w:pPr>
              <w:ind w:left="0"/>
              <w:jc w:val="center"/>
              <w:rPr>
                <w:sz w:val="18"/>
                <w:szCs w:val="18"/>
              </w:rPr>
            </w:pPr>
            <w:r w:rsidRPr="006B6BE8">
              <w:rPr>
                <w:sz w:val="18"/>
                <w:szCs w:val="18"/>
              </w:rPr>
              <w:t>Menej rozvinuté regióny</w:t>
            </w:r>
          </w:p>
        </w:tc>
        <w:tc>
          <w:tcPr>
            <w:tcW w:w="1330" w:type="dxa"/>
            <w:vAlign w:val="center"/>
          </w:tcPr>
          <w:p w:rsidR="00B80F3A" w:rsidRPr="00E06002" w:rsidRDefault="00B80F3A" w:rsidP="00B80F3A">
            <w:pPr>
              <w:ind w:left="0"/>
              <w:jc w:val="center"/>
              <w:rPr>
                <w:sz w:val="18"/>
                <w:szCs w:val="18"/>
              </w:rPr>
            </w:pPr>
            <w:r w:rsidRPr="00E06002">
              <w:rPr>
                <w:sz w:val="18"/>
                <w:szCs w:val="18"/>
              </w:rPr>
              <w:t>64,8</w:t>
            </w:r>
          </w:p>
        </w:tc>
        <w:tc>
          <w:tcPr>
            <w:tcW w:w="1301" w:type="dxa"/>
            <w:vAlign w:val="center"/>
          </w:tcPr>
          <w:p w:rsidR="00B80F3A" w:rsidRPr="00F22395" w:rsidRDefault="00B80F3A" w:rsidP="00B80F3A">
            <w:pPr>
              <w:ind w:left="0"/>
              <w:jc w:val="center"/>
              <w:rPr>
                <w:sz w:val="18"/>
                <w:szCs w:val="18"/>
              </w:rPr>
            </w:pPr>
            <w:r w:rsidRPr="00F22395">
              <w:rPr>
                <w:sz w:val="18"/>
                <w:szCs w:val="18"/>
              </w:rPr>
              <w:t>2012</w:t>
            </w:r>
          </w:p>
        </w:tc>
        <w:tc>
          <w:tcPr>
            <w:tcW w:w="896" w:type="dxa"/>
            <w:vAlign w:val="center"/>
          </w:tcPr>
          <w:p w:rsidR="00B80F3A" w:rsidRPr="00BA6FCB" w:rsidRDefault="00B80F3A" w:rsidP="00B80F3A">
            <w:pPr>
              <w:ind w:left="0"/>
              <w:jc w:val="center"/>
              <w:rPr>
                <w:sz w:val="18"/>
                <w:szCs w:val="18"/>
              </w:rPr>
            </w:pPr>
            <w:r w:rsidRPr="00BA6FCB">
              <w:rPr>
                <w:sz w:val="18"/>
                <w:szCs w:val="18"/>
              </w:rPr>
              <w:t>75</w:t>
            </w:r>
          </w:p>
        </w:tc>
        <w:tc>
          <w:tcPr>
            <w:tcW w:w="840" w:type="dxa"/>
            <w:vAlign w:val="center"/>
          </w:tcPr>
          <w:p w:rsidR="00B80F3A" w:rsidRPr="00D46C46" w:rsidRDefault="00B80F3A" w:rsidP="00B80F3A">
            <w:pPr>
              <w:ind w:left="0"/>
              <w:jc w:val="center"/>
              <w:rPr>
                <w:sz w:val="18"/>
                <w:szCs w:val="18"/>
              </w:rPr>
            </w:pPr>
            <w:r>
              <w:rPr>
                <w:sz w:val="18"/>
                <w:szCs w:val="18"/>
              </w:rPr>
              <w:t>Eurostat</w:t>
            </w:r>
          </w:p>
        </w:tc>
        <w:tc>
          <w:tcPr>
            <w:tcW w:w="1204" w:type="dxa"/>
            <w:vAlign w:val="center"/>
          </w:tcPr>
          <w:p w:rsidR="00B80F3A" w:rsidRPr="00D46C46" w:rsidRDefault="00B80F3A" w:rsidP="00B80F3A">
            <w:pPr>
              <w:ind w:left="0"/>
              <w:jc w:val="center"/>
              <w:rPr>
                <w:sz w:val="18"/>
                <w:szCs w:val="18"/>
              </w:rPr>
            </w:pPr>
            <w:r w:rsidRPr="00D46C46">
              <w:rPr>
                <w:sz w:val="18"/>
                <w:szCs w:val="18"/>
              </w:rPr>
              <w:t>Ročne</w:t>
            </w:r>
          </w:p>
        </w:tc>
      </w:tr>
    </w:tbl>
    <w:p w:rsidR="00E92F9B" w:rsidRDefault="00E92F9B">
      <w:pPr>
        <w:keepNext/>
        <w:tabs>
          <w:tab w:val="left" w:pos="709"/>
        </w:tabs>
        <w:spacing w:after="120"/>
        <w:ind w:left="709"/>
        <w:outlineLvl w:val="2"/>
        <w:rPr>
          <w:rFonts w:ascii="Arial Narrow" w:hAnsi="Arial Narrow" w:cs="Arial"/>
          <w:b/>
          <w:bCs/>
          <w:color w:val="1F497D" w:themeColor="text2"/>
          <w:sz w:val="22"/>
          <w:szCs w:val="26"/>
        </w:rPr>
      </w:pPr>
    </w:p>
    <w:p w:rsidR="00B80F3A" w:rsidRPr="00B80F3A" w:rsidRDefault="00B80F3A" w:rsidP="002E1021">
      <w:pPr>
        <w:shd w:val="clear" w:color="auto" w:fill="FFFFCC"/>
        <w:jc w:val="both"/>
        <w:rPr>
          <w:b/>
          <w:i/>
        </w:rPr>
      </w:pPr>
      <w:r w:rsidRPr="007F1C63">
        <w:rPr>
          <w:i/>
        </w:rPr>
        <w:t xml:space="preserve">ŠPECIFICKÝ CIEĽ </w:t>
      </w:r>
      <w:r>
        <w:rPr>
          <w:i/>
        </w:rPr>
        <w:t>7</w:t>
      </w:r>
      <w:r w:rsidRPr="007F1C63">
        <w:rPr>
          <w:i/>
        </w:rPr>
        <w:t>.</w:t>
      </w:r>
      <w:r>
        <w:rPr>
          <w:i/>
        </w:rPr>
        <w:t xml:space="preserve">7: </w:t>
      </w:r>
      <w:r w:rsidR="001218A8" w:rsidRPr="001218A8">
        <w:rPr>
          <w:b/>
          <w:i/>
        </w:rPr>
        <w:t>Umožnenie modernizácie a racionalizácie verejnej správy IKT prostriedkami</w:t>
      </w:r>
    </w:p>
    <w:p w:rsidR="00B80F3A" w:rsidRDefault="00B80F3A" w:rsidP="00B80F3A">
      <w:pPr>
        <w:spacing w:before="180"/>
        <w:jc w:val="both"/>
        <w:rPr>
          <w:rFonts w:ascii="Arial Narrow" w:hAnsi="Arial Narrow"/>
          <w:b/>
          <w:i/>
          <w:color w:val="548DD4" w:themeColor="text2" w:themeTint="99"/>
          <w:sz w:val="22"/>
          <w:szCs w:val="22"/>
        </w:rPr>
      </w:pPr>
      <w:r w:rsidRPr="00560E77">
        <w:rPr>
          <w:rFonts w:ascii="Arial Narrow" w:hAnsi="Arial Narrow"/>
          <w:b/>
          <w:i/>
          <w:color w:val="548DD4" w:themeColor="text2" w:themeTint="99"/>
          <w:sz w:val="22"/>
          <w:szCs w:val="22"/>
        </w:rPr>
        <w:t>Opis východiskovej situácie</w:t>
      </w:r>
    </w:p>
    <w:p w:rsidR="00B80F3A" w:rsidRPr="00A31E37" w:rsidRDefault="00B80F3A" w:rsidP="00B80F3A">
      <w:pPr>
        <w:spacing w:before="120" w:after="60"/>
        <w:jc w:val="both"/>
        <w:rPr>
          <w:sz w:val="22"/>
          <w:szCs w:val="20"/>
          <w:lang w:eastAsia="en-US"/>
        </w:rPr>
      </w:pPr>
      <w:r w:rsidRPr="00A31E37">
        <w:rPr>
          <w:sz w:val="22"/>
          <w:szCs w:val="20"/>
          <w:lang w:eastAsia="en-US"/>
        </w:rPr>
        <w:t>V období 2007 až 2013 bola informatizácia verejnej správy takmer výlučne zameraná na služby občano</w:t>
      </w:r>
      <w:r>
        <w:rPr>
          <w:sz w:val="22"/>
          <w:szCs w:val="20"/>
          <w:lang w:eastAsia="en-US"/>
        </w:rPr>
        <w:t xml:space="preserve">m a podnikateľom </w:t>
      </w:r>
      <w:r w:rsidRPr="00A31E37">
        <w:rPr>
          <w:sz w:val="22"/>
          <w:szCs w:val="20"/>
          <w:lang w:eastAsia="en-US"/>
        </w:rPr>
        <w:t xml:space="preserve">a elektronizáciu príslušnej agendy a jej procesov. Efektivitu fungovania verejnej správy však výrazne ovplyvňuje aj spôsob vykonávania podporných činností. Tie z pohľadu informatizácie ostávali nepovšimnuté. Výsledkom je, že každá inštitúcia si rieši podporné činnosti vlastným spôsobom, vyskytujú sa časté duplicity a neexistuje konzistencia. Vzniká tak úzke hrdlo a pre ďalšiu modernizáciu verejnej správy je potrebné jeho odstránenie systematickým úsilím. </w:t>
      </w:r>
    </w:p>
    <w:p w:rsidR="00B80F3A" w:rsidRPr="00A31E37" w:rsidRDefault="00B80F3A" w:rsidP="00B80F3A">
      <w:pPr>
        <w:spacing w:before="120" w:after="60"/>
        <w:jc w:val="both"/>
        <w:rPr>
          <w:sz w:val="22"/>
          <w:szCs w:val="20"/>
          <w:lang w:eastAsia="en-US"/>
        </w:rPr>
      </w:pPr>
      <w:r w:rsidRPr="00A31E37">
        <w:rPr>
          <w:sz w:val="22"/>
          <w:szCs w:val="20"/>
          <w:lang w:eastAsia="en-US"/>
        </w:rPr>
        <w:t xml:space="preserve">Z pohľadu agendových informačných systémov verejnej správy je situácia lepšia. Väčšina agend bude do roku 2015 elektronizovaná na úrovni evidencie s dôrazom na možnosť transakčnej elektronickej komunikácie. Agendové informačné systémy verejnej správy vo väčšine prípadov obsahujú istý spôsob reportovacích nástrojov, ich reálne používanie však nie je systematické a nezhromažďuje patričné znalosti. Podobná situácia je v oblasti procesnej integrácie. </w:t>
      </w:r>
    </w:p>
    <w:p w:rsidR="00B80F3A" w:rsidRPr="00A31E37" w:rsidRDefault="00B80F3A" w:rsidP="00B80F3A">
      <w:pPr>
        <w:spacing w:before="120" w:after="60"/>
        <w:jc w:val="both"/>
        <w:rPr>
          <w:sz w:val="22"/>
          <w:szCs w:val="20"/>
          <w:lang w:eastAsia="en-US"/>
        </w:rPr>
      </w:pPr>
      <w:r w:rsidRPr="00A31E37">
        <w:rPr>
          <w:sz w:val="22"/>
          <w:szCs w:val="20"/>
          <w:lang w:eastAsia="en-US"/>
        </w:rPr>
        <w:t xml:space="preserve">Reforma verejnej správy patrí medzi najvýznamnejšie štrukturálne reformy, ktoré na Slovensku prebiehajú. Samotnému rámcu reformy, príslušnej organizačnej, kompetenčnej a procesnej zmene a následným legislatívnym požiadavkám sa venuje samostatný operačný program Efektívna verejná správa v gescii Ministerstva vnútra SR. </w:t>
      </w:r>
    </w:p>
    <w:p w:rsidR="00B80F3A" w:rsidRDefault="00B80F3A" w:rsidP="00B80F3A">
      <w:pPr>
        <w:spacing w:before="180"/>
        <w:jc w:val="both"/>
        <w:rPr>
          <w:rFonts w:ascii="Arial Narrow" w:hAnsi="Arial Narrow"/>
          <w:b/>
          <w:i/>
          <w:color w:val="548DD4" w:themeColor="text2" w:themeTint="99"/>
          <w:sz w:val="22"/>
          <w:szCs w:val="22"/>
        </w:rPr>
      </w:pPr>
      <w:r w:rsidRPr="00A31E37">
        <w:rPr>
          <w:sz w:val="22"/>
          <w:szCs w:val="20"/>
          <w:lang w:eastAsia="en-US"/>
        </w:rPr>
        <w:t xml:space="preserve">Hlavný zámer tohto špecifického cieľa je podporiť túto reformu modernými informačnými technológiami a zároveň umožniť implementáciu najlepších skúsenosti v tejto oblasti. Zavádzanie systémov s optimalizovanými workflow a elektronizovanými úlohami, analytických systémov, systémov pre zdieľanie znalostí, systémov pre manažment kvality a podporných informačných </w:t>
      </w:r>
      <w:r w:rsidRPr="00A31E37">
        <w:rPr>
          <w:sz w:val="22"/>
          <w:szCs w:val="20"/>
          <w:lang w:eastAsia="en-US"/>
        </w:rPr>
        <w:lastRenderedPageBreak/>
        <w:t>systémov v cloude ako Software as a Service, bude koordinované s ostatnými aktivitami reformy. Časť projektov v rámci tohto špecifického cieľa tak bude priamo implementovať podporu reforme verejnej správy.</w:t>
      </w:r>
    </w:p>
    <w:p w:rsidR="00B80F3A" w:rsidRPr="007F1C63" w:rsidRDefault="00B80F3A" w:rsidP="00B80F3A">
      <w:pPr>
        <w:spacing w:before="180" w:after="120"/>
        <w:rPr>
          <w:rFonts w:ascii="Arial Narrow" w:hAnsi="Arial Narrow"/>
          <w:b/>
          <w:i/>
          <w:color w:val="548DD4" w:themeColor="text2" w:themeTint="99"/>
          <w:sz w:val="22"/>
          <w:szCs w:val="22"/>
        </w:rPr>
      </w:pPr>
      <w:r w:rsidRPr="007F1C63">
        <w:rPr>
          <w:rFonts w:ascii="Arial Narrow" w:hAnsi="Arial Narrow"/>
          <w:b/>
          <w:i/>
          <w:color w:val="548DD4" w:themeColor="text2" w:themeTint="99"/>
          <w:sz w:val="22"/>
          <w:szCs w:val="22"/>
        </w:rPr>
        <w:t>VÝSLEDKY</w:t>
      </w:r>
    </w:p>
    <w:p w:rsidR="00E92F9B" w:rsidRDefault="001218A8" w:rsidP="00FE6025">
      <w:pPr>
        <w:pStyle w:val="Odsekzoznamu"/>
        <w:numPr>
          <w:ilvl w:val="0"/>
          <w:numId w:val="28"/>
        </w:numPr>
        <w:jc w:val="both"/>
        <w:rPr>
          <w:lang w:eastAsia="cs-CZ"/>
        </w:rPr>
      </w:pPr>
      <w:r w:rsidRPr="001218A8">
        <w:rPr>
          <w:sz w:val="22"/>
          <w:szCs w:val="20"/>
          <w:lang w:eastAsia="cs-CZ"/>
        </w:rPr>
        <w:t>Do kontaktu a procesu obsluhy občanov budú nasadené moderné IKT riešenia;</w:t>
      </w:r>
    </w:p>
    <w:p w:rsidR="00E92F9B" w:rsidRDefault="001218A8" w:rsidP="00FE6025">
      <w:pPr>
        <w:pStyle w:val="Odsekzoznamu"/>
        <w:numPr>
          <w:ilvl w:val="0"/>
          <w:numId w:val="28"/>
        </w:numPr>
        <w:jc w:val="both"/>
        <w:rPr>
          <w:lang w:eastAsia="cs-CZ"/>
        </w:rPr>
      </w:pPr>
      <w:r w:rsidRPr="001218A8">
        <w:rPr>
          <w:sz w:val="22"/>
          <w:szCs w:val="20"/>
          <w:lang w:eastAsia="cs-CZ"/>
        </w:rPr>
        <w:t>Zvýši sa spokojnosť občanov s fungovaním verejnej správy;</w:t>
      </w:r>
    </w:p>
    <w:p w:rsidR="00E92F9B" w:rsidRDefault="001218A8" w:rsidP="00FE6025">
      <w:pPr>
        <w:pStyle w:val="Odsekzoznamu"/>
        <w:numPr>
          <w:ilvl w:val="0"/>
          <w:numId w:val="28"/>
        </w:numPr>
        <w:jc w:val="both"/>
        <w:rPr>
          <w:lang w:eastAsia="cs-CZ"/>
        </w:rPr>
      </w:pPr>
      <w:r w:rsidRPr="001218A8">
        <w:rPr>
          <w:sz w:val="22"/>
          <w:szCs w:val="20"/>
          <w:lang w:eastAsia="cs-CZ"/>
        </w:rPr>
        <w:t>Znížia sa vynakladané zdroje občanov, podnikateľov a verejnej správy;</w:t>
      </w:r>
    </w:p>
    <w:p w:rsidR="00E92F9B" w:rsidRDefault="001218A8" w:rsidP="00FE6025">
      <w:pPr>
        <w:pStyle w:val="Odsekzoznamu"/>
        <w:numPr>
          <w:ilvl w:val="0"/>
          <w:numId w:val="28"/>
        </w:numPr>
        <w:jc w:val="both"/>
        <w:rPr>
          <w:lang w:eastAsia="cs-CZ"/>
        </w:rPr>
      </w:pPr>
      <w:r w:rsidRPr="001218A8">
        <w:rPr>
          <w:sz w:val="22"/>
          <w:szCs w:val="20"/>
          <w:lang w:eastAsia="cs-CZ"/>
        </w:rPr>
        <w:t>Zvýši sa efektivita zamestnancov verejnej správy;</w:t>
      </w:r>
    </w:p>
    <w:p w:rsidR="00E92F9B" w:rsidRDefault="001218A8" w:rsidP="00FE6025">
      <w:pPr>
        <w:pStyle w:val="Odsekzoznamu"/>
        <w:numPr>
          <w:ilvl w:val="0"/>
          <w:numId w:val="28"/>
        </w:numPr>
        <w:jc w:val="both"/>
        <w:rPr>
          <w:lang w:eastAsia="cs-CZ"/>
        </w:rPr>
      </w:pPr>
      <w:r w:rsidRPr="001218A8">
        <w:rPr>
          <w:sz w:val="22"/>
          <w:szCs w:val="20"/>
          <w:lang w:eastAsia="cs-CZ"/>
        </w:rPr>
        <w:t>Zvýši sa rýchlosť prijatia rozhodnutia pre konania;</w:t>
      </w:r>
    </w:p>
    <w:p w:rsidR="00E92F9B" w:rsidRDefault="001218A8" w:rsidP="00FE6025">
      <w:pPr>
        <w:pStyle w:val="Odsekzoznamu"/>
        <w:numPr>
          <w:ilvl w:val="0"/>
          <w:numId w:val="28"/>
        </w:numPr>
        <w:jc w:val="both"/>
        <w:rPr>
          <w:lang w:eastAsia="cs-CZ"/>
        </w:rPr>
      </w:pPr>
      <w:r w:rsidRPr="001218A8">
        <w:rPr>
          <w:sz w:val="22"/>
          <w:szCs w:val="20"/>
          <w:lang w:eastAsia="cs-CZ"/>
        </w:rPr>
        <w:t xml:space="preserve">Zoptimalizuje sa vykonávanie podporných činností verejnej správy; </w:t>
      </w:r>
    </w:p>
    <w:p w:rsidR="00E92F9B" w:rsidRDefault="001218A8" w:rsidP="00FE6025">
      <w:pPr>
        <w:pStyle w:val="Odsekzoznamu"/>
        <w:numPr>
          <w:ilvl w:val="0"/>
          <w:numId w:val="28"/>
        </w:numPr>
        <w:jc w:val="both"/>
      </w:pPr>
      <w:r w:rsidRPr="001218A8">
        <w:rPr>
          <w:sz w:val="22"/>
          <w:szCs w:val="20"/>
          <w:lang w:eastAsia="cs-CZ"/>
        </w:rPr>
        <w:t>Štandardizované podporné procesy a back-office verejnej správy bude možné optimálne podporiť centrálnymi informačnými systémami nasadenými v cloude;</w:t>
      </w:r>
    </w:p>
    <w:p w:rsidR="00E92F9B" w:rsidRDefault="001218A8" w:rsidP="00FE6025">
      <w:pPr>
        <w:pStyle w:val="Odsekzoznamu"/>
        <w:numPr>
          <w:ilvl w:val="0"/>
          <w:numId w:val="28"/>
        </w:numPr>
        <w:jc w:val="both"/>
        <w:rPr>
          <w:lang w:eastAsia="cs-CZ"/>
        </w:rPr>
      </w:pPr>
      <w:r w:rsidRPr="001218A8">
        <w:rPr>
          <w:sz w:val="22"/>
          <w:szCs w:val="20"/>
          <w:lang w:eastAsia="cs-CZ"/>
        </w:rPr>
        <w:t>Zvýši sa využívanie dát v procesoch a pri tvorbe politík.</w:t>
      </w:r>
    </w:p>
    <w:p w:rsidR="00B80F3A" w:rsidRDefault="00B80F3A" w:rsidP="00B80F3A">
      <w:pPr>
        <w:pStyle w:val="Tab"/>
      </w:pPr>
      <w:r>
        <w:t xml:space="preserve"> </w:t>
      </w:r>
      <w:r w:rsidR="00BE1DDE">
        <w:t xml:space="preserve">Špecifické </w:t>
      </w:r>
      <w:r w:rsidRPr="007F1C63">
        <w:t>ukazovatele</w:t>
      </w:r>
      <w:r w:rsidR="00BE1DDE">
        <w:t xml:space="preserve"> výsledkov programu</w:t>
      </w:r>
      <w:r w:rsidRPr="007F1C63">
        <w:t xml:space="preserve"> zodpovedajúce špecifickému cieľu</w:t>
      </w:r>
      <w:r>
        <w:t xml:space="preserve"> 7.7</w:t>
      </w:r>
    </w:p>
    <w:tbl>
      <w:tblPr>
        <w:tblStyle w:val="Mriekatabuky"/>
        <w:tblW w:w="9865" w:type="dxa"/>
        <w:tblLayout w:type="fixed"/>
        <w:tblLook w:val="04A0"/>
      </w:tblPr>
      <w:tblGrid>
        <w:gridCol w:w="556"/>
        <w:gridCol w:w="1834"/>
        <w:gridCol w:w="924"/>
        <w:gridCol w:w="980"/>
        <w:gridCol w:w="1330"/>
        <w:gridCol w:w="1301"/>
        <w:gridCol w:w="896"/>
        <w:gridCol w:w="854"/>
        <w:gridCol w:w="1190"/>
      </w:tblGrid>
      <w:tr w:rsidR="00582AB1" w:rsidRPr="00A31E37" w:rsidTr="00B83833">
        <w:trPr>
          <w:trHeight w:val="454"/>
        </w:trPr>
        <w:tc>
          <w:tcPr>
            <w:tcW w:w="556" w:type="dxa"/>
            <w:shd w:val="clear" w:color="auto" w:fill="C6D9F1" w:themeFill="text2" w:themeFillTint="33"/>
            <w:vAlign w:val="center"/>
          </w:tcPr>
          <w:p w:rsidR="00582AB1" w:rsidRPr="00582AB1" w:rsidRDefault="00582AB1" w:rsidP="00B83833">
            <w:pPr>
              <w:ind w:left="0"/>
              <w:rPr>
                <w:b/>
                <w:sz w:val="18"/>
                <w:szCs w:val="18"/>
              </w:rPr>
            </w:pPr>
            <w:r>
              <w:rPr>
                <w:b/>
                <w:sz w:val="18"/>
                <w:szCs w:val="18"/>
              </w:rPr>
              <w:t>P.</w:t>
            </w:r>
            <w:r w:rsidR="005A1A06">
              <w:rPr>
                <w:b/>
                <w:sz w:val="18"/>
                <w:szCs w:val="18"/>
              </w:rPr>
              <w:t xml:space="preserve"> </w:t>
            </w:r>
            <w:r>
              <w:rPr>
                <w:b/>
                <w:sz w:val="18"/>
                <w:szCs w:val="18"/>
              </w:rPr>
              <w:t>č.</w:t>
            </w:r>
          </w:p>
        </w:tc>
        <w:tc>
          <w:tcPr>
            <w:tcW w:w="1834" w:type="dxa"/>
            <w:shd w:val="clear" w:color="auto" w:fill="C6D9F1" w:themeFill="text2" w:themeFillTint="33"/>
            <w:vAlign w:val="center"/>
          </w:tcPr>
          <w:p w:rsidR="00582AB1" w:rsidRPr="00582AB1" w:rsidRDefault="001218A8" w:rsidP="00B83833">
            <w:pPr>
              <w:ind w:left="0"/>
              <w:rPr>
                <w:b/>
                <w:sz w:val="18"/>
                <w:szCs w:val="18"/>
              </w:rPr>
            </w:pPr>
            <w:r w:rsidRPr="001218A8">
              <w:rPr>
                <w:b/>
                <w:sz w:val="18"/>
                <w:szCs w:val="18"/>
              </w:rPr>
              <w:t>Ukazovateľ</w:t>
            </w:r>
          </w:p>
        </w:tc>
        <w:tc>
          <w:tcPr>
            <w:tcW w:w="924" w:type="dxa"/>
            <w:shd w:val="clear" w:color="auto" w:fill="C6D9F1" w:themeFill="text2" w:themeFillTint="33"/>
            <w:vAlign w:val="center"/>
          </w:tcPr>
          <w:p w:rsidR="00582AB1" w:rsidRPr="00582AB1" w:rsidRDefault="001218A8" w:rsidP="00B83833">
            <w:pPr>
              <w:ind w:left="0"/>
              <w:jc w:val="center"/>
              <w:rPr>
                <w:b/>
                <w:sz w:val="18"/>
                <w:szCs w:val="18"/>
              </w:rPr>
            </w:pPr>
            <w:r w:rsidRPr="001218A8">
              <w:rPr>
                <w:b/>
                <w:sz w:val="18"/>
                <w:szCs w:val="18"/>
              </w:rPr>
              <w:t>Merná jednotka</w:t>
            </w:r>
          </w:p>
        </w:tc>
        <w:tc>
          <w:tcPr>
            <w:tcW w:w="980" w:type="dxa"/>
            <w:shd w:val="clear" w:color="auto" w:fill="C6D9F1" w:themeFill="text2" w:themeFillTint="33"/>
            <w:vAlign w:val="center"/>
          </w:tcPr>
          <w:p w:rsidR="00582AB1" w:rsidRPr="00582AB1" w:rsidRDefault="001218A8" w:rsidP="00B83833">
            <w:pPr>
              <w:ind w:left="0"/>
              <w:jc w:val="center"/>
              <w:rPr>
                <w:b/>
                <w:sz w:val="18"/>
                <w:szCs w:val="18"/>
                <w:highlight w:val="yellow"/>
              </w:rPr>
            </w:pPr>
            <w:r w:rsidRPr="001218A8">
              <w:rPr>
                <w:b/>
                <w:sz w:val="18"/>
                <w:szCs w:val="18"/>
              </w:rPr>
              <w:t>Kategória regiónu</w:t>
            </w:r>
          </w:p>
        </w:tc>
        <w:tc>
          <w:tcPr>
            <w:tcW w:w="1330" w:type="dxa"/>
            <w:shd w:val="clear" w:color="auto" w:fill="C6D9F1" w:themeFill="text2" w:themeFillTint="33"/>
            <w:vAlign w:val="center"/>
          </w:tcPr>
          <w:p w:rsidR="00582AB1" w:rsidRPr="00582AB1" w:rsidRDefault="001218A8" w:rsidP="00B83833">
            <w:pPr>
              <w:ind w:left="0"/>
              <w:jc w:val="center"/>
              <w:rPr>
                <w:b/>
                <w:sz w:val="18"/>
                <w:szCs w:val="18"/>
              </w:rPr>
            </w:pPr>
            <w:r w:rsidRPr="001218A8">
              <w:rPr>
                <w:b/>
                <w:sz w:val="18"/>
                <w:szCs w:val="18"/>
              </w:rPr>
              <w:t>Východisková hodnota</w:t>
            </w:r>
          </w:p>
        </w:tc>
        <w:tc>
          <w:tcPr>
            <w:tcW w:w="1301" w:type="dxa"/>
            <w:shd w:val="clear" w:color="auto" w:fill="C6D9F1" w:themeFill="text2" w:themeFillTint="33"/>
            <w:vAlign w:val="center"/>
          </w:tcPr>
          <w:p w:rsidR="00582AB1" w:rsidRPr="00582AB1" w:rsidRDefault="001218A8" w:rsidP="00B83833">
            <w:pPr>
              <w:ind w:left="0"/>
              <w:jc w:val="center"/>
              <w:rPr>
                <w:b/>
                <w:sz w:val="18"/>
                <w:szCs w:val="18"/>
              </w:rPr>
            </w:pPr>
            <w:r w:rsidRPr="001218A8">
              <w:rPr>
                <w:b/>
                <w:sz w:val="18"/>
                <w:szCs w:val="18"/>
              </w:rPr>
              <w:t>Východiskový rok</w:t>
            </w:r>
          </w:p>
        </w:tc>
        <w:tc>
          <w:tcPr>
            <w:tcW w:w="896" w:type="dxa"/>
            <w:shd w:val="clear" w:color="auto" w:fill="C6D9F1" w:themeFill="text2" w:themeFillTint="33"/>
            <w:vAlign w:val="center"/>
          </w:tcPr>
          <w:p w:rsidR="00582AB1" w:rsidRPr="00582AB1" w:rsidRDefault="001218A8" w:rsidP="00B83833">
            <w:pPr>
              <w:ind w:left="0"/>
              <w:jc w:val="center"/>
              <w:rPr>
                <w:b/>
                <w:sz w:val="18"/>
                <w:szCs w:val="18"/>
              </w:rPr>
            </w:pPr>
            <w:r w:rsidRPr="001218A8">
              <w:rPr>
                <w:b/>
                <w:sz w:val="18"/>
                <w:szCs w:val="18"/>
              </w:rPr>
              <w:t>Cieľová hodnota</w:t>
            </w:r>
          </w:p>
        </w:tc>
        <w:tc>
          <w:tcPr>
            <w:tcW w:w="854" w:type="dxa"/>
            <w:shd w:val="clear" w:color="auto" w:fill="C6D9F1" w:themeFill="text2" w:themeFillTint="33"/>
            <w:vAlign w:val="center"/>
          </w:tcPr>
          <w:p w:rsidR="00582AB1" w:rsidRPr="00582AB1" w:rsidRDefault="001218A8" w:rsidP="00B83833">
            <w:pPr>
              <w:ind w:left="0"/>
              <w:jc w:val="center"/>
              <w:rPr>
                <w:b/>
                <w:sz w:val="18"/>
                <w:szCs w:val="18"/>
              </w:rPr>
            </w:pPr>
            <w:r w:rsidRPr="001218A8">
              <w:rPr>
                <w:b/>
                <w:sz w:val="18"/>
                <w:szCs w:val="18"/>
              </w:rPr>
              <w:t>Zdroj údajov</w:t>
            </w:r>
          </w:p>
        </w:tc>
        <w:tc>
          <w:tcPr>
            <w:tcW w:w="1190" w:type="dxa"/>
            <w:shd w:val="clear" w:color="auto" w:fill="C6D9F1" w:themeFill="text2" w:themeFillTint="33"/>
            <w:vAlign w:val="center"/>
          </w:tcPr>
          <w:p w:rsidR="00582AB1" w:rsidRPr="00582AB1" w:rsidRDefault="001218A8" w:rsidP="00B83833">
            <w:pPr>
              <w:ind w:left="0"/>
              <w:jc w:val="center"/>
              <w:rPr>
                <w:b/>
                <w:sz w:val="18"/>
                <w:szCs w:val="18"/>
              </w:rPr>
            </w:pPr>
            <w:r w:rsidRPr="001218A8">
              <w:rPr>
                <w:b/>
                <w:sz w:val="18"/>
                <w:szCs w:val="18"/>
              </w:rPr>
              <w:t>Interval vykazovania</w:t>
            </w:r>
          </w:p>
        </w:tc>
      </w:tr>
      <w:tr w:rsidR="00582AB1" w:rsidRPr="00A31E37" w:rsidTr="00B83833">
        <w:trPr>
          <w:trHeight w:val="340"/>
        </w:trPr>
        <w:tc>
          <w:tcPr>
            <w:tcW w:w="556" w:type="dxa"/>
            <w:vAlign w:val="center"/>
          </w:tcPr>
          <w:p w:rsidR="00582AB1" w:rsidRPr="00A31E37" w:rsidRDefault="00582AB1" w:rsidP="00B83833">
            <w:pPr>
              <w:ind w:left="0"/>
              <w:rPr>
                <w:sz w:val="18"/>
                <w:szCs w:val="18"/>
              </w:rPr>
            </w:pPr>
            <w:r w:rsidRPr="00A31E37">
              <w:rPr>
                <w:sz w:val="18"/>
                <w:szCs w:val="18"/>
              </w:rPr>
              <w:t>1.</w:t>
            </w:r>
          </w:p>
        </w:tc>
        <w:tc>
          <w:tcPr>
            <w:tcW w:w="1834" w:type="dxa"/>
            <w:vAlign w:val="center"/>
          </w:tcPr>
          <w:p w:rsidR="00582AB1" w:rsidRPr="00A31E37" w:rsidRDefault="00582AB1" w:rsidP="00B83833">
            <w:pPr>
              <w:ind w:left="0"/>
              <w:rPr>
                <w:sz w:val="18"/>
                <w:szCs w:val="18"/>
              </w:rPr>
            </w:pPr>
            <w:r w:rsidRPr="00A31E37">
              <w:rPr>
                <w:sz w:val="18"/>
                <w:szCs w:val="18"/>
              </w:rPr>
              <w:t>Priemerná doba vybavenia podania v rozhodovacej činnosti</w:t>
            </w:r>
          </w:p>
        </w:tc>
        <w:tc>
          <w:tcPr>
            <w:tcW w:w="924" w:type="dxa"/>
            <w:vAlign w:val="center"/>
          </w:tcPr>
          <w:p w:rsidR="00582AB1" w:rsidRPr="00A31E37" w:rsidRDefault="00582AB1" w:rsidP="00B83833">
            <w:pPr>
              <w:ind w:left="0"/>
              <w:jc w:val="center"/>
              <w:rPr>
                <w:sz w:val="18"/>
                <w:szCs w:val="18"/>
              </w:rPr>
            </w:pPr>
            <w:r w:rsidRPr="00A31E37">
              <w:rPr>
                <w:sz w:val="18"/>
                <w:szCs w:val="18"/>
              </w:rPr>
              <w:t>%</w:t>
            </w:r>
          </w:p>
        </w:tc>
        <w:tc>
          <w:tcPr>
            <w:tcW w:w="980" w:type="dxa"/>
            <w:vAlign w:val="center"/>
          </w:tcPr>
          <w:p w:rsidR="00582AB1" w:rsidRPr="00A31E37" w:rsidRDefault="00582AB1" w:rsidP="00B83833">
            <w:pPr>
              <w:ind w:left="0"/>
              <w:jc w:val="center"/>
              <w:rPr>
                <w:sz w:val="18"/>
                <w:szCs w:val="18"/>
              </w:rPr>
            </w:pPr>
            <w:r w:rsidRPr="00A31E37">
              <w:rPr>
                <w:sz w:val="18"/>
                <w:szCs w:val="18"/>
              </w:rPr>
              <w:t>Menej rozvinuté regióny</w:t>
            </w:r>
          </w:p>
        </w:tc>
        <w:tc>
          <w:tcPr>
            <w:tcW w:w="1330" w:type="dxa"/>
            <w:vAlign w:val="center"/>
          </w:tcPr>
          <w:p w:rsidR="00582AB1" w:rsidRPr="00A31E37" w:rsidRDefault="00582AB1" w:rsidP="00B83833">
            <w:pPr>
              <w:ind w:left="0"/>
              <w:jc w:val="center"/>
              <w:rPr>
                <w:sz w:val="18"/>
                <w:szCs w:val="18"/>
              </w:rPr>
            </w:pPr>
            <w:r w:rsidRPr="00A31E37">
              <w:rPr>
                <w:sz w:val="18"/>
                <w:szCs w:val="18"/>
              </w:rPr>
              <w:t>100</w:t>
            </w:r>
          </w:p>
        </w:tc>
        <w:tc>
          <w:tcPr>
            <w:tcW w:w="1301" w:type="dxa"/>
            <w:vAlign w:val="center"/>
          </w:tcPr>
          <w:p w:rsidR="00582AB1" w:rsidRPr="00A31E37" w:rsidRDefault="00582AB1" w:rsidP="00B83833">
            <w:pPr>
              <w:ind w:left="0"/>
              <w:jc w:val="center"/>
              <w:rPr>
                <w:sz w:val="18"/>
                <w:szCs w:val="18"/>
              </w:rPr>
            </w:pPr>
            <w:r w:rsidRPr="00A31E37">
              <w:rPr>
                <w:sz w:val="18"/>
                <w:szCs w:val="18"/>
              </w:rPr>
              <w:t>2013</w:t>
            </w:r>
          </w:p>
        </w:tc>
        <w:tc>
          <w:tcPr>
            <w:tcW w:w="896" w:type="dxa"/>
            <w:vAlign w:val="center"/>
          </w:tcPr>
          <w:p w:rsidR="00582AB1" w:rsidRPr="00A31E37" w:rsidRDefault="00582AB1" w:rsidP="00B83833">
            <w:pPr>
              <w:ind w:left="0"/>
              <w:jc w:val="center"/>
              <w:rPr>
                <w:sz w:val="18"/>
                <w:szCs w:val="18"/>
              </w:rPr>
            </w:pPr>
            <w:r w:rsidRPr="00A31E37">
              <w:rPr>
                <w:sz w:val="18"/>
                <w:szCs w:val="18"/>
              </w:rPr>
              <w:t>70</w:t>
            </w:r>
          </w:p>
        </w:tc>
        <w:tc>
          <w:tcPr>
            <w:tcW w:w="854" w:type="dxa"/>
            <w:vAlign w:val="center"/>
          </w:tcPr>
          <w:p w:rsidR="00582AB1" w:rsidRPr="00A31E37" w:rsidRDefault="00582AB1" w:rsidP="00B83833">
            <w:pPr>
              <w:ind w:left="0"/>
              <w:jc w:val="center"/>
              <w:rPr>
                <w:sz w:val="18"/>
                <w:szCs w:val="18"/>
              </w:rPr>
            </w:pPr>
            <w:r w:rsidRPr="00A31E37">
              <w:rPr>
                <w:sz w:val="18"/>
                <w:szCs w:val="18"/>
              </w:rPr>
              <w:t>SORO</w:t>
            </w:r>
          </w:p>
        </w:tc>
        <w:tc>
          <w:tcPr>
            <w:tcW w:w="1190" w:type="dxa"/>
            <w:vAlign w:val="center"/>
          </w:tcPr>
          <w:p w:rsidR="00582AB1" w:rsidRPr="00A31E37" w:rsidRDefault="00582AB1" w:rsidP="00B83833">
            <w:pPr>
              <w:ind w:left="0"/>
              <w:jc w:val="center"/>
              <w:rPr>
                <w:sz w:val="18"/>
                <w:szCs w:val="18"/>
              </w:rPr>
            </w:pPr>
            <w:r w:rsidRPr="00A31E37">
              <w:rPr>
                <w:sz w:val="18"/>
                <w:szCs w:val="18"/>
              </w:rPr>
              <w:t>Ročne</w:t>
            </w:r>
          </w:p>
        </w:tc>
      </w:tr>
    </w:tbl>
    <w:p w:rsidR="00E92F9B" w:rsidRDefault="00E92F9B">
      <w:pPr>
        <w:keepNext/>
        <w:tabs>
          <w:tab w:val="left" w:pos="709"/>
        </w:tabs>
        <w:spacing w:after="120"/>
        <w:ind w:left="709"/>
        <w:outlineLvl w:val="2"/>
        <w:rPr>
          <w:rFonts w:ascii="Arial Narrow" w:hAnsi="Arial Narrow" w:cs="Arial"/>
          <w:b/>
          <w:bCs/>
          <w:color w:val="1F497D" w:themeColor="text2"/>
          <w:sz w:val="22"/>
          <w:szCs w:val="26"/>
        </w:rPr>
      </w:pPr>
    </w:p>
    <w:p w:rsidR="00582AB1" w:rsidRPr="00582AB1" w:rsidRDefault="00582AB1" w:rsidP="002E1021">
      <w:pPr>
        <w:shd w:val="clear" w:color="auto" w:fill="FFFFCC"/>
        <w:jc w:val="both"/>
        <w:rPr>
          <w:b/>
          <w:i/>
        </w:rPr>
      </w:pPr>
      <w:r w:rsidRPr="007F1C63">
        <w:rPr>
          <w:i/>
        </w:rPr>
        <w:t xml:space="preserve">ŠPECIFICKÝ CIEĽ </w:t>
      </w:r>
      <w:r>
        <w:rPr>
          <w:i/>
        </w:rPr>
        <w:t>7</w:t>
      </w:r>
      <w:r w:rsidRPr="007F1C63">
        <w:rPr>
          <w:i/>
        </w:rPr>
        <w:t>.</w:t>
      </w:r>
      <w:r>
        <w:rPr>
          <w:i/>
        </w:rPr>
        <w:t xml:space="preserve">8: </w:t>
      </w:r>
      <w:r w:rsidR="001218A8" w:rsidRPr="001218A8">
        <w:rPr>
          <w:b/>
          <w:i/>
        </w:rPr>
        <w:t>Racionalizácia prevádzky informačných systémov pomocou eGovernment cloudu</w:t>
      </w:r>
    </w:p>
    <w:p w:rsidR="00582AB1" w:rsidRDefault="00582AB1" w:rsidP="00582AB1">
      <w:pPr>
        <w:spacing w:before="180"/>
        <w:jc w:val="both"/>
        <w:rPr>
          <w:rFonts w:ascii="Arial Narrow" w:hAnsi="Arial Narrow"/>
          <w:b/>
          <w:i/>
          <w:color w:val="548DD4" w:themeColor="text2" w:themeTint="99"/>
          <w:sz w:val="22"/>
          <w:szCs w:val="22"/>
        </w:rPr>
      </w:pPr>
      <w:r w:rsidRPr="00560E77">
        <w:rPr>
          <w:rFonts w:ascii="Arial Narrow" w:hAnsi="Arial Narrow"/>
          <w:b/>
          <w:i/>
          <w:color w:val="548DD4" w:themeColor="text2" w:themeTint="99"/>
          <w:sz w:val="22"/>
          <w:szCs w:val="22"/>
        </w:rPr>
        <w:t>Opis východiskovej situácie</w:t>
      </w:r>
    </w:p>
    <w:p w:rsidR="00582AB1" w:rsidRPr="00A31E37" w:rsidRDefault="00582AB1" w:rsidP="00582AB1">
      <w:pPr>
        <w:spacing w:before="120" w:after="60"/>
        <w:jc w:val="both"/>
        <w:rPr>
          <w:sz w:val="22"/>
          <w:szCs w:val="20"/>
          <w:lang w:eastAsia="en-US"/>
        </w:rPr>
      </w:pPr>
      <w:r w:rsidRPr="00A31E37">
        <w:rPr>
          <w:sz w:val="22"/>
          <w:szCs w:val="20"/>
          <w:lang w:eastAsia="en-US"/>
        </w:rPr>
        <w:t>K problematickejším aspektom informatizácie na Slovensku patrí oblasť IKT infraštruktúry, ktorú si doteraz každá inštitúcia budovala svojim spôsobom. Prevádzkové náklady informačných systémov verejnej správy vytvárajú tlak na rozpočet a </w:t>
      </w:r>
      <w:r>
        <w:rPr>
          <w:sz w:val="22"/>
          <w:szCs w:val="20"/>
          <w:lang w:eastAsia="en-US"/>
        </w:rPr>
        <w:t>je potrebné</w:t>
      </w:r>
      <w:r w:rsidRPr="00A31E37">
        <w:rPr>
          <w:sz w:val="22"/>
          <w:szCs w:val="20"/>
          <w:lang w:eastAsia="en-US"/>
        </w:rPr>
        <w:t xml:space="preserve"> riešiť tento problém systematicky. Cieľom je, aby sa IKT infraštruktúra verejnej správy transformovala do podoby zdieľaných služieb na všetkých úrovniach.</w:t>
      </w:r>
    </w:p>
    <w:p w:rsidR="00582AB1" w:rsidRPr="00A31E37" w:rsidRDefault="00582AB1" w:rsidP="00582AB1">
      <w:pPr>
        <w:spacing w:before="120" w:after="60"/>
        <w:jc w:val="both"/>
        <w:rPr>
          <w:sz w:val="22"/>
          <w:szCs w:val="20"/>
          <w:lang w:eastAsia="en-US"/>
        </w:rPr>
      </w:pPr>
      <w:r w:rsidRPr="00A31E37">
        <w:rPr>
          <w:sz w:val="22"/>
          <w:szCs w:val="20"/>
          <w:lang w:eastAsia="en-US"/>
        </w:rPr>
        <w:t>Ide o zásadnú koncepčnú zmenu v spôsobe fungovania prevádzky IKT infraštruktúry verejnej správy. Základnou charakteristikou bude budovanie eGovernment cloudu formou privátneho cloudu, založeného na vybraných inštitúciách verejnej správy so skúsenosťami a istou úrovňou dátových centier.</w:t>
      </w:r>
    </w:p>
    <w:p w:rsidR="00582AB1" w:rsidRPr="00A31E37" w:rsidRDefault="00582AB1" w:rsidP="00582AB1">
      <w:pPr>
        <w:spacing w:before="120" w:after="60"/>
        <w:jc w:val="both"/>
        <w:rPr>
          <w:sz w:val="22"/>
          <w:szCs w:val="20"/>
          <w:lang w:eastAsia="en-US"/>
        </w:rPr>
      </w:pPr>
      <w:r w:rsidRPr="00A31E37">
        <w:rPr>
          <w:sz w:val="22"/>
          <w:szCs w:val="20"/>
          <w:lang w:eastAsia="en-US"/>
        </w:rPr>
        <w:t>Zámerom je taktiež poskytovať všetky formy cloudových služieb – infraštruktúra, platforma a softvér formou služby, pričom pre zjednodušenie využívania týchto služieb ich budú mať používatelia k dispozícii vo forme katalógu služieb. Pôjde aj o služby ako centrálne verejné obstarávanie, či správa informačných technológií (PC, tlačiarne, mail, prístup na internet a podobne).</w:t>
      </w:r>
    </w:p>
    <w:p w:rsidR="00582AB1" w:rsidRPr="00A31E37" w:rsidRDefault="00582AB1" w:rsidP="00582AB1">
      <w:pPr>
        <w:spacing w:before="120" w:after="60"/>
        <w:jc w:val="both"/>
        <w:rPr>
          <w:sz w:val="22"/>
          <w:szCs w:val="20"/>
          <w:lang w:eastAsia="en-US"/>
        </w:rPr>
      </w:pPr>
      <w:r w:rsidRPr="00A31E37">
        <w:rPr>
          <w:sz w:val="22"/>
          <w:szCs w:val="20"/>
          <w:lang w:eastAsia="en-US"/>
        </w:rPr>
        <w:t>Informačné systémy, ktoré vzniknú v rámci nových projektov budú realizované v rámci platformy eGovernment cloudu (pravidlo cloud only). Vecnú pôsobnosť eGovernment cloudu možno nájsť v Strategickom dokumente pre oblasť rastu digitálnych služieb a oblasť infraštruktúry prístupovej siete novej generácie (2014 – 2020) v kapitole 7.4.3.</w:t>
      </w:r>
      <w:r w:rsidRPr="00A31E37">
        <w:rPr>
          <w:sz w:val="22"/>
          <w:szCs w:val="20"/>
          <w:vertAlign w:val="superscript"/>
          <w:lang w:eastAsia="en-US"/>
        </w:rPr>
        <w:footnoteReference w:id="25"/>
      </w:r>
    </w:p>
    <w:p w:rsidR="00582AB1" w:rsidRDefault="00582AB1" w:rsidP="00582AB1">
      <w:pPr>
        <w:spacing w:before="180" w:after="120"/>
        <w:rPr>
          <w:rFonts w:ascii="Arial Narrow" w:hAnsi="Arial Narrow"/>
          <w:b/>
          <w:i/>
          <w:color w:val="548DD4" w:themeColor="text2" w:themeTint="99"/>
          <w:sz w:val="22"/>
          <w:szCs w:val="22"/>
        </w:rPr>
      </w:pPr>
      <w:r w:rsidRPr="007F1C63">
        <w:rPr>
          <w:rFonts w:ascii="Arial Narrow" w:hAnsi="Arial Narrow"/>
          <w:b/>
          <w:i/>
          <w:color w:val="548DD4" w:themeColor="text2" w:themeTint="99"/>
          <w:sz w:val="22"/>
          <w:szCs w:val="22"/>
        </w:rPr>
        <w:t>VÝSLEDKY</w:t>
      </w:r>
    </w:p>
    <w:p w:rsidR="00E92F9B" w:rsidRDefault="001218A8" w:rsidP="00FE6025">
      <w:pPr>
        <w:pStyle w:val="Odsekzoznamu"/>
        <w:numPr>
          <w:ilvl w:val="0"/>
          <w:numId w:val="28"/>
        </w:numPr>
        <w:jc w:val="both"/>
      </w:pPr>
      <w:r w:rsidRPr="001218A8">
        <w:rPr>
          <w:sz w:val="22"/>
          <w:szCs w:val="20"/>
          <w:lang w:eastAsia="cs-CZ"/>
        </w:rPr>
        <w:t>Zvýšenie efektivity vynaložených zdrojov (čas a financie) verejnej správy na obstarávanie, nasadzovanie a prevádzku IKT riešení – zámerom je znížiť celkové náklady na vlastníctvo ISVS minimálne o 10 percent oproti súčasnej východiskovej hodnote. V prípade, že by aktivity neboli realizované</w:t>
      </w:r>
      <w:r w:rsidR="004D2BC1">
        <w:rPr>
          <w:sz w:val="22"/>
          <w:szCs w:val="20"/>
          <w:lang w:eastAsia="cs-CZ"/>
        </w:rPr>
        <w:t>,</w:t>
      </w:r>
      <w:r w:rsidRPr="001218A8">
        <w:rPr>
          <w:sz w:val="22"/>
          <w:szCs w:val="20"/>
          <w:lang w:eastAsia="cs-CZ"/>
        </w:rPr>
        <w:t xml:space="preserve"> bez intervencie by sa náklady navýšili aspoň o 50 percent;</w:t>
      </w:r>
    </w:p>
    <w:p w:rsidR="00E92F9B" w:rsidRDefault="001218A8" w:rsidP="00FE6025">
      <w:pPr>
        <w:pStyle w:val="Odsekzoznamu"/>
        <w:numPr>
          <w:ilvl w:val="0"/>
          <w:numId w:val="28"/>
        </w:numPr>
        <w:jc w:val="both"/>
      </w:pPr>
      <w:r w:rsidRPr="001218A8">
        <w:rPr>
          <w:sz w:val="22"/>
          <w:szCs w:val="20"/>
          <w:lang w:eastAsia="cs-CZ"/>
        </w:rPr>
        <w:t>Zvýšenie akceptácie cloudových riešení verejným a privátnym sektorom;</w:t>
      </w:r>
    </w:p>
    <w:p w:rsidR="002E1021" w:rsidRDefault="001218A8" w:rsidP="002E1021">
      <w:pPr>
        <w:pStyle w:val="Odsekzoznamu"/>
        <w:numPr>
          <w:ilvl w:val="0"/>
          <w:numId w:val="28"/>
        </w:numPr>
        <w:jc w:val="both"/>
      </w:pPr>
      <w:r w:rsidRPr="001218A8">
        <w:rPr>
          <w:sz w:val="22"/>
          <w:szCs w:val="20"/>
          <w:lang w:eastAsia="cs-CZ"/>
        </w:rPr>
        <w:lastRenderedPageBreak/>
        <w:t>Zníženie spotreby elektrickej energie a emisií CO2 dátových centier nasadzovaním zelených informačných a komunikačných technológií.</w:t>
      </w:r>
    </w:p>
    <w:p w:rsidR="00582AB1" w:rsidRDefault="00BE1DDE" w:rsidP="00582AB1">
      <w:pPr>
        <w:pStyle w:val="Tab"/>
      </w:pPr>
      <w:r>
        <w:t xml:space="preserve">Špecifické </w:t>
      </w:r>
      <w:r w:rsidR="00582AB1" w:rsidRPr="007F1C63">
        <w:t xml:space="preserve">ukazovatele </w:t>
      </w:r>
      <w:r>
        <w:t xml:space="preserve">výsledku programu </w:t>
      </w:r>
      <w:r w:rsidR="00582AB1" w:rsidRPr="007F1C63">
        <w:t>zodpovedajúce špecifickému cieľu</w:t>
      </w:r>
      <w:r w:rsidR="00582AB1">
        <w:t xml:space="preserve"> 7.8</w:t>
      </w:r>
    </w:p>
    <w:tbl>
      <w:tblPr>
        <w:tblStyle w:val="Mriekatabuky"/>
        <w:tblW w:w="9865" w:type="dxa"/>
        <w:tblLayout w:type="fixed"/>
        <w:tblLook w:val="04A0"/>
      </w:tblPr>
      <w:tblGrid>
        <w:gridCol w:w="556"/>
        <w:gridCol w:w="1834"/>
        <w:gridCol w:w="910"/>
        <w:gridCol w:w="1008"/>
        <w:gridCol w:w="1316"/>
        <w:gridCol w:w="1301"/>
        <w:gridCol w:w="896"/>
        <w:gridCol w:w="854"/>
        <w:gridCol w:w="1190"/>
      </w:tblGrid>
      <w:tr w:rsidR="00582AB1" w:rsidRPr="00A31E37" w:rsidTr="00B83833">
        <w:trPr>
          <w:trHeight w:val="454"/>
        </w:trPr>
        <w:tc>
          <w:tcPr>
            <w:tcW w:w="556" w:type="dxa"/>
            <w:shd w:val="clear" w:color="auto" w:fill="C6D9F1" w:themeFill="text2" w:themeFillTint="33"/>
            <w:vAlign w:val="center"/>
          </w:tcPr>
          <w:p w:rsidR="00582AB1" w:rsidRPr="00A31E37" w:rsidRDefault="00582AB1" w:rsidP="00B83833">
            <w:pPr>
              <w:ind w:left="0"/>
              <w:rPr>
                <w:b/>
                <w:sz w:val="18"/>
                <w:szCs w:val="18"/>
              </w:rPr>
            </w:pPr>
            <w:r w:rsidRPr="00A31E37">
              <w:rPr>
                <w:b/>
                <w:sz w:val="18"/>
                <w:szCs w:val="18"/>
              </w:rPr>
              <w:t>P. č.</w:t>
            </w:r>
          </w:p>
        </w:tc>
        <w:tc>
          <w:tcPr>
            <w:tcW w:w="1834" w:type="dxa"/>
            <w:shd w:val="clear" w:color="auto" w:fill="C6D9F1" w:themeFill="text2" w:themeFillTint="33"/>
            <w:vAlign w:val="center"/>
          </w:tcPr>
          <w:p w:rsidR="00582AB1" w:rsidRPr="00A31E37" w:rsidRDefault="00582AB1" w:rsidP="00B83833">
            <w:pPr>
              <w:ind w:left="0"/>
              <w:rPr>
                <w:b/>
                <w:sz w:val="18"/>
                <w:szCs w:val="18"/>
              </w:rPr>
            </w:pPr>
            <w:r w:rsidRPr="00A31E37">
              <w:rPr>
                <w:b/>
                <w:sz w:val="18"/>
                <w:szCs w:val="18"/>
              </w:rPr>
              <w:t>Ukazovateľ</w:t>
            </w:r>
          </w:p>
        </w:tc>
        <w:tc>
          <w:tcPr>
            <w:tcW w:w="910" w:type="dxa"/>
            <w:shd w:val="clear" w:color="auto" w:fill="C6D9F1" w:themeFill="text2" w:themeFillTint="33"/>
            <w:vAlign w:val="center"/>
          </w:tcPr>
          <w:p w:rsidR="00582AB1" w:rsidRPr="00A31E37" w:rsidRDefault="00582AB1" w:rsidP="00B83833">
            <w:pPr>
              <w:ind w:left="0"/>
              <w:jc w:val="center"/>
              <w:rPr>
                <w:b/>
                <w:sz w:val="18"/>
                <w:szCs w:val="18"/>
              </w:rPr>
            </w:pPr>
            <w:r w:rsidRPr="00A31E37">
              <w:rPr>
                <w:b/>
                <w:sz w:val="18"/>
                <w:szCs w:val="18"/>
              </w:rPr>
              <w:t>Merná jednotka</w:t>
            </w:r>
          </w:p>
        </w:tc>
        <w:tc>
          <w:tcPr>
            <w:tcW w:w="1008" w:type="dxa"/>
            <w:shd w:val="clear" w:color="auto" w:fill="C6D9F1" w:themeFill="text2" w:themeFillTint="33"/>
            <w:vAlign w:val="center"/>
          </w:tcPr>
          <w:p w:rsidR="00582AB1" w:rsidRPr="00A31E37" w:rsidRDefault="00582AB1" w:rsidP="00B83833">
            <w:pPr>
              <w:ind w:left="0"/>
              <w:jc w:val="center"/>
              <w:rPr>
                <w:b/>
                <w:sz w:val="18"/>
                <w:szCs w:val="18"/>
                <w:highlight w:val="yellow"/>
              </w:rPr>
            </w:pPr>
            <w:r w:rsidRPr="00A31E37">
              <w:rPr>
                <w:b/>
                <w:sz w:val="18"/>
                <w:szCs w:val="18"/>
              </w:rPr>
              <w:t>Kategória regiónu</w:t>
            </w:r>
          </w:p>
        </w:tc>
        <w:tc>
          <w:tcPr>
            <w:tcW w:w="1316" w:type="dxa"/>
            <w:shd w:val="clear" w:color="auto" w:fill="C6D9F1" w:themeFill="text2" w:themeFillTint="33"/>
            <w:vAlign w:val="center"/>
          </w:tcPr>
          <w:p w:rsidR="00582AB1" w:rsidRPr="00A31E37" w:rsidRDefault="00582AB1" w:rsidP="00B83833">
            <w:pPr>
              <w:ind w:left="0"/>
              <w:jc w:val="center"/>
              <w:rPr>
                <w:b/>
                <w:sz w:val="18"/>
                <w:szCs w:val="18"/>
              </w:rPr>
            </w:pPr>
            <w:r w:rsidRPr="00A31E37">
              <w:rPr>
                <w:b/>
                <w:sz w:val="18"/>
                <w:szCs w:val="18"/>
              </w:rPr>
              <w:t>Východisková hodnota</w:t>
            </w:r>
          </w:p>
        </w:tc>
        <w:tc>
          <w:tcPr>
            <w:tcW w:w="1301" w:type="dxa"/>
            <w:shd w:val="clear" w:color="auto" w:fill="C6D9F1" w:themeFill="text2" w:themeFillTint="33"/>
            <w:vAlign w:val="center"/>
          </w:tcPr>
          <w:p w:rsidR="00582AB1" w:rsidRPr="00A31E37" w:rsidRDefault="00582AB1" w:rsidP="00B83833">
            <w:pPr>
              <w:ind w:left="0"/>
              <w:jc w:val="center"/>
              <w:rPr>
                <w:b/>
                <w:sz w:val="18"/>
                <w:szCs w:val="18"/>
              </w:rPr>
            </w:pPr>
            <w:r w:rsidRPr="00A31E37">
              <w:rPr>
                <w:b/>
                <w:sz w:val="18"/>
                <w:szCs w:val="18"/>
              </w:rPr>
              <w:t>Východiskový rok</w:t>
            </w:r>
          </w:p>
        </w:tc>
        <w:tc>
          <w:tcPr>
            <w:tcW w:w="896" w:type="dxa"/>
            <w:shd w:val="clear" w:color="auto" w:fill="C6D9F1" w:themeFill="text2" w:themeFillTint="33"/>
            <w:vAlign w:val="center"/>
          </w:tcPr>
          <w:p w:rsidR="00582AB1" w:rsidRPr="00A31E37" w:rsidRDefault="00582AB1" w:rsidP="00B83833">
            <w:pPr>
              <w:ind w:left="0"/>
              <w:jc w:val="center"/>
              <w:rPr>
                <w:b/>
                <w:sz w:val="18"/>
                <w:szCs w:val="18"/>
              </w:rPr>
            </w:pPr>
            <w:r w:rsidRPr="00A31E37">
              <w:rPr>
                <w:b/>
                <w:sz w:val="18"/>
                <w:szCs w:val="18"/>
              </w:rPr>
              <w:t>Cieľová hodnota</w:t>
            </w:r>
          </w:p>
        </w:tc>
        <w:tc>
          <w:tcPr>
            <w:tcW w:w="854" w:type="dxa"/>
            <w:shd w:val="clear" w:color="auto" w:fill="C6D9F1" w:themeFill="text2" w:themeFillTint="33"/>
            <w:vAlign w:val="center"/>
          </w:tcPr>
          <w:p w:rsidR="00582AB1" w:rsidRPr="00A31E37" w:rsidRDefault="00582AB1" w:rsidP="00B83833">
            <w:pPr>
              <w:ind w:left="0"/>
              <w:jc w:val="center"/>
              <w:rPr>
                <w:b/>
                <w:sz w:val="18"/>
                <w:szCs w:val="18"/>
              </w:rPr>
            </w:pPr>
            <w:r w:rsidRPr="00A31E37">
              <w:rPr>
                <w:b/>
                <w:sz w:val="18"/>
                <w:szCs w:val="18"/>
              </w:rPr>
              <w:t>Zdroj údajov</w:t>
            </w:r>
          </w:p>
        </w:tc>
        <w:tc>
          <w:tcPr>
            <w:tcW w:w="1190" w:type="dxa"/>
            <w:shd w:val="clear" w:color="auto" w:fill="C6D9F1" w:themeFill="text2" w:themeFillTint="33"/>
            <w:vAlign w:val="center"/>
          </w:tcPr>
          <w:p w:rsidR="00582AB1" w:rsidRPr="00A31E37" w:rsidRDefault="00582AB1" w:rsidP="00B83833">
            <w:pPr>
              <w:ind w:left="0"/>
              <w:jc w:val="center"/>
              <w:rPr>
                <w:b/>
                <w:sz w:val="18"/>
                <w:szCs w:val="18"/>
              </w:rPr>
            </w:pPr>
            <w:r w:rsidRPr="00A31E37">
              <w:rPr>
                <w:b/>
                <w:sz w:val="18"/>
                <w:szCs w:val="18"/>
              </w:rPr>
              <w:t>Interval vykazovania</w:t>
            </w:r>
          </w:p>
        </w:tc>
      </w:tr>
      <w:tr w:rsidR="00582AB1" w:rsidRPr="00A31E37" w:rsidTr="00B83833">
        <w:trPr>
          <w:trHeight w:val="340"/>
        </w:trPr>
        <w:tc>
          <w:tcPr>
            <w:tcW w:w="556" w:type="dxa"/>
            <w:vAlign w:val="center"/>
          </w:tcPr>
          <w:p w:rsidR="00582AB1" w:rsidRPr="00A31E37" w:rsidRDefault="00582AB1" w:rsidP="00B83833">
            <w:pPr>
              <w:ind w:left="0"/>
              <w:rPr>
                <w:sz w:val="18"/>
                <w:szCs w:val="18"/>
              </w:rPr>
            </w:pPr>
            <w:r w:rsidRPr="00A31E37">
              <w:rPr>
                <w:sz w:val="18"/>
                <w:szCs w:val="18"/>
              </w:rPr>
              <w:t>1.</w:t>
            </w:r>
          </w:p>
        </w:tc>
        <w:tc>
          <w:tcPr>
            <w:tcW w:w="1834" w:type="dxa"/>
            <w:vAlign w:val="center"/>
          </w:tcPr>
          <w:p w:rsidR="00582AB1" w:rsidRPr="00A31E37" w:rsidRDefault="00582AB1" w:rsidP="00B83833">
            <w:pPr>
              <w:ind w:left="0"/>
              <w:rPr>
                <w:sz w:val="18"/>
                <w:szCs w:val="18"/>
              </w:rPr>
            </w:pPr>
            <w:r w:rsidRPr="00A31E37">
              <w:rPr>
                <w:sz w:val="18"/>
                <w:szCs w:val="18"/>
              </w:rPr>
              <w:t>Celkové náklady na vlastníctvo ISVS</w:t>
            </w:r>
          </w:p>
        </w:tc>
        <w:tc>
          <w:tcPr>
            <w:tcW w:w="910" w:type="dxa"/>
            <w:vAlign w:val="center"/>
          </w:tcPr>
          <w:p w:rsidR="00582AB1" w:rsidRPr="00A31E37" w:rsidRDefault="00582AB1" w:rsidP="00B83833">
            <w:pPr>
              <w:ind w:left="0"/>
              <w:jc w:val="center"/>
              <w:rPr>
                <w:sz w:val="18"/>
                <w:szCs w:val="18"/>
              </w:rPr>
            </w:pPr>
            <w:r w:rsidRPr="00A31E37">
              <w:rPr>
                <w:sz w:val="18"/>
                <w:szCs w:val="18"/>
              </w:rPr>
              <w:t>%</w:t>
            </w:r>
          </w:p>
        </w:tc>
        <w:tc>
          <w:tcPr>
            <w:tcW w:w="1008" w:type="dxa"/>
            <w:vAlign w:val="center"/>
          </w:tcPr>
          <w:p w:rsidR="00582AB1" w:rsidRPr="00A31E37" w:rsidRDefault="00582AB1" w:rsidP="00B83833">
            <w:pPr>
              <w:ind w:left="0"/>
              <w:jc w:val="center"/>
              <w:rPr>
                <w:sz w:val="18"/>
                <w:szCs w:val="18"/>
              </w:rPr>
            </w:pPr>
            <w:r w:rsidRPr="00A31E37">
              <w:rPr>
                <w:sz w:val="18"/>
                <w:szCs w:val="18"/>
              </w:rPr>
              <w:t>Menej rozvinuté regióny</w:t>
            </w:r>
          </w:p>
        </w:tc>
        <w:tc>
          <w:tcPr>
            <w:tcW w:w="1316" w:type="dxa"/>
            <w:vAlign w:val="center"/>
          </w:tcPr>
          <w:p w:rsidR="00582AB1" w:rsidRPr="00A31E37" w:rsidRDefault="00582AB1" w:rsidP="00B83833">
            <w:pPr>
              <w:ind w:left="0"/>
              <w:jc w:val="center"/>
              <w:rPr>
                <w:sz w:val="18"/>
                <w:szCs w:val="18"/>
              </w:rPr>
            </w:pPr>
            <w:r w:rsidRPr="00A31E37">
              <w:rPr>
                <w:sz w:val="18"/>
                <w:szCs w:val="18"/>
              </w:rPr>
              <w:t>100</w:t>
            </w:r>
          </w:p>
        </w:tc>
        <w:tc>
          <w:tcPr>
            <w:tcW w:w="1301" w:type="dxa"/>
            <w:vAlign w:val="center"/>
          </w:tcPr>
          <w:p w:rsidR="00582AB1" w:rsidRPr="00A31E37" w:rsidRDefault="00582AB1" w:rsidP="00B83833">
            <w:pPr>
              <w:ind w:left="0"/>
              <w:jc w:val="center"/>
              <w:rPr>
                <w:sz w:val="18"/>
                <w:szCs w:val="18"/>
              </w:rPr>
            </w:pPr>
            <w:r w:rsidRPr="00A31E37">
              <w:rPr>
                <w:sz w:val="18"/>
                <w:szCs w:val="18"/>
              </w:rPr>
              <w:t>2013</w:t>
            </w:r>
          </w:p>
        </w:tc>
        <w:tc>
          <w:tcPr>
            <w:tcW w:w="896" w:type="dxa"/>
            <w:vAlign w:val="center"/>
          </w:tcPr>
          <w:p w:rsidR="00582AB1" w:rsidRPr="00A31E37" w:rsidRDefault="00582AB1" w:rsidP="00B83833">
            <w:pPr>
              <w:ind w:left="0"/>
              <w:jc w:val="center"/>
              <w:rPr>
                <w:sz w:val="18"/>
                <w:szCs w:val="18"/>
              </w:rPr>
            </w:pPr>
            <w:r w:rsidRPr="00A31E37">
              <w:rPr>
                <w:sz w:val="18"/>
                <w:szCs w:val="18"/>
              </w:rPr>
              <w:t>90</w:t>
            </w:r>
          </w:p>
        </w:tc>
        <w:tc>
          <w:tcPr>
            <w:tcW w:w="854" w:type="dxa"/>
            <w:vAlign w:val="center"/>
          </w:tcPr>
          <w:p w:rsidR="00582AB1" w:rsidRPr="00A31E37" w:rsidRDefault="00582AB1" w:rsidP="00B83833">
            <w:pPr>
              <w:ind w:left="0"/>
              <w:jc w:val="center"/>
              <w:rPr>
                <w:sz w:val="18"/>
                <w:szCs w:val="18"/>
              </w:rPr>
            </w:pPr>
            <w:r w:rsidRPr="00A31E37">
              <w:rPr>
                <w:sz w:val="18"/>
                <w:szCs w:val="18"/>
              </w:rPr>
              <w:t>SORO</w:t>
            </w:r>
          </w:p>
        </w:tc>
        <w:tc>
          <w:tcPr>
            <w:tcW w:w="1190" w:type="dxa"/>
            <w:vAlign w:val="center"/>
          </w:tcPr>
          <w:p w:rsidR="00582AB1" w:rsidRPr="00A31E37" w:rsidRDefault="00582AB1" w:rsidP="00B83833">
            <w:pPr>
              <w:ind w:left="0"/>
              <w:jc w:val="center"/>
              <w:rPr>
                <w:sz w:val="18"/>
                <w:szCs w:val="18"/>
              </w:rPr>
            </w:pPr>
            <w:r w:rsidRPr="00A31E37">
              <w:rPr>
                <w:sz w:val="18"/>
                <w:szCs w:val="18"/>
              </w:rPr>
              <w:t>Ročne</w:t>
            </w:r>
          </w:p>
        </w:tc>
      </w:tr>
    </w:tbl>
    <w:p w:rsidR="00582AB1" w:rsidRPr="00582AB1" w:rsidRDefault="00582AB1" w:rsidP="002E1021">
      <w:pPr>
        <w:shd w:val="clear" w:color="auto" w:fill="FFFFCC"/>
        <w:spacing w:before="240"/>
        <w:jc w:val="both"/>
        <w:rPr>
          <w:b/>
          <w:i/>
        </w:rPr>
      </w:pPr>
      <w:r w:rsidRPr="007F1C63">
        <w:rPr>
          <w:i/>
        </w:rPr>
        <w:t xml:space="preserve">ŠPECIFICKÝ CIEĽ </w:t>
      </w:r>
      <w:r>
        <w:rPr>
          <w:i/>
        </w:rPr>
        <w:t>7</w:t>
      </w:r>
      <w:r w:rsidRPr="007F1C63">
        <w:rPr>
          <w:i/>
        </w:rPr>
        <w:t>.</w:t>
      </w:r>
      <w:r>
        <w:rPr>
          <w:i/>
        </w:rPr>
        <w:t xml:space="preserve">9: </w:t>
      </w:r>
      <w:r w:rsidR="001218A8" w:rsidRPr="001218A8">
        <w:rPr>
          <w:b/>
          <w:i/>
          <w:sz w:val="22"/>
          <w:szCs w:val="22"/>
        </w:rPr>
        <w:t>Zvýšenie kybernetickej bezpečnosti v spoločnosti</w:t>
      </w:r>
    </w:p>
    <w:p w:rsidR="00582AB1" w:rsidRDefault="00582AB1" w:rsidP="00582AB1">
      <w:pPr>
        <w:spacing w:before="180"/>
        <w:jc w:val="both"/>
        <w:rPr>
          <w:rFonts w:ascii="Arial Narrow" w:hAnsi="Arial Narrow"/>
          <w:b/>
          <w:i/>
          <w:color w:val="548DD4" w:themeColor="text2" w:themeTint="99"/>
          <w:sz w:val="22"/>
          <w:szCs w:val="22"/>
        </w:rPr>
      </w:pPr>
      <w:r w:rsidRPr="00560E77">
        <w:rPr>
          <w:rFonts w:ascii="Arial Narrow" w:hAnsi="Arial Narrow"/>
          <w:b/>
          <w:i/>
          <w:color w:val="548DD4" w:themeColor="text2" w:themeTint="99"/>
          <w:sz w:val="22"/>
          <w:szCs w:val="22"/>
        </w:rPr>
        <w:t>Opis východiskovej situácie</w:t>
      </w:r>
    </w:p>
    <w:p w:rsidR="00582AB1" w:rsidRPr="00A31E37" w:rsidRDefault="00582AB1" w:rsidP="00582AB1">
      <w:pPr>
        <w:spacing w:before="120" w:after="60"/>
        <w:jc w:val="both"/>
        <w:rPr>
          <w:sz w:val="22"/>
          <w:szCs w:val="20"/>
          <w:lang w:eastAsia="en-US"/>
        </w:rPr>
      </w:pPr>
      <w:r w:rsidRPr="00A31E37">
        <w:rPr>
          <w:sz w:val="22"/>
          <w:szCs w:val="20"/>
          <w:lang w:eastAsia="en-US"/>
        </w:rPr>
        <w:t>Základný rámec informa</w:t>
      </w:r>
      <w:r w:rsidRPr="00A31E37">
        <w:rPr>
          <w:rFonts w:ascii="TimesNewRoman" w:hAnsi="TimesNewRoman" w:cs="TimesNewRoman"/>
          <w:sz w:val="22"/>
          <w:szCs w:val="20"/>
          <w:lang w:eastAsia="en-US"/>
        </w:rPr>
        <w:t>č</w:t>
      </w:r>
      <w:r w:rsidRPr="00A31E37">
        <w:rPr>
          <w:sz w:val="22"/>
          <w:szCs w:val="20"/>
          <w:lang w:eastAsia="en-US"/>
        </w:rPr>
        <w:t>nej bezpe</w:t>
      </w:r>
      <w:r w:rsidRPr="00A31E37">
        <w:rPr>
          <w:rFonts w:ascii="TimesNewRoman" w:hAnsi="TimesNewRoman" w:cs="TimesNewRoman"/>
          <w:sz w:val="22"/>
          <w:szCs w:val="20"/>
          <w:lang w:eastAsia="en-US"/>
        </w:rPr>
        <w:t>č</w:t>
      </w:r>
      <w:r w:rsidRPr="00A31E37">
        <w:rPr>
          <w:sz w:val="22"/>
          <w:szCs w:val="20"/>
          <w:lang w:eastAsia="en-US"/>
        </w:rPr>
        <w:t>nosti Slovenskej republiky tvorí dokument „Národná stratégia pre informačnú bezpečnosť v SR“</w:t>
      </w:r>
      <w:r w:rsidRPr="00A31E37">
        <w:rPr>
          <w:sz w:val="22"/>
          <w:szCs w:val="20"/>
          <w:vertAlign w:val="superscript"/>
          <w:lang w:eastAsia="en-US"/>
        </w:rPr>
        <w:footnoteReference w:id="26"/>
      </w:r>
      <w:r w:rsidRPr="00A31E37">
        <w:rPr>
          <w:sz w:val="22"/>
          <w:szCs w:val="20"/>
          <w:lang w:eastAsia="en-US"/>
        </w:rPr>
        <w:t>. V podmienkach digitálneho a kybernetického priestoru SR sú zavádzané opatrenia najmä proti úniku informácií a ich neoprávnenému použitiu, narušeniu integrity údajov, porušeniu práv občanov na ochranu osobných údajov, a na ochranu pred poškodzovaním a zneužívaním informačných a komunikačných systémov, ako aj opatrenia na presadzovanie príslušných právnych noriem Slovenska a EÚ.</w:t>
      </w:r>
    </w:p>
    <w:p w:rsidR="00582AB1" w:rsidRPr="00A31E37" w:rsidRDefault="00582AB1" w:rsidP="00582AB1">
      <w:pPr>
        <w:spacing w:before="120" w:after="60"/>
        <w:jc w:val="both"/>
        <w:rPr>
          <w:sz w:val="22"/>
          <w:szCs w:val="20"/>
          <w:lang w:eastAsia="en-US"/>
        </w:rPr>
      </w:pPr>
      <w:r w:rsidRPr="00A31E37">
        <w:rPr>
          <w:sz w:val="22"/>
          <w:szCs w:val="20"/>
          <w:lang w:eastAsia="en-US"/>
        </w:rPr>
        <w:t>Informačná a kybernetická bezpečnosť je dynamicky sa vyvíjajúcim odvetvím, ktoré musí neustále reagovať na nové výzvy. V súvislosti s narastajúcou občianskou aj podnikateľskou aktivitou v digitálnom priestore bude nutné postupovať s ohľadom na opatrenia obsiahnuté v Stratégii kybernetickej bezpečnosti EÚ prezentovanej vo februári 2013. Informačné systémy a siete vyvíjané alebo aktualizované v nasledujúcom období budú posudzované z pohľadu naplnenia zadefinovaných bezpečnostných cieľov a súladu s existujúcou aj budúcou legislatívou. Budú sa implementovať a vylepšovať opatrenia na riadenie bezpečnostných rizík, predovšetkým pre systémy verejnej správy patriace do kritickej infraštruktúry. Zvýši sa transparentnosť informovania o bezpečnostných incidentoch jednotlivcov, ktorých osobné údaje boli stratené, ukradnuté alebo pozmenené. Celkovo sa zvýši dôvera v digitálny priestor a povedomie o spôsobe riešenia kybernetických útokov. Prispeje k tomu tiež nasadenie platformy pre zber údajov a opatrení a pre posielanie výstrah súvisiacich s kybernetickou bezpečnosťou. Táto platforma bude interoperabilná s európskym riešením a napojená na Európske centrum pre kybernetický zločin.</w:t>
      </w:r>
    </w:p>
    <w:p w:rsidR="00582AB1" w:rsidRDefault="00582AB1" w:rsidP="00582AB1">
      <w:pPr>
        <w:spacing w:before="180" w:after="120"/>
        <w:rPr>
          <w:rFonts w:ascii="Arial Narrow" w:hAnsi="Arial Narrow"/>
          <w:b/>
          <w:i/>
          <w:color w:val="548DD4" w:themeColor="text2" w:themeTint="99"/>
          <w:sz w:val="22"/>
          <w:szCs w:val="22"/>
        </w:rPr>
      </w:pPr>
      <w:r w:rsidRPr="007F1C63">
        <w:rPr>
          <w:rFonts w:ascii="Arial Narrow" w:hAnsi="Arial Narrow"/>
          <w:b/>
          <w:i/>
          <w:color w:val="548DD4" w:themeColor="text2" w:themeTint="99"/>
          <w:sz w:val="22"/>
          <w:szCs w:val="22"/>
        </w:rPr>
        <w:t>VÝSLEDKY</w:t>
      </w:r>
    </w:p>
    <w:p w:rsidR="00582AB1" w:rsidRPr="00582AB1" w:rsidRDefault="00582AB1" w:rsidP="00FE6025">
      <w:pPr>
        <w:pStyle w:val="Odsekzoznamu"/>
        <w:numPr>
          <w:ilvl w:val="0"/>
          <w:numId w:val="28"/>
        </w:numPr>
      </w:pPr>
      <w:r w:rsidRPr="00582AB1">
        <w:t>Zníženie finančných dopadov a dopadov na činnosť firiem a verejnej správy pri bezpečnostných incidentoch;</w:t>
      </w:r>
    </w:p>
    <w:p w:rsidR="00E92F9B" w:rsidRDefault="001218A8" w:rsidP="00FE6025">
      <w:pPr>
        <w:pStyle w:val="Odsekzoznamu"/>
        <w:numPr>
          <w:ilvl w:val="0"/>
          <w:numId w:val="28"/>
        </w:numPr>
        <w:jc w:val="both"/>
      </w:pPr>
      <w:r w:rsidRPr="001218A8">
        <w:rPr>
          <w:sz w:val="22"/>
          <w:szCs w:val="20"/>
          <w:lang w:eastAsia="cs-CZ"/>
        </w:rPr>
        <w:t>Zvýšenie vyspelosti trhu s bezpečnostnými riešeniami zvýšením výdavkov na bezpečnosť privátneho aj verejného sektora;</w:t>
      </w:r>
    </w:p>
    <w:p w:rsidR="00E92F9B" w:rsidRDefault="001218A8" w:rsidP="00FE6025">
      <w:pPr>
        <w:pStyle w:val="Odsekzoznamu"/>
        <w:numPr>
          <w:ilvl w:val="0"/>
          <w:numId w:val="28"/>
        </w:numPr>
        <w:jc w:val="both"/>
      </w:pPr>
      <w:r w:rsidRPr="001218A8">
        <w:rPr>
          <w:sz w:val="22"/>
          <w:szCs w:val="20"/>
          <w:lang w:eastAsia="cs-CZ"/>
        </w:rPr>
        <w:t>Zvýšenie kybernetickej bezpečnosti a aplikovanie najnovších poznatkov v európskom priestore;</w:t>
      </w:r>
    </w:p>
    <w:p w:rsidR="00E92F9B" w:rsidRDefault="001218A8" w:rsidP="00FE6025">
      <w:pPr>
        <w:pStyle w:val="Odsekzoznamu"/>
        <w:numPr>
          <w:ilvl w:val="0"/>
          <w:numId w:val="28"/>
        </w:numPr>
        <w:jc w:val="both"/>
      </w:pPr>
      <w:r w:rsidRPr="001218A8">
        <w:rPr>
          <w:sz w:val="22"/>
          <w:szCs w:val="20"/>
          <w:lang w:eastAsia="cs-CZ"/>
        </w:rPr>
        <w:t>Zvýšenie miery inovácie v oblasti bezpečnostných opatrení;</w:t>
      </w:r>
    </w:p>
    <w:p w:rsidR="00E92F9B" w:rsidRDefault="001218A8" w:rsidP="00FE6025">
      <w:pPr>
        <w:pStyle w:val="Odsekzoznamu"/>
        <w:numPr>
          <w:ilvl w:val="0"/>
          <w:numId w:val="28"/>
        </w:numPr>
        <w:jc w:val="both"/>
      </w:pPr>
      <w:r w:rsidRPr="001218A8">
        <w:rPr>
          <w:sz w:val="22"/>
          <w:szCs w:val="20"/>
          <w:lang w:eastAsia="cs-CZ"/>
        </w:rPr>
        <w:t>Zvýšenie dôvery občanov a podnikateľov v digitálny priestor;</w:t>
      </w:r>
    </w:p>
    <w:p w:rsidR="00E92F9B" w:rsidRDefault="001218A8" w:rsidP="00FE6025">
      <w:pPr>
        <w:pStyle w:val="Odsekzoznamu"/>
        <w:numPr>
          <w:ilvl w:val="0"/>
          <w:numId w:val="28"/>
        </w:numPr>
        <w:jc w:val="both"/>
      </w:pPr>
      <w:r w:rsidRPr="001218A8">
        <w:rPr>
          <w:sz w:val="22"/>
          <w:szCs w:val="20"/>
          <w:lang w:eastAsia="cs-CZ"/>
        </w:rPr>
        <w:t>Zvýšenie transparentnosti pri riešení bezpečnostných incidentov a kybernetických útokov.</w:t>
      </w:r>
    </w:p>
    <w:p w:rsidR="00582AB1" w:rsidRDefault="00BE1DDE" w:rsidP="00582AB1">
      <w:pPr>
        <w:pStyle w:val="Tab"/>
      </w:pPr>
      <w:r>
        <w:t xml:space="preserve">Špecifické ukazovatele výsledkov programu </w:t>
      </w:r>
      <w:r w:rsidR="00582AB1" w:rsidRPr="007F1C63">
        <w:t>zodpovedajúce špecifickému cieľu</w:t>
      </w:r>
      <w:r w:rsidR="00582AB1">
        <w:t xml:space="preserve"> 7.9</w:t>
      </w:r>
    </w:p>
    <w:tbl>
      <w:tblPr>
        <w:tblStyle w:val="Mriekatabuky"/>
        <w:tblW w:w="9897" w:type="dxa"/>
        <w:tblLayout w:type="fixed"/>
        <w:tblLook w:val="04A0"/>
      </w:tblPr>
      <w:tblGrid>
        <w:gridCol w:w="558"/>
        <w:gridCol w:w="1840"/>
        <w:gridCol w:w="913"/>
        <w:gridCol w:w="997"/>
        <w:gridCol w:w="1348"/>
        <w:gridCol w:w="1305"/>
        <w:gridCol w:w="969"/>
        <w:gridCol w:w="776"/>
        <w:gridCol w:w="1191"/>
      </w:tblGrid>
      <w:tr w:rsidR="00582AB1" w:rsidRPr="00A31E37" w:rsidTr="00B83833">
        <w:trPr>
          <w:trHeight w:val="475"/>
        </w:trPr>
        <w:tc>
          <w:tcPr>
            <w:tcW w:w="558" w:type="dxa"/>
            <w:shd w:val="clear" w:color="auto" w:fill="C6D9F1" w:themeFill="text2" w:themeFillTint="33"/>
            <w:vAlign w:val="center"/>
          </w:tcPr>
          <w:p w:rsidR="00582AB1" w:rsidRPr="00A31E37" w:rsidRDefault="00582AB1" w:rsidP="00B83833">
            <w:pPr>
              <w:ind w:left="0"/>
              <w:rPr>
                <w:b/>
                <w:sz w:val="18"/>
                <w:szCs w:val="18"/>
              </w:rPr>
            </w:pPr>
            <w:r w:rsidRPr="00A31E37">
              <w:rPr>
                <w:b/>
                <w:sz w:val="18"/>
                <w:szCs w:val="18"/>
              </w:rPr>
              <w:t>P. č.</w:t>
            </w:r>
          </w:p>
        </w:tc>
        <w:tc>
          <w:tcPr>
            <w:tcW w:w="1840" w:type="dxa"/>
            <w:shd w:val="clear" w:color="auto" w:fill="C6D9F1" w:themeFill="text2" w:themeFillTint="33"/>
            <w:vAlign w:val="center"/>
          </w:tcPr>
          <w:p w:rsidR="00582AB1" w:rsidRPr="00A31E37" w:rsidRDefault="00582AB1" w:rsidP="00B83833">
            <w:pPr>
              <w:ind w:left="0"/>
              <w:rPr>
                <w:b/>
                <w:sz w:val="18"/>
                <w:szCs w:val="18"/>
              </w:rPr>
            </w:pPr>
            <w:r w:rsidRPr="00A31E37">
              <w:rPr>
                <w:b/>
                <w:sz w:val="18"/>
                <w:szCs w:val="18"/>
              </w:rPr>
              <w:t>Názov ukazovateľa</w:t>
            </w:r>
          </w:p>
        </w:tc>
        <w:tc>
          <w:tcPr>
            <w:tcW w:w="913" w:type="dxa"/>
            <w:shd w:val="clear" w:color="auto" w:fill="C6D9F1" w:themeFill="text2" w:themeFillTint="33"/>
            <w:vAlign w:val="center"/>
          </w:tcPr>
          <w:p w:rsidR="00582AB1" w:rsidRPr="00A31E37" w:rsidRDefault="00582AB1" w:rsidP="00B83833">
            <w:pPr>
              <w:ind w:left="0"/>
              <w:jc w:val="center"/>
              <w:rPr>
                <w:b/>
                <w:sz w:val="18"/>
                <w:szCs w:val="18"/>
              </w:rPr>
            </w:pPr>
            <w:r w:rsidRPr="00A31E37">
              <w:rPr>
                <w:b/>
                <w:sz w:val="18"/>
                <w:szCs w:val="18"/>
              </w:rPr>
              <w:t>Merná jednotka</w:t>
            </w:r>
          </w:p>
        </w:tc>
        <w:tc>
          <w:tcPr>
            <w:tcW w:w="997" w:type="dxa"/>
            <w:shd w:val="clear" w:color="auto" w:fill="C6D9F1" w:themeFill="text2" w:themeFillTint="33"/>
            <w:vAlign w:val="center"/>
          </w:tcPr>
          <w:p w:rsidR="00582AB1" w:rsidRPr="00A31E37" w:rsidRDefault="00582AB1" w:rsidP="00B83833">
            <w:pPr>
              <w:ind w:left="0"/>
              <w:jc w:val="center"/>
              <w:rPr>
                <w:b/>
                <w:sz w:val="18"/>
                <w:szCs w:val="18"/>
                <w:highlight w:val="yellow"/>
              </w:rPr>
            </w:pPr>
            <w:r w:rsidRPr="00A31E37">
              <w:rPr>
                <w:b/>
                <w:sz w:val="18"/>
                <w:szCs w:val="18"/>
              </w:rPr>
              <w:t>Kategória regiónu</w:t>
            </w:r>
          </w:p>
        </w:tc>
        <w:tc>
          <w:tcPr>
            <w:tcW w:w="1348" w:type="dxa"/>
            <w:shd w:val="clear" w:color="auto" w:fill="C6D9F1" w:themeFill="text2" w:themeFillTint="33"/>
            <w:vAlign w:val="center"/>
          </w:tcPr>
          <w:p w:rsidR="00582AB1" w:rsidRPr="00A31E37" w:rsidRDefault="00582AB1" w:rsidP="00B83833">
            <w:pPr>
              <w:ind w:left="0"/>
              <w:jc w:val="center"/>
              <w:rPr>
                <w:b/>
                <w:sz w:val="18"/>
                <w:szCs w:val="18"/>
              </w:rPr>
            </w:pPr>
            <w:r w:rsidRPr="00A31E37">
              <w:rPr>
                <w:b/>
                <w:sz w:val="18"/>
                <w:szCs w:val="18"/>
              </w:rPr>
              <w:t>Východisková hodnota</w:t>
            </w:r>
          </w:p>
        </w:tc>
        <w:tc>
          <w:tcPr>
            <w:tcW w:w="1305" w:type="dxa"/>
            <w:shd w:val="clear" w:color="auto" w:fill="C6D9F1" w:themeFill="text2" w:themeFillTint="33"/>
            <w:vAlign w:val="center"/>
          </w:tcPr>
          <w:p w:rsidR="00582AB1" w:rsidRPr="00A31E37" w:rsidRDefault="00582AB1" w:rsidP="00B83833">
            <w:pPr>
              <w:ind w:left="0"/>
              <w:jc w:val="center"/>
              <w:rPr>
                <w:b/>
                <w:sz w:val="18"/>
                <w:szCs w:val="18"/>
              </w:rPr>
            </w:pPr>
            <w:r w:rsidRPr="00A31E37">
              <w:rPr>
                <w:b/>
                <w:sz w:val="18"/>
                <w:szCs w:val="18"/>
              </w:rPr>
              <w:t>Východiskový rok</w:t>
            </w:r>
          </w:p>
        </w:tc>
        <w:tc>
          <w:tcPr>
            <w:tcW w:w="969" w:type="dxa"/>
            <w:shd w:val="clear" w:color="auto" w:fill="C6D9F1" w:themeFill="text2" w:themeFillTint="33"/>
            <w:vAlign w:val="center"/>
          </w:tcPr>
          <w:p w:rsidR="00582AB1" w:rsidRPr="00A31E37" w:rsidRDefault="00582AB1" w:rsidP="00B83833">
            <w:pPr>
              <w:ind w:left="0"/>
              <w:jc w:val="center"/>
              <w:rPr>
                <w:b/>
                <w:sz w:val="18"/>
                <w:szCs w:val="18"/>
              </w:rPr>
            </w:pPr>
            <w:r w:rsidRPr="00A31E37">
              <w:rPr>
                <w:b/>
                <w:sz w:val="18"/>
                <w:szCs w:val="18"/>
              </w:rPr>
              <w:t>Cieľová hodnota</w:t>
            </w:r>
          </w:p>
        </w:tc>
        <w:tc>
          <w:tcPr>
            <w:tcW w:w="776" w:type="dxa"/>
            <w:shd w:val="clear" w:color="auto" w:fill="C6D9F1" w:themeFill="text2" w:themeFillTint="33"/>
            <w:vAlign w:val="center"/>
          </w:tcPr>
          <w:p w:rsidR="00582AB1" w:rsidRPr="00A31E37" w:rsidRDefault="00582AB1" w:rsidP="00B83833">
            <w:pPr>
              <w:ind w:left="0"/>
              <w:jc w:val="center"/>
              <w:rPr>
                <w:b/>
                <w:sz w:val="18"/>
                <w:szCs w:val="18"/>
              </w:rPr>
            </w:pPr>
            <w:r w:rsidRPr="00A31E37">
              <w:rPr>
                <w:b/>
                <w:sz w:val="18"/>
                <w:szCs w:val="18"/>
              </w:rPr>
              <w:t>Zdroj údajov</w:t>
            </w:r>
          </w:p>
        </w:tc>
        <w:tc>
          <w:tcPr>
            <w:tcW w:w="1191" w:type="dxa"/>
            <w:shd w:val="clear" w:color="auto" w:fill="C6D9F1" w:themeFill="text2" w:themeFillTint="33"/>
            <w:vAlign w:val="center"/>
          </w:tcPr>
          <w:p w:rsidR="00582AB1" w:rsidRPr="00A31E37" w:rsidRDefault="00582AB1" w:rsidP="00B83833">
            <w:pPr>
              <w:ind w:left="0"/>
              <w:jc w:val="center"/>
              <w:rPr>
                <w:b/>
                <w:sz w:val="18"/>
                <w:szCs w:val="18"/>
              </w:rPr>
            </w:pPr>
            <w:r w:rsidRPr="00A31E37">
              <w:rPr>
                <w:b/>
                <w:sz w:val="18"/>
                <w:szCs w:val="18"/>
              </w:rPr>
              <w:t>Interval vykazovania</w:t>
            </w:r>
          </w:p>
        </w:tc>
      </w:tr>
      <w:tr w:rsidR="00582AB1" w:rsidRPr="00A31E37" w:rsidTr="00B83833">
        <w:trPr>
          <w:trHeight w:val="356"/>
        </w:trPr>
        <w:tc>
          <w:tcPr>
            <w:tcW w:w="558" w:type="dxa"/>
            <w:vAlign w:val="center"/>
          </w:tcPr>
          <w:p w:rsidR="00582AB1" w:rsidRPr="00A31E37" w:rsidRDefault="00582AB1" w:rsidP="00B83833">
            <w:pPr>
              <w:ind w:left="0"/>
              <w:rPr>
                <w:sz w:val="18"/>
                <w:szCs w:val="18"/>
              </w:rPr>
            </w:pPr>
            <w:r w:rsidRPr="00A31E37">
              <w:rPr>
                <w:sz w:val="18"/>
                <w:szCs w:val="18"/>
              </w:rPr>
              <w:t>1.</w:t>
            </w:r>
          </w:p>
        </w:tc>
        <w:tc>
          <w:tcPr>
            <w:tcW w:w="1840" w:type="dxa"/>
            <w:vAlign w:val="center"/>
          </w:tcPr>
          <w:p w:rsidR="00582AB1" w:rsidRPr="00A31E37" w:rsidRDefault="00582AB1" w:rsidP="00B83833">
            <w:pPr>
              <w:ind w:left="0"/>
              <w:rPr>
                <w:sz w:val="18"/>
                <w:szCs w:val="18"/>
              </w:rPr>
            </w:pPr>
            <w:r w:rsidRPr="00A31E37">
              <w:rPr>
                <w:sz w:val="18"/>
                <w:szCs w:val="18"/>
              </w:rPr>
              <w:t>Globálny index kybernetickej bezpečnosti</w:t>
            </w:r>
          </w:p>
        </w:tc>
        <w:tc>
          <w:tcPr>
            <w:tcW w:w="913" w:type="dxa"/>
            <w:vAlign w:val="center"/>
          </w:tcPr>
          <w:p w:rsidR="00582AB1" w:rsidRPr="00A31E37" w:rsidRDefault="00582AB1" w:rsidP="00B83833">
            <w:pPr>
              <w:ind w:left="0"/>
              <w:jc w:val="center"/>
              <w:rPr>
                <w:sz w:val="18"/>
                <w:szCs w:val="18"/>
              </w:rPr>
            </w:pPr>
            <w:r w:rsidRPr="00A31E37">
              <w:rPr>
                <w:sz w:val="18"/>
                <w:szCs w:val="18"/>
              </w:rPr>
              <w:t>Index</w:t>
            </w:r>
          </w:p>
        </w:tc>
        <w:tc>
          <w:tcPr>
            <w:tcW w:w="997" w:type="dxa"/>
            <w:vAlign w:val="center"/>
          </w:tcPr>
          <w:p w:rsidR="00582AB1" w:rsidRPr="00A31E37" w:rsidRDefault="00582AB1" w:rsidP="00B83833">
            <w:pPr>
              <w:ind w:left="0"/>
              <w:jc w:val="center"/>
              <w:rPr>
                <w:sz w:val="18"/>
                <w:szCs w:val="18"/>
              </w:rPr>
            </w:pPr>
            <w:r w:rsidRPr="00A31E37">
              <w:rPr>
                <w:sz w:val="18"/>
                <w:szCs w:val="18"/>
              </w:rPr>
              <w:t>Menej rozvinuté regióny</w:t>
            </w:r>
          </w:p>
        </w:tc>
        <w:tc>
          <w:tcPr>
            <w:tcW w:w="1348" w:type="dxa"/>
            <w:vAlign w:val="center"/>
          </w:tcPr>
          <w:p w:rsidR="00582AB1" w:rsidRPr="00A31E37" w:rsidRDefault="00582AB1" w:rsidP="00B83833">
            <w:pPr>
              <w:ind w:left="0"/>
              <w:jc w:val="center"/>
              <w:rPr>
                <w:sz w:val="18"/>
                <w:szCs w:val="18"/>
              </w:rPr>
            </w:pPr>
            <w:r w:rsidRPr="00A31E37">
              <w:rPr>
                <w:sz w:val="18"/>
                <w:szCs w:val="18"/>
              </w:rPr>
              <w:t>N/A</w:t>
            </w:r>
          </w:p>
        </w:tc>
        <w:tc>
          <w:tcPr>
            <w:tcW w:w="1305" w:type="dxa"/>
            <w:vAlign w:val="center"/>
          </w:tcPr>
          <w:p w:rsidR="00582AB1" w:rsidRPr="00A31E37" w:rsidRDefault="00582AB1" w:rsidP="00B83833">
            <w:pPr>
              <w:ind w:left="0"/>
              <w:jc w:val="center"/>
              <w:rPr>
                <w:sz w:val="18"/>
                <w:szCs w:val="18"/>
              </w:rPr>
            </w:pPr>
            <w:r w:rsidRPr="00A31E37">
              <w:rPr>
                <w:sz w:val="18"/>
                <w:szCs w:val="18"/>
              </w:rPr>
              <w:t>2014</w:t>
            </w:r>
          </w:p>
        </w:tc>
        <w:tc>
          <w:tcPr>
            <w:tcW w:w="969" w:type="dxa"/>
            <w:vAlign w:val="center"/>
          </w:tcPr>
          <w:p w:rsidR="00582AB1" w:rsidRPr="00A31E37" w:rsidRDefault="00582AB1" w:rsidP="00B83833">
            <w:pPr>
              <w:ind w:left="0"/>
              <w:jc w:val="center"/>
              <w:rPr>
                <w:sz w:val="18"/>
                <w:szCs w:val="18"/>
              </w:rPr>
            </w:pPr>
            <w:r w:rsidRPr="00A31E37">
              <w:rPr>
                <w:sz w:val="18"/>
                <w:szCs w:val="18"/>
              </w:rPr>
              <w:t>Umiestnenie v prvej polovici medzi krajinami EÚ</w:t>
            </w:r>
          </w:p>
        </w:tc>
        <w:tc>
          <w:tcPr>
            <w:tcW w:w="776" w:type="dxa"/>
            <w:vAlign w:val="center"/>
          </w:tcPr>
          <w:p w:rsidR="00582AB1" w:rsidRPr="00A31E37" w:rsidRDefault="00582AB1" w:rsidP="00B83833">
            <w:pPr>
              <w:ind w:left="0"/>
              <w:jc w:val="center"/>
              <w:rPr>
                <w:sz w:val="18"/>
                <w:szCs w:val="18"/>
              </w:rPr>
            </w:pPr>
            <w:r w:rsidRPr="00A31E37">
              <w:rPr>
                <w:sz w:val="18"/>
                <w:szCs w:val="18"/>
              </w:rPr>
              <w:t>ITU</w:t>
            </w:r>
          </w:p>
        </w:tc>
        <w:tc>
          <w:tcPr>
            <w:tcW w:w="1191" w:type="dxa"/>
            <w:vAlign w:val="center"/>
          </w:tcPr>
          <w:p w:rsidR="00582AB1" w:rsidRPr="00A31E37" w:rsidRDefault="00582AB1" w:rsidP="00B83833">
            <w:pPr>
              <w:ind w:left="0"/>
              <w:jc w:val="center"/>
              <w:rPr>
                <w:sz w:val="18"/>
                <w:szCs w:val="18"/>
              </w:rPr>
            </w:pPr>
            <w:r w:rsidRPr="00A31E37">
              <w:rPr>
                <w:sz w:val="18"/>
                <w:szCs w:val="18"/>
              </w:rPr>
              <w:t>Ročne</w:t>
            </w:r>
          </w:p>
        </w:tc>
      </w:tr>
    </w:tbl>
    <w:p w:rsidR="00445E30" w:rsidRPr="007F1C63" w:rsidRDefault="00445E30" w:rsidP="000767A2">
      <w:pPr>
        <w:pStyle w:val="Nadpis3"/>
      </w:pPr>
      <w:bookmarkStart w:id="80" w:name="_Toc385310729"/>
      <w:r>
        <w:lastRenderedPageBreak/>
        <w:t>A</w:t>
      </w:r>
      <w:r w:rsidRPr="007F1C63">
        <w:t>ktivity</w:t>
      </w:r>
      <w:r>
        <w:t>, ktoré budú podporené v rámci investičnej priority</w:t>
      </w:r>
      <w:bookmarkEnd w:id="80"/>
    </w:p>
    <w:p w:rsidR="00445E30" w:rsidRPr="007F1C63" w:rsidRDefault="00445E30" w:rsidP="00445E30">
      <w:pPr>
        <w:keepNext/>
        <w:numPr>
          <w:ilvl w:val="3"/>
          <w:numId w:val="18"/>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Opis typu a príklady aktivít</w:t>
      </w:r>
    </w:p>
    <w:p w:rsidR="00445E30" w:rsidRPr="007F1C63" w:rsidRDefault="00445E30" w:rsidP="00445E30">
      <w:pPr>
        <w:spacing w:before="180" w:after="120"/>
        <w:rPr>
          <w:sz w:val="22"/>
          <w:szCs w:val="22"/>
        </w:rPr>
      </w:pPr>
      <w:r w:rsidRPr="007F1C63">
        <w:rPr>
          <w:sz w:val="22"/>
          <w:szCs w:val="22"/>
          <w:u w:val="single"/>
        </w:rPr>
        <w:t xml:space="preserve">Investičná priorita </w:t>
      </w:r>
      <w:r>
        <w:rPr>
          <w:sz w:val="22"/>
          <w:szCs w:val="22"/>
          <w:u w:val="single"/>
        </w:rPr>
        <w:t>2</w:t>
      </w:r>
      <w:r w:rsidR="00582AB1">
        <w:rPr>
          <w:sz w:val="22"/>
          <w:szCs w:val="22"/>
          <w:u w:val="single"/>
        </w:rPr>
        <w:t>c</w:t>
      </w:r>
      <w:r w:rsidRPr="007F1C63">
        <w:rPr>
          <w:sz w:val="22"/>
          <w:szCs w:val="22"/>
          <w:u w:val="single"/>
        </w:rPr>
        <w:t>) bude napĺňaná prostredníctvom aktivít</w:t>
      </w:r>
      <w:r w:rsidRPr="007F1C63">
        <w:rPr>
          <w:sz w:val="22"/>
          <w:szCs w:val="22"/>
        </w:rPr>
        <w:t>:</w:t>
      </w:r>
    </w:p>
    <w:p w:rsidR="00E92F9B" w:rsidRDefault="009F75CE">
      <w:pPr>
        <w:jc w:val="both"/>
        <w:rPr>
          <w:sz w:val="22"/>
          <w:szCs w:val="22"/>
        </w:rPr>
      </w:pPr>
      <w:r>
        <w:rPr>
          <w:sz w:val="22"/>
          <w:szCs w:val="22"/>
        </w:rPr>
        <w:t>ŠC</w:t>
      </w:r>
      <w:r w:rsidR="001355D9">
        <w:rPr>
          <w:sz w:val="22"/>
          <w:szCs w:val="22"/>
        </w:rPr>
        <w:t xml:space="preserve"> 7.3,</w:t>
      </w:r>
      <w:r w:rsidR="001218A8" w:rsidRPr="001218A8">
        <w:rPr>
          <w:sz w:val="22"/>
          <w:szCs w:val="22"/>
        </w:rPr>
        <w:t xml:space="preserve"> 7.4 </w:t>
      </w:r>
    </w:p>
    <w:p w:rsidR="00E92F9B" w:rsidRDefault="001218A8" w:rsidP="00FE6025">
      <w:pPr>
        <w:pStyle w:val="Odsekzoznamu"/>
        <w:numPr>
          <w:ilvl w:val="0"/>
          <w:numId w:val="67"/>
        </w:numPr>
        <w:jc w:val="both"/>
        <w:rPr>
          <w:sz w:val="22"/>
          <w:szCs w:val="22"/>
        </w:rPr>
      </w:pPr>
      <w:r w:rsidRPr="001218A8">
        <w:rPr>
          <w:sz w:val="22"/>
          <w:szCs w:val="22"/>
        </w:rPr>
        <w:t>Kompozícia elektronických služieb do zjednodušených životných situácií:</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Analýza vhodných životných situácií, ktoré majú byť komplexne poskytované elektronicky</w:t>
      </w:r>
    </w:p>
    <w:p w:rsidR="00E92F9B" w:rsidRDefault="00582AB1">
      <w:pPr>
        <w:pStyle w:val="Odsekzoznamu"/>
        <w:ind w:left="1080"/>
        <w:jc w:val="both"/>
        <w:rPr>
          <w:sz w:val="22"/>
          <w:szCs w:val="22"/>
        </w:rPr>
      </w:pPr>
      <w:r w:rsidRPr="00582AB1">
        <w:rPr>
          <w:sz w:val="22"/>
          <w:szCs w:val="22"/>
        </w:rPr>
        <w:t>–</w:t>
      </w:r>
      <w:r w:rsidRPr="00582AB1">
        <w:rPr>
          <w:sz w:val="22"/>
          <w:szCs w:val="22"/>
        </w:rPr>
        <w:tab/>
        <w:t>Implementácia riešení zjednodušených životných situácií</w:t>
      </w:r>
    </w:p>
    <w:p w:rsidR="00E92F9B" w:rsidRDefault="001218A8" w:rsidP="00FE6025">
      <w:pPr>
        <w:pStyle w:val="Odsekzoznamu"/>
        <w:numPr>
          <w:ilvl w:val="0"/>
          <w:numId w:val="67"/>
        </w:numPr>
        <w:jc w:val="both"/>
        <w:rPr>
          <w:sz w:val="22"/>
          <w:szCs w:val="22"/>
        </w:rPr>
      </w:pPr>
      <w:r w:rsidRPr="001218A8">
        <w:rPr>
          <w:sz w:val="22"/>
          <w:szCs w:val="22"/>
        </w:rPr>
        <w:t xml:space="preserve">Zavedenie inovatívnych elektronických služieb </w:t>
      </w:r>
      <w:r w:rsidR="00A00DAE">
        <w:rPr>
          <w:sz w:val="22"/>
          <w:szCs w:val="22"/>
        </w:rPr>
        <w:t>VS</w:t>
      </w:r>
      <w:r w:rsidRPr="001218A8">
        <w:rPr>
          <w:sz w:val="22"/>
          <w:szCs w:val="22"/>
        </w:rPr>
        <w:t xml:space="preserve"> pre občanov a podnikateľov:</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Analýza oblastí vhodných pre inovácie a</w:t>
      </w:r>
      <w:r>
        <w:rPr>
          <w:sz w:val="22"/>
          <w:szCs w:val="22"/>
        </w:rPr>
        <w:t> </w:t>
      </w:r>
      <w:r w:rsidRPr="00582AB1">
        <w:rPr>
          <w:sz w:val="22"/>
          <w:szCs w:val="22"/>
        </w:rPr>
        <w:t>proaktivitu</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Implementácia proaktívných elektronických služieb a</w:t>
      </w:r>
      <w:r>
        <w:rPr>
          <w:sz w:val="22"/>
          <w:szCs w:val="22"/>
        </w:rPr>
        <w:t> </w:t>
      </w:r>
      <w:r w:rsidRPr="00582AB1">
        <w:rPr>
          <w:sz w:val="22"/>
          <w:szCs w:val="22"/>
        </w:rPr>
        <w:t>riešení</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Implementácia služieb s vysokou pridanou hodnotou</w:t>
      </w:r>
      <w:r>
        <w:rPr>
          <w:sz w:val="22"/>
          <w:szCs w:val="22"/>
        </w:rPr>
        <w:t>, vrátane aktivít smerujúcich k podpore kreatívneho pri</w:t>
      </w:r>
      <w:r w:rsidR="00A00DAE">
        <w:rPr>
          <w:sz w:val="22"/>
          <w:szCs w:val="22"/>
        </w:rPr>
        <w:t>e</w:t>
      </w:r>
      <w:r>
        <w:rPr>
          <w:sz w:val="22"/>
          <w:szCs w:val="22"/>
        </w:rPr>
        <w:t>myslu</w:t>
      </w:r>
      <w:r w:rsidR="001355D9">
        <w:rPr>
          <w:sz w:val="22"/>
          <w:szCs w:val="22"/>
        </w:rPr>
        <w:t xml:space="preserve"> a sprístupňovania digitálnych rozmnoženín autorsko-právne chránených predmetov kultúrneho dedičstva</w:t>
      </w:r>
    </w:p>
    <w:p w:rsidR="00E92F9B" w:rsidRDefault="003970E4" w:rsidP="00FE6025">
      <w:pPr>
        <w:pStyle w:val="Odsekzoznamu"/>
        <w:numPr>
          <w:ilvl w:val="0"/>
          <w:numId w:val="73"/>
        </w:numPr>
        <w:ind w:left="1418"/>
        <w:jc w:val="both"/>
        <w:rPr>
          <w:sz w:val="22"/>
          <w:szCs w:val="22"/>
        </w:rPr>
      </w:pPr>
      <w:r>
        <w:rPr>
          <w:sz w:val="22"/>
          <w:szCs w:val="22"/>
        </w:rPr>
        <w:t>Implementácia služieb spojenýc</w:t>
      </w:r>
      <w:r w:rsidR="001355D9">
        <w:rPr>
          <w:sz w:val="22"/>
          <w:szCs w:val="22"/>
        </w:rPr>
        <w:t>h s investičnými príležitosťami</w:t>
      </w:r>
    </w:p>
    <w:p w:rsidR="00E92F9B" w:rsidRDefault="001218A8" w:rsidP="00FE6025">
      <w:pPr>
        <w:pStyle w:val="Odsekzoznamu"/>
        <w:numPr>
          <w:ilvl w:val="0"/>
          <w:numId w:val="67"/>
        </w:numPr>
        <w:jc w:val="both"/>
        <w:rPr>
          <w:sz w:val="22"/>
          <w:szCs w:val="22"/>
        </w:rPr>
      </w:pPr>
      <w:r w:rsidRPr="001218A8">
        <w:rPr>
          <w:sz w:val="22"/>
          <w:szCs w:val="22"/>
        </w:rPr>
        <w:t>Zavedenie služieb a aplikácií pre mobilný government:</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Analýza oblastí vhodných pre mobilné aplikácie a</w:t>
      </w:r>
      <w:r>
        <w:rPr>
          <w:sz w:val="22"/>
          <w:szCs w:val="22"/>
        </w:rPr>
        <w:t> </w:t>
      </w:r>
      <w:r w:rsidRPr="00582AB1">
        <w:rPr>
          <w:sz w:val="22"/>
          <w:szCs w:val="22"/>
        </w:rPr>
        <w:t>služby</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Vytvorenie platformy pre tvorbu mobilných služieb a aplikácií</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Implementácia mobilných služieb a</w:t>
      </w:r>
      <w:r>
        <w:rPr>
          <w:sz w:val="22"/>
          <w:szCs w:val="22"/>
        </w:rPr>
        <w:t> </w:t>
      </w:r>
      <w:r w:rsidRPr="00582AB1">
        <w:rPr>
          <w:sz w:val="22"/>
          <w:szCs w:val="22"/>
        </w:rPr>
        <w:t>aplikácií</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Zavedenie mobilnej identity</w:t>
      </w:r>
    </w:p>
    <w:p w:rsidR="00E92F9B" w:rsidRDefault="001218A8" w:rsidP="00FE6025">
      <w:pPr>
        <w:pStyle w:val="Odsekzoznamu"/>
        <w:numPr>
          <w:ilvl w:val="0"/>
          <w:numId w:val="67"/>
        </w:numPr>
        <w:jc w:val="both"/>
        <w:rPr>
          <w:sz w:val="22"/>
          <w:szCs w:val="22"/>
        </w:rPr>
      </w:pPr>
      <w:r w:rsidRPr="001218A8">
        <w:rPr>
          <w:sz w:val="22"/>
          <w:szCs w:val="22"/>
        </w:rPr>
        <w:t>Riešenie cezhraničnej kompatibility:</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Implementácia riešení cezhraničných životných situácií</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Implementovanie akceptácie identít z EÚ do iden</w:t>
      </w:r>
      <w:r w:rsidR="001355D9">
        <w:rPr>
          <w:sz w:val="22"/>
          <w:szCs w:val="22"/>
        </w:rPr>
        <w:t>tifikovaných systémov a služieb</w:t>
      </w:r>
    </w:p>
    <w:p w:rsidR="00E92F9B" w:rsidRDefault="001218A8">
      <w:pPr>
        <w:jc w:val="both"/>
        <w:rPr>
          <w:sz w:val="22"/>
          <w:szCs w:val="22"/>
        </w:rPr>
      </w:pPr>
      <w:r w:rsidRPr="001218A8">
        <w:rPr>
          <w:sz w:val="22"/>
          <w:szCs w:val="22"/>
        </w:rPr>
        <w:t>ŠC 7.5</w:t>
      </w:r>
    </w:p>
    <w:p w:rsidR="00E92F9B" w:rsidRDefault="00582AB1" w:rsidP="00FE6025">
      <w:pPr>
        <w:pStyle w:val="Odsekzoznamu"/>
        <w:numPr>
          <w:ilvl w:val="0"/>
          <w:numId w:val="67"/>
        </w:numPr>
        <w:jc w:val="both"/>
        <w:rPr>
          <w:sz w:val="22"/>
          <w:szCs w:val="22"/>
        </w:rPr>
      </w:pPr>
      <w:r w:rsidRPr="00582AB1">
        <w:rPr>
          <w:sz w:val="22"/>
          <w:szCs w:val="22"/>
        </w:rPr>
        <w:t>Vytvorenie koncepcie pre vytváranie a využívanie otvorených dát:</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Návrh konceptu a pravidiel pre používanie otvorených dát</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Podpora rozvoja komunity pracujúcej s otvorenými dátami</w:t>
      </w:r>
    </w:p>
    <w:p w:rsidR="00E92F9B" w:rsidRDefault="00582AB1" w:rsidP="00FE6025">
      <w:pPr>
        <w:pStyle w:val="Odsekzoznamu"/>
        <w:numPr>
          <w:ilvl w:val="0"/>
          <w:numId w:val="67"/>
        </w:numPr>
        <w:jc w:val="both"/>
        <w:rPr>
          <w:sz w:val="22"/>
          <w:szCs w:val="22"/>
        </w:rPr>
      </w:pPr>
      <w:r w:rsidRPr="00582AB1">
        <w:rPr>
          <w:sz w:val="22"/>
          <w:szCs w:val="22"/>
        </w:rPr>
        <w:t>Rozvoj centrálnej platformy pre otvorené dáta</w:t>
      </w:r>
    </w:p>
    <w:p w:rsidR="00E92F9B" w:rsidRDefault="001218A8" w:rsidP="00FE6025">
      <w:pPr>
        <w:pStyle w:val="Odsekzoznamu"/>
        <w:numPr>
          <w:ilvl w:val="0"/>
          <w:numId w:val="67"/>
        </w:numPr>
        <w:jc w:val="both"/>
        <w:rPr>
          <w:sz w:val="22"/>
          <w:szCs w:val="22"/>
        </w:rPr>
      </w:pPr>
      <w:r w:rsidRPr="001218A8">
        <w:rPr>
          <w:sz w:val="22"/>
          <w:szCs w:val="22"/>
        </w:rPr>
        <w:t>Implementácia nástrojov pre vytváranie otvorených dát:</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Identifikácia zdrojov otvorených dát a ich kvality</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Automatizácia procesov tvorby otvorených dát</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Implementácia informačných systémov schopných generovať a zverejňovať otvorené dáta</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Nasadenie korekčných a analytických nástrojov pre správne zverejňovanie dát</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Implementácia rozhraní pre sprístupnenie dát</w:t>
      </w:r>
    </w:p>
    <w:p w:rsidR="00E92F9B" w:rsidRDefault="001218A8">
      <w:pPr>
        <w:jc w:val="both"/>
        <w:rPr>
          <w:sz w:val="22"/>
          <w:szCs w:val="22"/>
        </w:rPr>
      </w:pPr>
      <w:r w:rsidRPr="001218A8">
        <w:rPr>
          <w:sz w:val="22"/>
          <w:szCs w:val="22"/>
        </w:rPr>
        <w:t>ŠC 7.6</w:t>
      </w:r>
    </w:p>
    <w:p w:rsidR="00E92F9B" w:rsidRDefault="00582AB1" w:rsidP="00FE6025">
      <w:pPr>
        <w:pStyle w:val="Odsekzoznamu"/>
        <w:numPr>
          <w:ilvl w:val="0"/>
          <w:numId w:val="67"/>
        </w:numPr>
        <w:jc w:val="both"/>
        <w:rPr>
          <w:sz w:val="22"/>
          <w:szCs w:val="22"/>
        </w:rPr>
      </w:pPr>
      <w:r w:rsidRPr="00582AB1">
        <w:rPr>
          <w:sz w:val="22"/>
          <w:szCs w:val="22"/>
        </w:rPr>
        <w:t xml:space="preserve">Rozvoj zjednodušeného prístupu k informáciám a službám </w:t>
      </w:r>
      <w:r w:rsidR="00A00DAE">
        <w:rPr>
          <w:sz w:val="22"/>
          <w:szCs w:val="22"/>
        </w:rPr>
        <w:t>VS</w:t>
      </w:r>
      <w:r w:rsidRPr="00582AB1">
        <w:rPr>
          <w:sz w:val="22"/>
          <w:szCs w:val="22"/>
        </w:rPr>
        <w:t xml:space="preserve"> pre znevýhodnené skupiny:</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Analýza možných úprav existujúceho obsahu a</w:t>
      </w:r>
      <w:r>
        <w:rPr>
          <w:sz w:val="22"/>
          <w:szCs w:val="22"/>
        </w:rPr>
        <w:t> </w:t>
      </w:r>
      <w:r w:rsidRPr="00582AB1">
        <w:rPr>
          <w:sz w:val="22"/>
          <w:szCs w:val="22"/>
        </w:rPr>
        <w:t>služieb</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Implementácia jednoduchších služieb pre znevýhodnené skupiny</w:t>
      </w:r>
    </w:p>
    <w:p w:rsidR="00E92F9B" w:rsidRDefault="00582AB1" w:rsidP="00FE6025">
      <w:pPr>
        <w:pStyle w:val="Odsekzoznamu"/>
        <w:numPr>
          <w:ilvl w:val="0"/>
          <w:numId w:val="67"/>
        </w:numPr>
        <w:jc w:val="both"/>
        <w:rPr>
          <w:sz w:val="22"/>
          <w:szCs w:val="22"/>
        </w:rPr>
      </w:pPr>
      <w:r w:rsidRPr="00582AB1">
        <w:rPr>
          <w:sz w:val="22"/>
          <w:szCs w:val="22"/>
        </w:rPr>
        <w:t>Zavedenie nástrojov pre podporu asistovaného života a telemedicíny:</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Vybavenie domova občanov nástrojmi asistovaného života</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 xml:space="preserve">Vybavenie domova občanov nástrojmi </w:t>
      </w:r>
      <w:proofErr w:type="spellStart"/>
      <w:r w:rsidRPr="00582AB1">
        <w:rPr>
          <w:sz w:val="22"/>
          <w:szCs w:val="22"/>
        </w:rPr>
        <w:t>telemedicíny</w:t>
      </w:r>
      <w:proofErr w:type="spellEnd"/>
    </w:p>
    <w:p w:rsidR="00E92F9B" w:rsidRDefault="001218A8">
      <w:pPr>
        <w:jc w:val="both"/>
        <w:rPr>
          <w:sz w:val="22"/>
          <w:szCs w:val="22"/>
        </w:rPr>
      </w:pPr>
      <w:r w:rsidRPr="001218A8">
        <w:rPr>
          <w:sz w:val="22"/>
          <w:szCs w:val="22"/>
        </w:rPr>
        <w:t>ŠC 7.7</w:t>
      </w:r>
    </w:p>
    <w:p w:rsidR="00E92F9B" w:rsidRDefault="00582AB1" w:rsidP="00FE6025">
      <w:pPr>
        <w:pStyle w:val="Odsekzoznamu"/>
        <w:numPr>
          <w:ilvl w:val="0"/>
          <w:numId w:val="67"/>
        </w:numPr>
        <w:jc w:val="both"/>
        <w:rPr>
          <w:sz w:val="22"/>
          <w:szCs w:val="22"/>
        </w:rPr>
      </w:pPr>
      <w:r w:rsidRPr="00582AB1">
        <w:rPr>
          <w:sz w:val="22"/>
          <w:szCs w:val="22"/>
        </w:rPr>
        <w:t xml:space="preserve">Modernizácia fungovania </w:t>
      </w:r>
      <w:r w:rsidR="00A00DAE">
        <w:rPr>
          <w:sz w:val="22"/>
          <w:szCs w:val="22"/>
        </w:rPr>
        <w:t>VS</w:t>
      </w:r>
      <w:r w:rsidRPr="00582AB1">
        <w:rPr>
          <w:sz w:val="22"/>
          <w:szCs w:val="22"/>
        </w:rPr>
        <w:t xml:space="preserve"> pri výkone agendy prostredníctvom </w:t>
      </w:r>
      <w:r w:rsidR="009E17D5">
        <w:rPr>
          <w:sz w:val="22"/>
          <w:szCs w:val="22"/>
        </w:rPr>
        <w:t>IKT</w:t>
      </w:r>
      <w:r w:rsidRPr="00582AB1">
        <w:rPr>
          <w:sz w:val="22"/>
          <w:szCs w:val="22"/>
        </w:rPr>
        <w:t>:</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 xml:space="preserve">Vybavenie klientskych centier </w:t>
      </w:r>
      <w:r w:rsidR="00AF5171">
        <w:rPr>
          <w:sz w:val="22"/>
          <w:szCs w:val="22"/>
        </w:rPr>
        <w:t>IKT</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 xml:space="preserve">Implementácia systému pre realizáciu procesov obsluhy občanov a manažment elektronických úloh vo </w:t>
      </w:r>
      <w:r w:rsidR="00A00DAE">
        <w:rPr>
          <w:sz w:val="22"/>
          <w:szCs w:val="22"/>
        </w:rPr>
        <w:t>VS</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Implementácia optimalizovaných procesov na úsekoch výkonu správy</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 xml:space="preserve">Podpora manažmentu kvality </w:t>
      </w:r>
      <w:r w:rsidR="00A00DAE">
        <w:rPr>
          <w:sz w:val="22"/>
          <w:szCs w:val="22"/>
        </w:rPr>
        <w:t>VS</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 xml:space="preserve">Dátová integrácia informačných systémov </w:t>
      </w:r>
      <w:r w:rsidR="00A00DAE">
        <w:rPr>
          <w:sz w:val="22"/>
          <w:szCs w:val="22"/>
        </w:rPr>
        <w:t>VS</w:t>
      </w:r>
    </w:p>
    <w:p w:rsidR="00E92F9B" w:rsidRDefault="00582AB1" w:rsidP="00FE6025">
      <w:pPr>
        <w:pStyle w:val="Odsekzoznamu"/>
        <w:numPr>
          <w:ilvl w:val="0"/>
          <w:numId w:val="67"/>
        </w:numPr>
        <w:jc w:val="both"/>
        <w:rPr>
          <w:sz w:val="22"/>
          <w:szCs w:val="22"/>
        </w:rPr>
      </w:pPr>
      <w:r w:rsidRPr="00582AB1">
        <w:rPr>
          <w:sz w:val="22"/>
          <w:szCs w:val="22"/>
        </w:rPr>
        <w:t xml:space="preserve">Optimalizácia podporných a administratívnych činností prostredníctvom </w:t>
      </w:r>
      <w:r w:rsidR="00C13ABC">
        <w:rPr>
          <w:sz w:val="22"/>
          <w:szCs w:val="22"/>
        </w:rPr>
        <w:t>IKT</w:t>
      </w:r>
      <w:r w:rsidRPr="00582AB1">
        <w:rPr>
          <w:sz w:val="22"/>
          <w:szCs w:val="22"/>
        </w:rPr>
        <w:t>:</w:t>
      </w:r>
    </w:p>
    <w:p w:rsidR="00E92F9B" w:rsidRDefault="00FF28BC">
      <w:pPr>
        <w:pStyle w:val="Odsekzoznamu"/>
        <w:ind w:left="1418" w:hanging="426"/>
        <w:jc w:val="both"/>
        <w:rPr>
          <w:sz w:val="22"/>
          <w:szCs w:val="22"/>
        </w:rPr>
      </w:pPr>
      <w:r>
        <w:rPr>
          <w:sz w:val="22"/>
          <w:szCs w:val="22"/>
        </w:rPr>
        <w:t xml:space="preserve"> </w:t>
      </w:r>
      <w:r w:rsidR="00582AB1" w:rsidRPr="00582AB1">
        <w:rPr>
          <w:sz w:val="22"/>
          <w:szCs w:val="22"/>
        </w:rPr>
        <w:t>–</w:t>
      </w:r>
      <w:r w:rsidR="00582AB1" w:rsidRPr="00582AB1">
        <w:rPr>
          <w:sz w:val="22"/>
          <w:szCs w:val="22"/>
        </w:rPr>
        <w:tab/>
        <w:t>Nasadenie konsolidovaných podporných a administratívnych informačných systémo</w:t>
      </w:r>
      <w:r w:rsidR="001355D9">
        <w:rPr>
          <w:sz w:val="22"/>
          <w:szCs w:val="22"/>
        </w:rPr>
        <w:t>v verejnej správy (formou SaaS)</w:t>
      </w:r>
    </w:p>
    <w:p w:rsidR="00E92F9B" w:rsidRDefault="00582AB1" w:rsidP="00FE6025">
      <w:pPr>
        <w:pStyle w:val="Odsekzoznamu"/>
        <w:numPr>
          <w:ilvl w:val="0"/>
          <w:numId w:val="67"/>
        </w:numPr>
        <w:jc w:val="both"/>
        <w:rPr>
          <w:sz w:val="22"/>
          <w:szCs w:val="22"/>
        </w:rPr>
      </w:pPr>
      <w:r w:rsidRPr="00582AB1">
        <w:rPr>
          <w:sz w:val="22"/>
          <w:szCs w:val="22"/>
        </w:rPr>
        <w:lastRenderedPageBreak/>
        <w:t xml:space="preserve">Podpora využívania znalostí vo </w:t>
      </w:r>
      <w:r w:rsidR="00C13ABC">
        <w:rPr>
          <w:sz w:val="22"/>
          <w:szCs w:val="22"/>
        </w:rPr>
        <w:t>VS</w:t>
      </w:r>
      <w:r w:rsidRPr="00582AB1">
        <w:rPr>
          <w:sz w:val="22"/>
          <w:szCs w:val="22"/>
        </w:rPr>
        <w:t>:</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Implementácia analytických informačných systémov</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 xml:space="preserve">Implementácia systémov </w:t>
      </w:r>
      <w:r w:rsidR="00B55AAD">
        <w:rPr>
          <w:sz w:val="22"/>
          <w:szCs w:val="22"/>
        </w:rPr>
        <w:t>pre tvorbu a zdieľanie znalostí</w:t>
      </w:r>
    </w:p>
    <w:p w:rsidR="00E92F9B" w:rsidRDefault="00582AB1">
      <w:pPr>
        <w:pStyle w:val="Odsekzoznamu"/>
        <w:ind w:left="1418" w:hanging="338"/>
        <w:jc w:val="both"/>
        <w:rPr>
          <w:sz w:val="22"/>
          <w:szCs w:val="22"/>
        </w:rPr>
      </w:pPr>
      <w:r w:rsidRPr="00582AB1">
        <w:rPr>
          <w:sz w:val="22"/>
          <w:szCs w:val="22"/>
        </w:rPr>
        <w:t>–</w:t>
      </w:r>
      <w:r w:rsidRPr="00582AB1">
        <w:rPr>
          <w:sz w:val="22"/>
          <w:szCs w:val="22"/>
        </w:rPr>
        <w:tab/>
        <w:t xml:space="preserve">Podpora </w:t>
      </w:r>
      <w:proofErr w:type="spellStart"/>
      <w:r w:rsidRPr="00582AB1">
        <w:rPr>
          <w:sz w:val="22"/>
          <w:szCs w:val="22"/>
        </w:rPr>
        <w:t>eLearningu</w:t>
      </w:r>
      <w:proofErr w:type="spellEnd"/>
      <w:r w:rsidRPr="00582AB1">
        <w:rPr>
          <w:sz w:val="22"/>
          <w:szCs w:val="22"/>
        </w:rPr>
        <w:t xml:space="preserve"> pre zamestnancov </w:t>
      </w:r>
      <w:r w:rsidR="00C13ABC">
        <w:rPr>
          <w:sz w:val="22"/>
          <w:szCs w:val="22"/>
        </w:rPr>
        <w:t>VS</w:t>
      </w:r>
    </w:p>
    <w:p w:rsidR="00E92F9B" w:rsidRDefault="001218A8">
      <w:pPr>
        <w:jc w:val="both"/>
        <w:rPr>
          <w:sz w:val="22"/>
          <w:szCs w:val="22"/>
        </w:rPr>
      </w:pPr>
      <w:r w:rsidRPr="001218A8">
        <w:rPr>
          <w:sz w:val="22"/>
          <w:szCs w:val="22"/>
        </w:rPr>
        <w:t>ŠC 7.8</w:t>
      </w:r>
    </w:p>
    <w:p w:rsidR="00FF28BC" w:rsidRPr="00FF28BC" w:rsidRDefault="00FF28BC" w:rsidP="00FE6025">
      <w:pPr>
        <w:pStyle w:val="Odsekzoznamu"/>
        <w:numPr>
          <w:ilvl w:val="0"/>
          <w:numId w:val="67"/>
        </w:numPr>
        <w:jc w:val="both"/>
        <w:rPr>
          <w:sz w:val="22"/>
          <w:szCs w:val="22"/>
        </w:rPr>
      </w:pPr>
      <w:r w:rsidRPr="00FF28BC">
        <w:rPr>
          <w:sz w:val="22"/>
          <w:szCs w:val="22"/>
        </w:rPr>
        <w:t>Vytvorenie koncepcie na realizáciu a prevádzku eGovernment cloudu:</w:t>
      </w:r>
    </w:p>
    <w:p w:rsidR="00E92F9B" w:rsidRDefault="00FF28BC" w:rsidP="00FE6025">
      <w:pPr>
        <w:pStyle w:val="Odsekzoznamu"/>
        <w:numPr>
          <w:ilvl w:val="0"/>
          <w:numId w:val="68"/>
        </w:numPr>
        <w:ind w:left="1418" w:hanging="284"/>
        <w:jc w:val="both"/>
        <w:rPr>
          <w:sz w:val="22"/>
          <w:szCs w:val="22"/>
        </w:rPr>
      </w:pPr>
      <w:r w:rsidRPr="00FF28BC">
        <w:rPr>
          <w:sz w:val="22"/>
          <w:szCs w:val="22"/>
        </w:rPr>
        <w:t>Návrh štandardov, legislatívy, finančného mo</w:t>
      </w:r>
      <w:r w:rsidR="00B55AAD">
        <w:rPr>
          <w:sz w:val="22"/>
          <w:szCs w:val="22"/>
        </w:rPr>
        <w:t>delu, zodpovedností a pravidiel</w:t>
      </w:r>
    </w:p>
    <w:p w:rsidR="00E92F9B" w:rsidRDefault="00FF28BC" w:rsidP="00FE6025">
      <w:pPr>
        <w:pStyle w:val="Odsekzoznamu"/>
        <w:numPr>
          <w:ilvl w:val="0"/>
          <w:numId w:val="68"/>
        </w:numPr>
        <w:ind w:left="1418" w:hanging="284"/>
        <w:jc w:val="both"/>
        <w:rPr>
          <w:sz w:val="22"/>
          <w:szCs w:val="22"/>
        </w:rPr>
      </w:pPr>
      <w:r w:rsidRPr="00FF28BC">
        <w:rPr>
          <w:sz w:val="22"/>
          <w:szCs w:val="22"/>
        </w:rPr>
        <w:t xml:space="preserve">Klasifikácia dát vo </w:t>
      </w:r>
      <w:r w:rsidR="00C13ABC">
        <w:rPr>
          <w:sz w:val="22"/>
          <w:szCs w:val="22"/>
        </w:rPr>
        <w:t>VS</w:t>
      </w:r>
      <w:r w:rsidRPr="00FF28BC">
        <w:rPr>
          <w:sz w:val="22"/>
          <w:szCs w:val="22"/>
        </w:rPr>
        <w:t xml:space="preserve"> a návrh úr</w:t>
      </w:r>
      <w:r w:rsidR="00B55AAD">
        <w:rPr>
          <w:sz w:val="22"/>
          <w:szCs w:val="22"/>
        </w:rPr>
        <w:t>ovní kvality cloudových služieb</w:t>
      </w:r>
    </w:p>
    <w:p w:rsidR="00E92F9B" w:rsidRDefault="00FF28BC" w:rsidP="00FE6025">
      <w:pPr>
        <w:pStyle w:val="Odsekzoznamu"/>
        <w:numPr>
          <w:ilvl w:val="0"/>
          <w:numId w:val="68"/>
        </w:numPr>
        <w:ind w:left="1418" w:hanging="284"/>
        <w:jc w:val="both"/>
        <w:rPr>
          <w:sz w:val="22"/>
          <w:szCs w:val="22"/>
        </w:rPr>
      </w:pPr>
      <w:r w:rsidRPr="00FF28BC">
        <w:rPr>
          <w:sz w:val="22"/>
          <w:szCs w:val="22"/>
        </w:rPr>
        <w:t>Zriadenie riadia</w:t>
      </w:r>
      <w:r w:rsidR="00B55AAD">
        <w:rPr>
          <w:sz w:val="22"/>
          <w:szCs w:val="22"/>
        </w:rPr>
        <w:t>ceho orgánu pre cloudové služby</w:t>
      </w:r>
    </w:p>
    <w:p w:rsidR="00E92F9B" w:rsidRDefault="00FF28BC" w:rsidP="00FE6025">
      <w:pPr>
        <w:pStyle w:val="Odsekzoznamu"/>
        <w:numPr>
          <w:ilvl w:val="0"/>
          <w:numId w:val="68"/>
        </w:numPr>
        <w:ind w:left="1418" w:hanging="284"/>
        <w:jc w:val="both"/>
        <w:rPr>
          <w:sz w:val="22"/>
          <w:szCs w:val="22"/>
        </w:rPr>
      </w:pPr>
      <w:r w:rsidRPr="00FF28BC">
        <w:rPr>
          <w:sz w:val="22"/>
          <w:szCs w:val="22"/>
        </w:rPr>
        <w:t xml:space="preserve">Vytvorenie systému (katalógu) pre </w:t>
      </w:r>
      <w:r w:rsidR="001355D9">
        <w:rPr>
          <w:sz w:val="22"/>
          <w:szCs w:val="22"/>
        </w:rPr>
        <w:t xml:space="preserve">poskytovanie </w:t>
      </w:r>
      <w:proofErr w:type="spellStart"/>
      <w:r w:rsidR="001355D9">
        <w:rPr>
          <w:sz w:val="22"/>
          <w:szCs w:val="22"/>
        </w:rPr>
        <w:t>cloudových</w:t>
      </w:r>
      <w:proofErr w:type="spellEnd"/>
      <w:r w:rsidR="001355D9">
        <w:rPr>
          <w:sz w:val="22"/>
          <w:szCs w:val="22"/>
        </w:rPr>
        <w:t xml:space="preserve"> služieb</w:t>
      </w:r>
    </w:p>
    <w:p w:rsidR="00FF28BC" w:rsidRPr="00FF28BC" w:rsidRDefault="00FF28BC" w:rsidP="00FE6025">
      <w:pPr>
        <w:pStyle w:val="Odsekzoznamu"/>
        <w:numPr>
          <w:ilvl w:val="0"/>
          <w:numId w:val="67"/>
        </w:numPr>
        <w:jc w:val="both"/>
        <w:rPr>
          <w:sz w:val="22"/>
          <w:szCs w:val="22"/>
        </w:rPr>
      </w:pPr>
      <w:r w:rsidRPr="00FF28BC">
        <w:rPr>
          <w:sz w:val="22"/>
          <w:szCs w:val="22"/>
        </w:rPr>
        <w:t>Zriadenie prevádzkovateľov cloudových služieb:</w:t>
      </w:r>
    </w:p>
    <w:p w:rsidR="00E92F9B" w:rsidRDefault="00FF28BC" w:rsidP="00FE6025">
      <w:pPr>
        <w:pStyle w:val="Odsekzoznamu"/>
        <w:numPr>
          <w:ilvl w:val="0"/>
          <w:numId w:val="68"/>
        </w:numPr>
        <w:ind w:left="1418" w:hanging="284"/>
        <w:jc w:val="both"/>
        <w:rPr>
          <w:sz w:val="22"/>
          <w:szCs w:val="22"/>
        </w:rPr>
      </w:pPr>
      <w:r w:rsidRPr="00FF28BC">
        <w:rPr>
          <w:sz w:val="22"/>
          <w:szCs w:val="22"/>
        </w:rPr>
        <w:t xml:space="preserve">Vybudovanie IKT </w:t>
      </w:r>
      <w:r w:rsidR="00B55AAD">
        <w:rPr>
          <w:sz w:val="22"/>
          <w:szCs w:val="22"/>
        </w:rPr>
        <w:t>infraštruktúry v dátovom centre</w:t>
      </w:r>
    </w:p>
    <w:p w:rsidR="00E92F9B" w:rsidRDefault="00FF28BC" w:rsidP="00FE6025">
      <w:pPr>
        <w:pStyle w:val="Odsekzoznamu"/>
        <w:numPr>
          <w:ilvl w:val="0"/>
          <w:numId w:val="68"/>
        </w:numPr>
        <w:ind w:left="1418" w:hanging="284"/>
        <w:jc w:val="both"/>
        <w:rPr>
          <w:sz w:val="22"/>
          <w:szCs w:val="22"/>
        </w:rPr>
      </w:pPr>
      <w:r w:rsidRPr="00FF28BC">
        <w:rPr>
          <w:sz w:val="22"/>
          <w:szCs w:val="22"/>
        </w:rPr>
        <w:t>Nasadenie</w:t>
      </w:r>
      <w:r w:rsidR="00B55AAD">
        <w:rPr>
          <w:sz w:val="22"/>
          <w:szCs w:val="22"/>
        </w:rPr>
        <w:t xml:space="preserve"> cloudových služieb IaaS a PaaS</w:t>
      </w:r>
    </w:p>
    <w:p w:rsidR="00E92F9B" w:rsidRDefault="00FF28BC" w:rsidP="00FE6025">
      <w:pPr>
        <w:pStyle w:val="Odsekzoznamu"/>
        <w:numPr>
          <w:ilvl w:val="0"/>
          <w:numId w:val="68"/>
        </w:numPr>
        <w:ind w:left="1418" w:hanging="284"/>
        <w:jc w:val="both"/>
        <w:rPr>
          <w:sz w:val="22"/>
          <w:szCs w:val="22"/>
        </w:rPr>
      </w:pPr>
      <w:r w:rsidRPr="00FF28BC">
        <w:rPr>
          <w:sz w:val="22"/>
          <w:szCs w:val="22"/>
        </w:rPr>
        <w:t>Riešenie bezpečnostných opatrení pre cloudové služby</w:t>
      </w:r>
    </w:p>
    <w:p w:rsidR="00E92F9B" w:rsidRDefault="003970E4" w:rsidP="00FE6025">
      <w:pPr>
        <w:pStyle w:val="Odsekzoznamu"/>
        <w:numPr>
          <w:ilvl w:val="0"/>
          <w:numId w:val="68"/>
        </w:numPr>
        <w:ind w:left="1418" w:hanging="284"/>
        <w:jc w:val="both"/>
        <w:rPr>
          <w:sz w:val="22"/>
          <w:szCs w:val="22"/>
        </w:rPr>
      </w:pPr>
      <w:r>
        <w:rPr>
          <w:sz w:val="22"/>
          <w:szCs w:val="22"/>
        </w:rPr>
        <w:t xml:space="preserve">Implementácia podporných systémov na zabezpečenie prevádzky podpory </w:t>
      </w:r>
      <w:proofErr w:type="spellStart"/>
      <w:r>
        <w:rPr>
          <w:sz w:val="22"/>
          <w:szCs w:val="22"/>
        </w:rPr>
        <w:t>cloudového</w:t>
      </w:r>
      <w:proofErr w:type="spellEnd"/>
      <w:r>
        <w:rPr>
          <w:sz w:val="22"/>
          <w:szCs w:val="22"/>
        </w:rPr>
        <w:t xml:space="preserve"> prostredia</w:t>
      </w:r>
    </w:p>
    <w:p w:rsidR="00FF28BC" w:rsidRPr="00FF28BC" w:rsidRDefault="00FF28BC" w:rsidP="00FE6025">
      <w:pPr>
        <w:pStyle w:val="Odsekzoznamu"/>
        <w:numPr>
          <w:ilvl w:val="0"/>
          <w:numId w:val="67"/>
        </w:numPr>
        <w:jc w:val="both"/>
        <w:rPr>
          <w:sz w:val="22"/>
          <w:szCs w:val="22"/>
        </w:rPr>
      </w:pPr>
      <w:r w:rsidRPr="00FF28BC">
        <w:rPr>
          <w:sz w:val="22"/>
          <w:szCs w:val="22"/>
        </w:rPr>
        <w:t xml:space="preserve">Prechod prevádzky informačných systémov </w:t>
      </w:r>
      <w:r w:rsidR="00C13ABC">
        <w:rPr>
          <w:sz w:val="22"/>
          <w:szCs w:val="22"/>
        </w:rPr>
        <w:t>VS</w:t>
      </w:r>
      <w:r w:rsidRPr="00FF28BC">
        <w:rPr>
          <w:sz w:val="22"/>
          <w:szCs w:val="22"/>
        </w:rPr>
        <w:t xml:space="preserve"> do eGovernment cloudu:</w:t>
      </w:r>
    </w:p>
    <w:p w:rsidR="00E92F9B" w:rsidRDefault="00FF28BC" w:rsidP="00FE6025">
      <w:pPr>
        <w:pStyle w:val="Odsekzoznamu"/>
        <w:numPr>
          <w:ilvl w:val="0"/>
          <w:numId w:val="68"/>
        </w:numPr>
        <w:ind w:left="1418" w:hanging="284"/>
        <w:jc w:val="both"/>
        <w:rPr>
          <w:sz w:val="22"/>
          <w:szCs w:val="22"/>
        </w:rPr>
      </w:pPr>
      <w:r w:rsidRPr="00FF28BC">
        <w:rPr>
          <w:sz w:val="22"/>
          <w:szCs w:val="22"/>
        </w:rPr>
        <w:t xml:space="preserve">Analýza možností migrácie do eGovernment cloudu pre inštitúcie </w:t>
      </w:r>
      <w:r w:rsidR="00C13ABC">
        <w:rPr>
          <w:sz w:val="22"/>
          <w:szCs w:val="22"/>
        </w:rPr>
        <w:t>VS</w:t>
      </w:r>
    </w:p>
    <w:p w:rsidR="00E92F9B" w:rsidRDefault="00FF28BC" w:rsidP="00FE6025">
      <w:pPr>
        <w:pStyle w:val="Odsekzoznamu"/>
        <w:numPr>
          <w:ilvl w:val="0"/>
          <w:numId w:val="68"/>
        </w:numPr>
        <w:ind w:left="1418" w:hanging="284"/>
        <w:jc w:val="both"/>
        <w:rPr>
          <w:sz w:val="22"/>
          <w:szCs w:val="22"/>
        </w:rPr>
      </w:pPr>
      <w:r w:rsidRPr="00FF28BC">
        <w:rPr>
          <w:sz w:val="22"/>
          <w:szCs w:val="22"/>
        </w:rPr>
        <w:t xml:space="preserve">Migrácia informačných systémov </w:t>
      </w:r>
      <w:r w:rsidR="00C13ABC">
        <w:rPr>
          <w:sz w:val="22"/>
          <w:szCs w:val="22"/>
        </w:rPr>
        <w:t>VS</w:t>
      </w:r>
      <w:r w:rsidR="00B55AAD">
        <w:rPr>
          <w:sz w:val="22"/>
          <w:szCs w:val="22"/>
        </w:rPr>
        <w:t xml:space="preserve"> do eGovernment cloudu</w:t>
      </w:r>
    </w:p>
    <w:p w:rsidR="00E92F9B" w:rsidRDefault="00FF28BC" w:rsidP="00FE6025">
      <w:pPr>
        <w:pStyle w:val="Odsekzoznamu"/>
        <w:numPr>
          <w:ilvl w:val="0"/>
          <w:numId w:val="68"/>
        </w:numPr>
        <w:ind w:left="1418" w:hanging="284"/>
        <w:jc w:val="both"/>
        <w:rPr>
          <w:sz w:val="22"/>
          <w:szCs w:val="22"/>
        </w:rPr>
      </w:pPr>
      <w:r w:rsidRPr="00304011">
        <w:rPr>
          <w:sz w:val="22"/>
          <w:szCs w:val="22"/>
        </w:rPr>
        <w:t>Zabezpečeni</w:t>
      </w:r>
      <w:r w:rsidR="001355D9">
        <w:rPr>
          <w:sz w:val="22"/>
          <w:szCs w:val="22"/>
        </w:rPr>
        <w:t xml:space="preserve">e využívania </w:t>
      </w:r>
      <w:proofErr w:type="spellStart"/>
      <w:r w:rsidR="001355D9">
        <w:rPr>
          <w:sz w:val="22"/>
          <w:szCs w:val="22"/>
        </w:rPr>
        <w:t>cloudových</w:t>
      </w:r>
      <w:proofErr w:type="spellEnd"/>
      <w:r w:rsidR="001355D9">
        <w:rPr>
          <w:sz w:val="22"/>
          <w:szCs w:val="22"/>
        </w:rPr>
        <w:t xml:space="preserve"> služieb</w:t>
      </w:r>
    </w:p>
    <w:p w:rsidR="00E92F9B" w:rsidRDefault="001218A8">
      <w:pPr>
        <w:jc w:val="both"/>
        <w:rPr>
          <w:sz w:val="22"/>
          <w:szCs w:val="22"/>
        </w:rPr>
      </w:pPr>
      <w:r w:rsidRPr="001218A8">
        <w:rPr>
          <w:sz w:val="22"/>
          <w:szCs w:val="22"/>
        </w:rPr>
        <w:t>ŠC 7.9</w:t>
      </w:r>
    </w:p>
    <w:p w:rsidR="00FF28BC" w:rsidRPr="00FF28BC" w:rsidRDefault="00FF28BC" w:rsidP="00FE6025">
      <w:pPr>
        <w:pStyle w:val="Odsekzoznamu"/>
        <w:numPr>
          <w:ilvl w:val="0"/>
          <w:numId w:val="67"/>
        </w:numPr>
        <w:jc w:val="both"/>
        <w:rPr>
          <w:sz w:val="22"/>
          <w:szCs w:val="22"/>
        </w:rPr>
      </w:pPr>
      <w:r w:rsidRPr="00FF28BC">
        <w:rPr>
          <w:sz w:val="22"/>
          <w:szCs w:val="22"/>
        </w:rPr>
        <w:t xml:space="preserve">Zabezpečenie komplexnej kybernetickej bezpečnosti </w:t>
      </w:r>
      <w:r w:rsidR="00C13ABC">
        <w:rPr>
          <w:sz w:val="22"/>
          <w:szCs w:val="22"/>
        </w:rPr>
        <w:t>v spoločnosti</w:t>
      </w:r>
      <w:r w:rsidR="00304011">
        <w:rPr>
          <w:sz w:val="22"/>
          <w:szCs w:val="22"/>
        </w:rPr>
        <w:t>:</w:t>
      </w:r>
    </w:p>
    <w:p w:rsidR="00E92F9B" w:rsidRDefault="00FF28BC" w:rsidP="00FE6025">
      <w:pPr>
        <w:pStyle w:val="Odsekzoznamu"/>
        <w:numPr>
          <w:ilvl w:val="0"/>
          <w:numId w:val="68"/>
        </w:numPr>
        <w:ind w:left="1418" w:hanging="284"/>
        <w:jc w:val="both"/>
        <w:rPr>
          <w:sz w:val="22"/>
          <w:szCs w:val="22"/>
        </w:rPr>
      </w:pPr>
      <w:r w:rsidRPr="00FF28BC">
        <w:rPr>
          <w:sz w:val="22"/>
          <w:szCs w:val="22"/>
        </w:rPr>
        <w:t>Vytvorenie nástrojov na rozpoznanie, monitorovanie a riadenie bezpečnostných incidentov</w:t>
      </w:r>
    </w:p>
    <w:p w:rsidR="00E92F9B" w:rsidRDefault="00FF28BC" w:rsidP="00FE6025">
      <w:pPr>
        <w:pStyle w:val="Odsekzoznamu"/>
        <w:numPr>
          <w:ilvl w:val="0"/>
          <w:numId w:val="68"/>
        </w:numPr>
        <w:ind w:left="1418" w:hanging="284"/>
        <w:jc w:val="both"/>
        <w:rPr>
          <w:sz w:val="22"/>
          <w:szCs w:val="22"/>
        </w:rPr>
      </w:pPr>
      <w:r w:rsidRPr="00FF28BC">
        <w:rPr>
          <w:sz w:val="22"/>
          <w:szCs w:val="22"/>
        </w:rPr>
        <w:t>Zabezp</w:t>
      </w:r>
      <w:r w:rsidR="00B55AAD">
        <w:rPr>
          <w:sz w:val="22"/>
          <w:szCs w:val="22"/>
        </w:rPr>
        <w:t>ečenie kritickej infraštruktúry</w:t>
      </w:r>
    </w:p>
    <w:p w:rsidR="00E92F9B" w:rsidRDefault="00FF28BC" w:rsidP="00FE6025">
      <w:pPr>
        <w:pStyle w:val="Odsekzoznamu"/>
        <w:numPr>
          <w:ilvl w:val="0"/>
          <w:numId w:val="68"/>
        </w:numPr>
        <w:ind w:left="1418" w:hanging="284"/>
        <w:jc w:val="both"/>
        <w:rPr>
          <w:sz w:val="22"/>
          <w:szCs w:val="22"/>
        </w:rPr>
      </w:pPr>
      <w:r w:rsidRPr="00FF28BC">
        <w:rPr>
          <w:sz w:val="22"/>
          <w:szCs w:val="22"/>
        </w:rPr>
        <w:t>Zavádzanie európskej stratégie pre kybernetickú bezpečnosť</w:t>
      </w:r>
    </w:p>
    <w:p w:rsidR="00E92F9B" w:rsidRDefault="00E92F9B">
      <w:pPr>
        <w:pStyle w:val="Odsekzoznamu"/>
        <w:jc w:val="both"/>
        <w:rPr>
          <w:sz w:val="22"/>
          <w:szCs w:val="22"/>
        </w:rPr>
      </w:pPr>
    </w:p>
    <w:p w:rsidR="00E92F9B" w:rsidRDefault="00FF28BC" w:rsidP="00FE6025">
      <w:pPr>
        <w:pStyle w:val="Odsekzoznamu"/>
        <w:numPr>
          <w:ilvl w:val="0"/>
          <w:numId w:val="69"/>
        </w:numPr>
        <w:spacing w:before="180" w:after="120"/>
        <w:jc w:val="both"/>
        <w:rPr>
          <w:b/>
          <w:i/>
          <w:color w:val="4F81BD" w:themeColor="accent1"/>
          <w:sz w:val="22"/>
          <w:szCs w:val="22"/>
        </w:rPr>
      </w:pPr>
      <w:r w:rsidRPr="00FF28BC">
        <w:rPr>
          <w:b/>
          <w:i/>
          <w:color w:val="4F81BD" w:themeColor="accent1"/>
          <w:sz w:val="22"/>
          <w:szCs w:val="22"/>
        </w:rPr>
        <w:t>Kompozícia elektronických služieb do zjednodušených životných situácií</w:t>
      </w:r>
    </w:p>
    <w:p w:rsidR="00FF28BC" w:rsidRPr="001A513D" w:rsidRDefault="00FF28BC" w:rsidP="001355D9">
      <w:pPr>
        <w:pStyle w:val="06Normal"/>
        <w:spacing w:after="120"/>
      </w:pPr>
      <w:r>
        <w:t xml:space="preserve">Pohodlnejšie používanie eGovernmentu sa docieli identifikovaním vhodných životných situácií, ktoré bude môcť občan vybaviť elektronicky. Cieľom </w:t>
      </w:r>
      <w:r w:rsidR="00BB4AD2">
        <w:t>je</w:t>
      </w:r>
      <w:r>
        <w:t xml:space="preserve"> </w:t>
      </w:r>
      <w:r w:rsidR="00304011">
        <w:t>zjednodušiť</w:t>
      </w:r>
      <w:r>
        <w:t xml:space="preserve"> vybavenie situácie a zautomatizovať procesy obsluhy občana a podnikateľa. Životné situácie budú z pohľadu občana implementované prepojením </w:t>
      </w:r>
      <w:r w:rsidRPr="001A513D">
        <w:t xml:space="preserve">eGov </w:t>
      </w:r>
      <w:r>
        <w:t xml:space="preserve">služieb z jedného alebo viacerých úsekov </w:t>
      </w:r>
      <w:r w:rsidR="00A00DAE">
        <w:t>VS</w:t>
      </w:r>
      <w:r>
        <w:t xml:space="preserve">. </w:t>
      </w:r>
      <w:r w:rsidRPr="001A513D">
        <w:t>Komunikácia bude prebiehať interaktívnou formou</w:t>
      </w:r>
      <w:r w:rsidR="00DE2B09">
        <w:t xml:space="preserve"> a</w:t>
      </w:r>
      <w:r w:rsidR="00BA5FC4">
        <w:t xml:space="preserve"> </w:t>
      </w:r>
      <w:r w:rsidRPr="001A513D">
        <w:t xml:space="preserve">občan bude podávať len nové informácie. </w:t>
      </w:r>
    </w:p>
    <w:p w:rsidR="00E92F9B" w:rsidRDefault="00FF28BC" w:rsidP="00FE6025">
      <w:pPr>
        <w:pStyle w:val="Odsekzoznamu"/>
        <w:numPr>
          <w:ilvl w:val="0"/>
          <w:numId w:val="69"/>
        </w:numPr>
        <w:autoSpaceDE w:val="0"/>
        <w:autoSpaceDN w:val="0"/>
        <w:adjustRightInd w:val="0"/>
        <w:spacing w:before="180" w:after="120"/>
        <w:jc w:val="both"/>
        <w:rPr>
          <w:b/>
          <w:i/>
          <w:color w:val="4F81BD" w:themeColor="accent1"/>
          <w:sz w:val="22"/>
          <w:szCs w:val="22"/>
        </w:rPr>
      </w:pPr>
      <w:r w:rsidRPr="00FF28BC">
        <w:rPr>
          <w:b/>
          <w:i/>
          <w:color w:val="4F81BD" w:themeColor="accent1"/>
          <w:sz w:val="22"/>
          <w:szCs w:val="22"/>
        </w:rPr>
        <w:t>Zavedenie inovatívnych elektronických služieb verejnej správy pre občanov a podnikateľov</w:t>
      </w:r>
    </w:p>
    <w:p w:rsidR="00445E30" w:rsidRDefault="00FF28BC" w:rsidP="001355D9">
      <w:pPr>
        <w:spacing w:after="120"/>
        <w:jc w:val="both"/>
        <w:rPr>
          <w:color w:val="000000" w:themeColor="text1"/>
          <w:sz w:val="22"/>
          <w:szCs w:val="22"/>
        </w:rPr>
      </w:pPr>
      <w:r w:rsidRPr="00FF28BC">
        <w:rPr>
          <w:color w:val="000000" w:themeColor="text1"/>
          <w:sz w:val="22"/>
          <w:szCs w:val="22"/>
        </w:rPr>
        <w:t>Identifikujú sa služby s pridanou hodnotou založené n</w:t>
      </w:r>
      <w:r w:rsidR="001355D9">
        <w:rPr>
          <w:color w:val="000000" w:themeColor="text1"/>
          <w:sz w:val="22"/>
          <w:szCs w:val="22"/>
        </w:rPr>
        <w:t>a nových dostupných dátach</w:t>
      </w:r>
      <w:r w:rsidRPr="00FF28BC">
        <w:rPr>
          <w:color w:val="000000" w:themeColor="text1"/>
          <w:sz w:val="22"/>
          <w:szCs w:val="22"/>
        </w:rPr>
        <w:t xml:space="preserve"> v oblastiach, ako </w:t>
      </w:r>
      <w:r w:rsidR="00B915D0">
        <w:rPr>
          <w:color w:val="000000" w:themeColor="text1"/>
          <w:sz w:val="22"/>
          <w:szCs w:val="22"/>
        </w:rPr>
        <w:t>napr.</w:t>
      </w:r>
      <w:r w:rsidRPr="00FF28BC">
        <w:rPr>
          <w:color w:val="000000" w:themeColor="text1"/>
          <w:sz w:val="22"/>
          <w:szCs w:val="22"/>
        </w:rPr>
        <w:t xml:space="preserve"> zdravie, zvyšovanie transparentnosti, sociálna starostlivosť, vzdelávanie, zamestnanosť, doprava, bezpečnosť, podpora podnikateľského prostredia a pod. Vykoná sa analýza vhodných eGov služieb, ktoré má zmysel posunúť na proaktívnu úroveň. Na strane informačných systémov </w:t>
      </w:r>
      <w:r w:rsidR="00B915D0">
        <w:rPr>
          <w:color w:val="000000" w:themeColor="text1"/>
          <w:sz w:val="22"/>
          <w:szCs w:val="22"/>
        </w:rPr>
        <w:t>VS</w:t>
      </w:r>
      <w:r w:rsidRPr="00FF28BC">
        <w:rPr>
          <w:color w:val="000000" w:themeColor="text1"/>
          <w:sz w:val="22"/>
          <w:szCs w:val="22"/>
        </w:rPr>
        <w:t xml:space="preserve"> bude realizovaný redizajn služieb s ohľadom na vhodnú úroveň proaktivity. Riešená bude aj oblasť výstrah a varovaní občanov. Vybrané inštitúcie </w:t>
      </w:r>
      <w:r w:rsidR="00B915D0">
        <w:rPr>
          <w:color w:val="000000" w:themeColor="text1"/>
          <w:sz w:val="22"/>
          <w:szCs w:val="22"/>
        </w:rPr>
        <w:t>VS</w:t>
      </w:r>
      <w:r w:rsidRPr="00FF28BC">
        <w:rPr>
          <w:color w:val="000000" w:themeColor="text1"/>
          <w:sz w:val="22"/>
          <w:szCs w:val="22"/>
        </w:rPr>
        <w:t xml:space="preserve"> </w:t>
      </w:r>
      <w:r w:rsidR="00DE2B09">
        <w:rPr>
          <w:color w:val="000000" w:themeColor="text1"/>
          <w:sz w:val="22"/>
          <w:szCs w:val="22"/>
        </w:rPr>
        <w:t>budú</w:t>
      </w:r>
      <w:r w:rsidRPr="00FF28BC">
        <w:rPr>
          <w:color w:val="000000" w:themeColor="text1"/>
          <w:sz w:val="22"/>
          <w:szCs w:val="22"/>
        </w:rPr>
        <w:t xml:space="preserve"> sledovať faktory ovplyvňujúce život v jednotlivých lokalitách a sprístupňovať takéto informácie vo forme výstrah a varovaní. </w:t>
      </w:r>
      <w:r w:rsidR="00FC24A3">
        <w:rPr>
          <w:color w:val="000000" w:themeColor="text1"/>
          <w:sz w:val="22"/>
          <w:szCs w:val="22"/>
        </w:rPr>
        <w:t>Z</w:t>
      </w:r>
      <w:r w:rsidRPr="00FF28BC">
        <w:rPr>
          <w:color w:val="000000" w:themeColor="text1"/>
          <w:sz w:val="22"/>
          <w:szCs w:val="22"/>
        </w:rPr>
        <w:t xml:space="preserve">realizuje </w:t>
      </w:r>
      <w:r w:rsidR="00FC24A3">
        <w:rPr>
          <w:color w:val="000000" w:themeColor="text1"/>
          <w:sz w:val="22"/>
          <w:szCs w:val="22"/>
        </w:rPr>
        <w:t xml:space="preserve">sa </w:t>
      </w:r>
      <w:r w:rsidRPr="00FF28BC">
        <w:rPr>
          <w:color w:val="000000" w:themeColor="text1"/>
          <w:sz w:val="22"/>
          <w:szCs w:val="22"/>
        </w:rPr>
        <w:t>automatizácia procesov zberu údajov a vznikne jednotný systém pre komunikáciu takýchto správ.</w:t>
      </w:r>
      <w:r w:rsidR="00304011">
        <w:rPr>
          <w:color w:val="000000" w:themeColor="text1"/>
          <w:sz w:val="22"/>
          <w:szCs w:val="22"/>
        </w:rPr>
        <w:t xml:space="preserve"> </w:t>
      </w:r>
      <w:r w:rsidRPr="00FF28BC">
        <w:rPr>
          <w:color w:val="000000" w:themeColor="text1"/>
          <w:sz w:val="22"/>
          <w:szCs w:val="22"/>
        </w:rPr>
        <w:t xml:space="preserve">Inštitúcie </w:t>
      </w:r>
      <w:r w:rsidR="00B915D0">
        <w:rPr>
          <w:color w:val="000000" w:themeColor="text1"/>
          <w:sz w:val="22"/>
          <w:szCs w:val="22"/>
        </w:rPr>
        <w:t>VS</w:t>
      </w:r>
      <w:r w:rsidRPr="00FF28BC">
        <w:rPr>
          <w:color w:val="000000" w:themeColor="text1"/>
          <w:sz w:val="22"/>
          <w:szCs w:val="22"/>
        </w:rPr>
        <w:t xml:space="preserve"> budú zavádzať služby postavené na interpretácii priestorových informácií, čím sa otvoria nové možnosti pre inovácie</w:t>
      </w:r>
      <w:r w:rsidR="00FC24A3">
        <w:rPr>
          <w:color w:val="000000" w:themeColor="text1"/>
          <w:sz w:val="22"/>
          <w:szCs w:val="22"/>
        </w:rPr>
        <w:t xml:space="preserve"> a </w:t>
      </w:r>
      <w:r w:rsidRPr="00FF28BC">
        <w:rPr>
          <w:color w:val="000000" w:themeColor="text1"/>
          <w:sz w:val="22"/>
          <w:szCs w:val="22"/>
        </w:rPr>
        <w:t>zjednodušenie života občanov a podnikania.</w:t>
      </w:r>
    </w:p>
    <w:p w:rsidR="00E92F9B" w:rsidRDefault="0096656C" w:rsidP="00FE6025">
      <w:pPr>
        <w:pStyle w:val="Odsekzoznamu"/>
        <w:numPr>
          <w:ilvl w:val="0"/>
          <w:numId w:val="69"/>
        </w:numPr>
        <w:spacing w:after="180"/>
        <w:jc w:val="both"/>
        <w:rPr>
          <w:b/>
          <w:i/>
          <w:color w:val="4F81BD" w:themeColor="accent1"/>
          <w:sz w:val="22"/>
          <w:szCs w:val="22"/>
        </w:rPr>
      </w:pPr>
      <w:r w:rsidRPr="0096656C">
        <w:rPr>
          <w:b/>
          <w:i/>
          <w:color w:val="4F81BD" w:themeColor="accent1"/>
          <w:sz w:val="22"/>
          <w:szCs w:val="22"/>
        </w:rPr>
        <w:t>Zavedenie služieb a aplikácií pre mobilný government</w:t>
      </w:r>
    </w:p>
    <w:p w:rsidR="00445E30" w:rsidRDefault="0096656C" w:rsidP="0096656C">
      <w:pPr>
        <w:pStyle w:val="06Normal"/>
        <w:spacing w:before="0" w:after="120"/>
        <w:rPr>
          <w:rStyle w:val="06NormalChar"/>
          <w:lang w:eastAsia="sk-SK"/>
        </w:rPr>
      </w:pPr>
      <w:r w:rsidRPr="0096656C">
        <w:rPr>
          <w:rStyle w:val="06NormalChar"/>
          <w:lang w:eastAsia="sk-SK"/>
        </w:rPr>
        <w:t xml:space="preserve">Inteligentné mobilné zariadenia majú už v súčasnosti dostatočný výkon pre náročné úlohy a sú </w:t>
      </w:r>
      <w:r w:rsidR="00DE2B09">
        <w:rPr>
          <w:rStyle w:val="06NormalChar"/>
          <w:lang w:eastAsia="sk-SK"/>
        </w:rPr>
        <w:t>vhodné</w:t>
      </w:r>
      <w:r w:rsidRPr="0096656C">
        <w:rPr>
          <w:rStyle w:val="06NormalChar"/>
          <w:lang w:eastAsia="sk-SK"/>
        </w:rPr>
        <w:t xml:space="preserve"> na prácu s cloudovými aplikáciami. </w:t>
      </w:r>
      <w:r w:rsidR="00E16BAA">
        <w:rPr>
          <w:rStyle w:val="06NormalChar"/>
          <w:lang w:eastAsia="sk-SK"/>
        </w:rPr>
        <w:t>Prvoradé</w:t>
      </w:r>
      <w:r w:rsidRPr="0096656C">
        <w:rPr>
          <w:rStyle w:val="06NormalChar"/>
          <w:lang w:eastAsia="sk-SK"/>
        </w:rPr>
        <w:t xml:space="preserve"> je určenie životných situácií, pre ktoré je vhodné použiť interakciu s občanom cez mobilné zariadenie.</w:t>
      </w:r>
      <w:r w:rsidR="00B915D0">
        <w:rPr>
          <w:rStyle w:val="06NormalChar"/>
          <w:lang w:eastAsia="sk-SK"/>
        </w:rPr>
        <w:t xml:space="preserve"> </w:t>
      </w:r>
      <w:r w:rsidR="00E16BAA">
        <w:rPr>
          <w:rStyle w:val="06NormalChar"/>
          <w:lang w:eastAsia="sk-SK"/>
        </w:rPr>
        <w:t>Ďalej</w:t>
      </w:r>
      <w:r w:rsidRPr="0096656C">
        <w:rPr>
          <w:rStyle w:val="06NormalChar"/>
          <w:lang w:eastAsia="sk-SK"/>
        </w:rPr>
        <w:t xml:space="preserve"> sa vytvorí  platforma pre tvorbu a nasadzovanie mobilných aplikácií a služieb. Pri tvorbe služieb pre mobilný government pôjde o zmenu používateľského rozhrania s ohľadom na možnosti mobilných zariadení.</w:t>
      </w:r>
      <w:r w:rsidR="003671C3">
        <w:rPr>
          <w:rStyle w:val="06NormalChar"/>
          <w:lang w:eastAsia="sk-SK"/>
        </w:rPr>
        <w:t xml:space="preserve"> </w:t>
      </w:r>
      <w:r w:rsidR="001218A8" w:rsidRPr="001218A8">
        <w:rPr>
          <w:rStyle w:val="06NormalChar"/>
          <w:lang w:eastAsia="sk-SK"/>
        </w:rPr>
        <w:t>M</w:t>
      </w:r>
      <w:r w:rsidRPr="0096656C">
        <w:rPr>
          <w:rStyle w:val="06NormalChar"/>
          <w:lang w:eastAsia="sk-SK"/>
        </w:rPr>
        <w:t>obilné služby a aplikácie budú podporovať tvorbu obsahu a využívanie určovania polohy</w:t>
      </w:r>
      <w:r w:rsidR="003671C3">
        <w:rPr>
          <w:rStyle w:val="06NormalChar"/>
          <w:lang w:eastAsia="sk-SK"/>
        </w:rPr>
        <w:t>, z</w:t>
      </w:r>
      <w:r w:rsidRPr="0096656C">
        <w:rPr>
          <w:rStyle w:val="06NormalChar"/>
          <w:lang w:eastAsia="sk-SK"/>
        </w:rPr>
        <w:t xml:space="preserve">avedie sa interaktívna komunikácia s </w:t>
      </w:r>
      <w:r w:rsidR="000F57DE">
        <w:rPr>
          <w:rStyle w:val="06NormalChar"/>
          <w:lang w:eastAsia="sk-SK"/>
        </w:rPr>
        <w:t>VS</w:t>
      </w:r>
      <w:r w:rsidRPr="0096656C">
        <w:rPr>
          <w:rStyle w:val="06NormalChar"/>
          <w:lang w:eastAsia="sk-SK"/>
        </w:rPr>
        <w:t>, čím sa výrazne zlepší spôsob udeľovania súhlasov zo strany občana</w:t>
      </w:r>
      <w:r w:rsidR="003671C3">
        <w:rPr>
          <w:rStyle w:val="06NormalChar"/>
          <w:lang w:eastAsia="sk-SK"/>
        </w:rPr>
        <w:t xml:space="preserve"> a z</w:t>
      </w:r>
      <w:r w:rsidRPr="0096656C">
        <w:rPr>
          <w:rStyle w:val="06NormalChar"/>
          <w:lang w:eastAsia="sk-SK"/>
        </w:rPr>
        <w:t xml:space="preserve">avedú sa mobilné platby za </w:t>
      </w:r>
      <w:r w:rsidRPr="0096656C">
        <w:rPr>
          <w:rStyle w:val="06NormalChar"/>
          <w:lang w:eastAsia="sk-SK"/>
        </w:rPr>
        <w:lastRenderedPageBreak/>
        <w:t xml:space="preserve">služby </w:t>
      </w:r>
      <w:r w:rsidR="000F57DE">
        <w:rPr>
          <w:rStyle w:val="06NormalChar"/>
          <w:lang w:eastAsia="sk-SK"/>
        </w:rPr>
        <w:t>VS</w:t>
      </w:r>
      <w:r w:rsidRPr="0096656C">
        <w:rPr>
          <w:rStyle w:val="06NormalChar"/>
          <w:lang w:eastAsia="sk-SK"/>
        </w:rPr>
        <w:t>.</w:t>
      </w:r>
      <w:r w:rsidR="003671C3">
        <w:rPr>
          <w:rStyle w:val="06NormalChar"/>
          <w:lang w:eastAsia="sk-SK"/>
        </w:rPr>
        <w:t xml:space="preserve"> </w:t>
      </w:r>
      <w:r w:rsidRPr="0096656C">
        <w:rPr>
          <w:rStyle w:val="06NormalChar"/>
          <w:lang w:eastAsia="sk-SK"/>
        </w:rPr>
        <w:t>Umožní sa, aby mobilné zariadenie mohlo byť použité ako identifikačný a autentifikačný prostriedok v eGovernmente.</w:t>
      </w:r>
    </w:p>
    <w:p w:rsidR="0096656C" w:rsidRDefault="0096656C" w:rsidP="00FE6025">
      <w:pPr>
        <w:pStyle w:val="Odsekzoznamu"/>
        <w:numPr>
          <w:ilvl w:val="0"/>
          <w:numId w:val="69"/>
        </w:numPr>
        <w:spacing w:after="180"/>
        <w:jc w:val="both"/>
        <w:rPr>
          <w:b/>
          <w:i/>
          <w:color w:val="4F81BD" w:themeColor="accent1"/>
          <w:sz w:val="22"/>
          <w:szCs w:val="22"/>
        </w:rPr>
      </w:pPr>
      <w:r w:rsidRPr="0096656C">
        <w:rPr>
          <w:b/>
          <w:i/>
          <w:color w:val="4F81BD" w:themeColor="accent1"/>
          <w:sz w:val="22"/>
          <w:szCs w:val="22"/>
        </w:rPr>
        <w:t>Riešenie cezhraničnej kompatibility</w:t>
      </w:r>
    </w:p>
    <w:p w:rsidR="00E92F9B" w:rsidRDefault="0096656C">
      <w:pPr>
        <w:pStyle w:val="06Normal"/>
        <w:spacing w:after="120"/>
      </w:pPr>
      <w:r>
        <w:t>Pri implementácii</w:t>
      </w:r>
      <w:r w:rsidRPr="001A513D">
        <w:t xml:space="preserve"> služieb sa </w:t>
      </w:r>
      <w:r>
        <w:t>zohľadní</w:t>
      </w:r>
      <w:r w:rsidRPr="001A513D">
        <w:t xml:space="preserve"> potreba cezhraničnej interoperability, aby vybrané služby boli prístupné pre obyvateľov </w:t>
      </w:r>
      <w:r>
        <w:t>EÚ</w:t>
      </w:r>
      <w:r w:rsidRPr="001A513D">
        <w:t>.</w:t>
      </w:r>
      <w:r>
        <w:t xml:space="preserve"> </w:t>
      </w:r>
      <w:r w:rsidRPr="001A513D">
        <w:t xml:space="preserve">Pri ich implementácii bude kladený dôraz na prekonávanie  koncepčných, ekonomických, legislatívnych, technologických a sémantických bariér. Cezhraničné poskytovanie služieb elektronickej </w:t>
      </w:r>
      <w:r w:rsidR="00FC24A3">
        <w:t>VS</w:t>
      </w:r>
      <w:r w:rsidRPr="001A513D">
        <w:t xml:space="preserve"> bude založené na interoperabilnej identifikácii a autentifikácii.</w:t>
      </w:r>
    </w:p>
    <w:p w:rsidR="0096656C" w:rsidRDefault="0096656C" w:rsidP="00FE6025">
      <w:pPr>
        <w:pStyle w:val="Odsekzoznamu"/>
        <w:numPr>
          <w:ilvl w:val="0"/>
          <w:numId w:val="69"/>
        </w:numPr>
        <w:spacing w:after="180"/>
        <w:jc w:val="both"/>
        <w:rPr>
          <w:b/>
          <w:i/>
          <w:color w:val="4F81BD" w:themeColor="accent1"/>
          <w:sz w:val="22"/>
          <w:szCs w:val="22"/>
        </w:rPr>
      </w:pPr>
      <w:r w:rsidRPr="0096656C">
        <w:rPr>
          <w:b/>
          <w:i/>
          <w:color w:val="4F81BD" w:themeColor="accent1"/>
          <w:sz w:val="22"/>
          <w:szCs w:val="22"/>
        </w:rPr>
        <w:t>Vytvorenie koncepcie pre vytváranie a využívanie otvorených dát</w:t>
      </w:r>
    </w:p>
    <w:p w:rsidR="00E92F9B" w:rsidRDefault="0096656C">
      <w:pPr>
        <w:spacing w:before="120" w:after="60"/>
        <w:jc w:val="both"/>
        <w:rPr>
          <w:sz w:val="22"/>
          <w:szCs w:val="20"/>
          <w:lang w:eastAsia="en-US"/>
        </w:rPr>
      </w:pPr>
      <w:r w:rsidRPr="00775BC0">
        <w:rPr>
          <w:sz w:val="22"/>
          <w:szCs w:val="20"/>
          <w:lang w:eastAsia="en-US"/>
        </w:rPr>
        <w:t xml:space="preserve">Prvým krokom v oblasti otvorených dát bude vytvorenie presného konceptu pre </w:t>
      </w:r>
      <w:r w:rsidR="001B1001">
        <w:rPr>
          <w:sz w:val="22"/>
          <w:szCs w:val="20"/>
          <w:lang w:eastAsia="en-US"/>
        </w:rPr>
        <w:t xml:space="preserve">ich </w:t>
      </w:r>
      <w:r w:rsidRPr="00775BC0">
        <w:rPr>
          <w:sz w:val="22"/>
          <w:szCs w:val="20"/>
          <w:lang w:eastAsia="en-US"/>
        </w:rPr>
        <w:t xml:space="preserve">používanie vo </w:t>
      </w:r>
      <w:r w:rsidR="001B1001">
        <w:rPr>
          <w:sz w:val="22"/>
          <w:szCs w:val="20"/>
          <w:lang w:eastAsia="en-US"/>
        </w:rPr>
        <w:t>VS, ktorý bude pozostávať z</w:t>
      </w:r>
      <w:r w:rsidR="001B1001">
        <w:rPr>
          <w:sz w:val="22"/>
          <w:szCs w:val="20"/>
          <w:lang w:eastAsia="cs-CZ"/>
        </w:rPr>
        <w:t xml:space="preserve"> k</w:t>
      </w:r>
      <w:r w:rsidR="001218A8" w:rsidRPr="001218A8">
        <w:rPr>
          <w:sz w:val="22"/>
          <w:szCs w:val="20"/>
          <w:lang w:eastAsia="cs-CZ"/>
        </w:rPr>
        <w:t>lasifikáci</w:t>
      </w:r>
      <w:r w:rsidR="001B1001">
        <w:rPr>
          <w:sz w:val="22"/>
          <w:szCs w:val="20"/>
          <w:lang w:eastAsia="cs-CZ"/>
        </w:rPr>
        <w:t>e</w:t>
      </w:r>
      <w:r w:rsidR="001218A8" w:rsidRPr="001218A8">
        <w:rPr>
          <w:sz w:val="22"/>
          <w:szCs w:val="20"/>
          <w:lang w:eastAsia="cs-CZ"/>
        </w:rPr>
        <w:t xml:space="preserve"> dát verejnej správy</w:t>
      </w:r>
      <w:r w:rsidR="001B1001">
        <w:rPr>
          <w:sz w:val="22"/>
          <w:szCs w:val="20"/>
          <w:lang w:eastAsia="cs-CZ"/>
        </w:rPr>
        <w:t>, ich a</w:t>
      </w:r>
      <w:r w:rsidR="001218A8" w:rsidRPr="001218A8">
        <w:rPr>
          <w:sz w:val="22"/>
          <w:szCs w:val="20"/>
          <w:lang w:eastAsia="cs-CZ"/>
        </w:rPr>
        <w:t>nalýz</w:t>
      </w:r>
      <w:r w:rsidR="001B1001">
        <w:rPr>
          <w:sz w:val="22"/>
          <w:szCs w:val="20"/>
          <w:lang w:eastAsia="cs-CZ"/>
        </w:rPr>
        <w:t>y</w:t>
      </w:r>
      <w:r w:rsidR="001218A8" w:rsidRPr="001218A8">
        <w:rPr>
          <w:sz w:val="22"/>
          <w:szCs w:val="20"/>
          <w:lang w:eastAsia="cs-CZ"/>
        </w:rPr>
        <w:t xml:space="preserve"> a návrh</w:t>
      </w:r>
      <w:r w:rsidR="001B1001">
        <w:rPr>
          <w:sz w:val="22"/>
          <w:szCs w:val="20"/>
          <w:lang w:eastAsia="cs-CZ"/>
        </w:rPr>
        <w:t>u</w:t>
      </w:r>
      <w:r w:rsidR="001218A8" w:rsidRPr="001218A8">
        <w:rPr>
          <w:sz w:val="22"/>
          <w:szCs w:val="20"/>
          <w:lang w:eastAsia="cs-CZ"/>
        </w:rPr>
        <w:t xml:space="preserve"> možností pre využívanie a tvorbu tak, aby sa postupovalo od dát s najvyšším potenciálom</w:t>
      </w:r>
      <w:r w:rsidR="001B1001">
        <w:rPr>
          <w:sz w:val="22"/>
          <w:szCs w:val="20"/>
          <w:lang w:eastAsia="cs-CZ"/>
        </w:rPr>
        <w:t>. Zadefinuje sa s</w:t>
      </w:r>
      <w:r w:rsidR="001218A8" w:rsidRPr="001218A8">
        <w:rPr>
          <w:sz w:val="22"/>
          <w:szCs w:val="20"/>
          <w:lang w:eastAsia="cs-CZ"/>
        </w:rPr>
        <w:t>pôsob nasadenia do procesov a systémov inštitúcií verejnej správy</w:t>
      </w:r>
      <w:r w:rsidR="001B1001">
        <w:rPr>
          <w:sz w:val="22"/>
          <w:szCs w:val="20"/>
          <w:lang w:eastAsia="cs-CZ"/>
        </w:rPr>
        <w:t>, a následne sa z</w:t>
      </w:r>
      <w:r w:rsidR="001218A8" w:rsidRPr="001218A8">
        <w:rPr>
          <w:sz w:val="22"/>
          <w:szCs w:val="20"/>
          <w:lang w:eastAsia="cs-CZ"/>
        </w:rPr>
        <w:t>aved</w:t>
      </w:r>
      <w:r w:rsidR="001B1001">
        <w:rPr>
          <w:sz w:val="22"/>
          <w:szCs w:val="20"/>
          <w:lang w:eastAsia="cs-CZ"/>
        </w:rPr>
        <w:t>ú</w:t>
      </w:r>
      <w:r w:rsidR="001218A8" w:rsidRPr="001218A8">
        <w:rPr>
          <w:sz w:val="22"/>
          <w:szCs w:val="20"/>
          <w:lang w:eastAsia="cs-CZ"/>
        </w:rPr>
        <w:t xml:space="preserve"> štandard</w:t>
      </w:r>
      <w:r w:rsidR="001B1001">
        <w:rPr>
          <w:sz w:val="22"/>
          <w:szCs w:val="20"/>
          <w:lang w:eastAsia="cs-CZ"/>
        </w:rPr>
        <w:t xml:space="preserve">y, </w:t>
      </w:r>
      <w:r w:rsidR="001218A8" w:rsidRPr="001218A8">
        <w:rPr>
          <w:sz w:val="22"/>
          <w:szCs w:val="20"/>
          <w:lang w:eastAsia="en-US"/>
        </w:rPr>
        <w:t>pravidl</w:t>
      </w:r>
      <w:r w:rsidR="001B1001">
        <w:rPr>
          <w:sz w:val="22"/>
          <w:szCs w:val="20"/>
          <w:lang w:eastAsia="en-US"/>
        </w:rPr>
        <w:t>á</w:t>
      </w:r>
      <w:r w:rsidR="001218A8" w:rsidRPr="001218A8">
        <w:rPr>
          <w:sz w:val="22"/>
          <w:szCs w:val="20"/>
          <w:lang w:eastAsia="en-US"/>
        </w:rPr>
        <w:t xml:space="preserve"> a licenčn</w:t>
      </w:r>
      <w:r w:rsidR="001B1001">
        <w:rPr>
          <w:sz w:val="22"/>
          <w:szCs w:val="20"/>
          <w:lang w:eastAsia="en-US"/>
        </w:rPr>
        <w:t>é</w:t>
      </w:r>
      <w:r w:rsidR="001218A8" w:rsidRPr="001218A8">
        <w:rPr>
          <w:sz w:val="22"/>
          <w:szCs w:val="20"/>
          <w:lang w:eastAsia="en-US"/>
        </w:rPr>
        <w:t xml:space="preserve"> polit</w:t>
      </w:r>
      <w:r w:rsidR="001B1001">
        <w:rPr>
          <w:sz w:val="22"/>
          <w:szCs w:val="20"/>
          <w:lang w:eastAsia="en-US"/>
        </w:rPr>
        <w:t>i</w:t>
      </w:r>
      <w:r w:rsidR="001218A8" w:rsidRPr="001218A8">
        <w:rPr>
          <w:sz w:val="22"/>
          <w:szCs w:val="20"/>
          <w:lang w:eastAsia="en-US"/>
        </w:rPr>
        <w:t>k</w:t>
      </w:r>
      <w:r w:rsidR="001B1001">
        <w:rPr>
          <w:sz w:val="22"/>
          <w:szCs w:val="20"/>
          <w:lang w:eastAsia="en-US"/>
        </w:rPr>
        <w:t>y</w:t>
      </w:r>
      <w:r w:rsidR="001218A8" w:rsidRPr="001218A8">
        <w:rPr>
          <w:sz w:val="22"/>
          <w:szCs w:val="20"/>
          <w:lang w:eastAsia="en-US"/>
        </w:rPr>
        <w:t>.</w:t>
      </w:r>
    </w:p>
    <w:p w:rsidR="0096656C" w:rsidRDefault="0096656C" w:rsidP="00FE6025">
      <w:pPr>
        <w:pStyle w:val="Odsekzoznamu"/>
        <w:numPr>
          <w:ilvl w:val="0"/>
          <w:numId w:val="69"/>
        </w:numPr>
        <w:spacing w:after="180"/>
        <w:jc w:val="both"/>
        <w:rPr>
          <w:b/>
          <w:i/>
          <w:color w:val="4F81BD" w:themeColor="accent1"/>
          <w:sz w:val="22"/>
          <w:szCs w:val="22"/>
        </w:rPr>
      </w:pPr>
      <w:r w:rsidRPr="0096656C">
        <w:rPr>
          <w:b/>
          <w:i/>
          <w:color w:val="4F81BD" w:themeColor="accent1"/>
          <w:sz w:val="22"/>
          <w:szCs w:val="22"/>
        </w:rPr>
        <w:t>Rozvoj centrálnej platformy pre otvorené dáta</w:t>
      </w:r>
    </w:p>
    <w:p w:rsidR="0096656C" w:rsidRPr="004409EA" w:rsidRDefault="0096656C" w:rsidP="00AF5171">
      <w:pPr>
        <w:pStyle w:val="06Normal"/>
      </w:pPr>
      <w:r>
        <w:t>Vytvorí sa jednotná centrálna</w:t>
      </w:r>
      <w:r w:rsidRPr="004409EA">
        <w:t xml:space="preserve"> platform</w:t>
      </w:r>
      <w:r>
        <w:t>a</w:t>
      </w:r>
      <w:r w:rsidRPr="004409EA">
        <w:t xml:space="preserve">, </w:t>
      </w:r>
      <w:r w:rsidR="001B1001">
        <w:t xml:space="preserve">kde </w:t>
      </w:r>
      <w:r w:rsidRPr="004409EA">
        <w:t xml:space="preserve">bude k dispozícii katalóg pre všetky otvorené dáta. </w:t>
      </w:r>
      <w:r>
        <w:t>Táto p</w:t>
      </w:r>
      <w:r w:rsidRPr="004409EA">
        <w:t>latforma bude obsahovať rozhrania pre prístup k</w:t>
      </w:r>
      <w:r>
        <w:t> dátam a možnosť ukladania dát.</w:t>
      </w:r>
      <w:r w:rsidR="00B44BC7">
        <w:t xml:space="preserve"> </w:t>
      </w:r>
      <w:r w:rsidRPr="004409EA">
        <w:t xml:space="preserve">Inštitúcie, ktoré budú dáta ukladať centrálne, získajú </w:t>
      </w:r>
      <w:r>
        <w:t>nástroje pre </w:t>
      </w:r>
      <w:r w:rsidRPr="004409EA">
        <w:t>prácu s </w:t>
      </w:r>
      <w:r>
        <w:t>ni</w:t>
      </w:r>
      <w:r w:rsidRPr="004409EA">
        <w:t xml:space="preserve">mi. </w:t>
      </w:r>
      <w:r w:rsidRPr="00DC44EF">
        <w:t xml:space="preserve">Pre používateľov tak bude existovať štandardizovaný postup, ako zverejňovať spôsob prístupu k otvoreným dátam, vrátane </w:t>
      </w:r>
      <w:r>
        <w:t xml:space="preserve">ich </w:t>
      </w:r>
      <w:r w:rsidRPr="00DC44EF">
        <w:t>dátového model</w:t>
      </w:r>
      <w:r>
        <w:t>u</w:t>
      </w:r>
      <w:r w:rsidRPr="00DC44EF">
        <w:t>.</w:t>
      </w:r>
    </w:p>
    <w:p w:rsidR="0096656C" w:rsidRDefault="0096656C" w:rsidP="00FE6025">
      <w:pPr>
        <w:pStyle w:val="Odsekzoznamu"/>
        <w:numPr>
          <w:ilvl w:val="0"/>
          <w:numId w:val="69"/>
        </w:numPr>
        <w:spacing w:after="180"/>
        <w:jc w:val="both"/>
        <w:rPr>
          <w:b/>
          <w:i/>
          <w:color w:val="4F81BD" w:themeColor="accent1"/>
          <w:sz w:val="22"/>
          <w:szCs w:val="22"/>
        </w:rPr>
      </w:pPr>
      <w:r w:rsidRPr="0096656C">
        <w:rPr>
          <w:b/>
          <w:i/>
          <w:color w:val="4F81BD" w:themeColor="accent1"/>
          <w:sz w:val="22"/>
          <w:szCs w:val="22"/>
        </w:rPr>
        <w:t>Implementácia opatrení a nástrojov pre vytváranie otvorených dát</w:t>
      </w:r>
    </w:p>
    <w:p w:rsidR="00E92F9B" w:rsidRDefault="0096656C">
      <w:pPr>
        <w:pStyle w:val="06Normal"/>
        <w:spacing w:after="120"/>
      </w:pPr>
      <w:r>
        <w:t xml:space="preserve">V rámci inštitúcií </w:t>
      </w:r>
      <w:r w:rsidR="001B1001">
        <w:t>VS</w:t>
      </w:r>
      <w:r>
        <w:t xml:space="preserve"> sa prevedie analýza systémov na procesnej, aplikačnej a technologickej úrovni</w:t>
      </w:r>
      <w:r w:rsidR="00E16BAA">
        <w:t xml:space="preserve">, s cieľom </w:t>
      </w:r>
      <w:r>
        <w:t>identifikova</w:t>
      </w:r>
      <w:r w:rsidR="00E16BAA">
        <w:t>ť</w:t>
      </w:r>
      <w:r>
        <w:t>, ktoré dáta bude možné vytvárať a ako to zabezpečiť. Určia sa zdroje dát, ktoré je možné</w:t>
      </w:r>
      <w:r w:rsidR="00B44BC7">
        <w:t xml:space="preserve"> alebo by bolo vhodné</w:t>
      </w:r>
      <w:r>
        <w:t xml:space="preserve"> vytvárať. Zároveň sa identifikuje kvalita, v akej sa dátové zdroje nachádzajú a tiež ich priorita z pohľadu využiteľnosti.</w:t>
      </w:r>
      <w:r w:rsidR="00B44BC7">
        <w:t xml:space="preserve"> </w:t>
      </w:r>
      <w:r>
        <w:t xml:space="preserve">Informačné systémy </w:t>
      </w:r>
      <w:r w:rsidR="001B1001">
        <w:t>VS</w:t>
      </w:r>
      <w:r w:rsidRPr="005E08C1">
        <w:t xml:space="preserve"> budú budované </w:t>
      </w:r>
      <w:r>
        <w:t xml:space="preserve">a modifikované </w:t>
      </w:r>
      <w:r w:rsidRPr="005E08C1">
        <w:t xml:space="preserve">tak, aby boli </w:t>
      </w:r>
      <w:r w:rsidRPr="00711704">
        <w:t>pripravené na otvorené dáta</w:t>
      </w:r>
      <w:r w:rsidRPr="005E08C1">
        <w:t xml:space="preserve"> a </w:t>
      </w:r>
      <w:r>
        <w:t>zverejňovali</w:t>
      </w:r>
      <w:r w:rsidRPr="005E08C1">
        <w:t xml:space="preserve"> informácie o svojich dátach do centrálnej platformy a zároveň poskytova</w:t>
      </w:r>
      <w:r>
        <w:t>li obsah.</w:t>
      </w:r>
      <w:r w:rsidR="003671C3">
        <w:t xml:space="preserve"> </w:t>
      </w:r>
      <w:r w:rsidRPr="005E08C1">
        <w:t xml:space="preserve">Do procesu vytvárania otvorených dát budú nasadené korekčné a analytické nástroje, </w:t>
      </w:r>
      <w:r w:rsidR="00E16BAA">
        <w:t>s cieľom</w:t>
      </w:r>
      <w:r w:rsidRPr="005E08C1">
        <w:t xml:space="preserve"> zaruč</w:t>
      </w:r>
      <w:r w:rsidR="00E16BAA">
        <w:t>iť</w:t>
      </w:r>
      <w:r w:rsidRPr="005E08C1">
        <w:t xml:space="preserve"> správne publikovanie</w:t>
      </w:r>
      <w:r>
        <w:t xml:space="preserve"> dát</w:t>
      </w:r>
      <w:r w:rsidRPr="005E08C1">
        <w:t>.</w:t>
      </w:r>
      <w:r>
        <w:t xml:space="preserve"> Zabezpečí sa dostatočná miera kvality existujúcich dát konsolidáciou dátových zdrojov.</w:t>
      </w:r>
      <w:r w:rsidR="00B44BC7">
        <w:t xml:space="preserve"> </w:t>
      </w:r>
      <w:r>
        <w:t>Zároveň sa implementujú rozhrania, ktoré sprístupnia dáta pre automatizované použitie.</w:t>
      </w:r>
    </w:p>
    <w:p w:rsidR="0096656C" w:rsidRDefault="0096656C" w:rsidP="00FE6025">
      <w:pPr>
        <w:pStyle w:val="Odsekzoznamu"/>
        <w:numPr>
          <w:ilvl w:val="0"/>
          <w:numId w:val="69"/>
        </w:numPr>
        <w:spacing w:after="180"/>
        <w:jc w:val="both"/>
        <w:rPr>
          <w:b/>
          <w:i/>
          <w:color w:val="4F81BD" w:themeColor="accent1"/>
          <w:sz w:val="22"/>
          <w:szCs w:val="22"/>
        </w:rPr>
      </w:pPr>
      <w:r w:rsidRPr="0096656C">
        <w:rPr>
          <w:b/>
          <w:i/>
          <w:color w:val="4F81BD" w:themeColor="accent1"/>
          <w:sz w:val="22"/>
          <w:szCs w:val="22"/>
        </w:rPr>
        <w:t xml:space="preserve">Rozvoj zjednodušeného prístupu k informáciám a službám </w:t>
      </w:r>
      <w:r w:rsidR="009E17D5">
        <w:rPr>
          <w:b/>
          <w:i/>
          <w:color w:val="4F81BD" w:themeColor="accent1"/>
          <w:sz w:val="22"/>
          <w:szCs w:val="22"/>
        </w:rPr>
        <w:t>VS</w:t>
      </w:r>
      <w:r w:rsidRPr="0096656C">
        <w:rPr>
          <w:b/>
          <w:i/>
          <w:color w:val="4F81BD" w:themeColor="accent1"/>
          <w:sz w:val="22"/>
          <w:szCs w:val="22"/>
        </w:rPr>
        <w:t xml:space="preserve"> pre znevýhodnené skupiny</w:t>
      </w:r>
    </w:p>
    <w:p w:rsidR="00E92F9B" w:rsidRDefault="001218A8">
      <w:pPr>
        <w:spacing w:after="180"/>
        <w:jc w:val="both"/>
        <w:rPr>
          <w:rFonts w:eastAsia="Arial Unicode MS"/>
          <w:szCs w:val="22"/>
        </w:rPr>
      </w:pPr>
      <w:r w:rsidRPr="001218A8">
        <w:rPr>
          <w:sz w:val="22"/>
          <w:szCs w:val="22"/>
          <w:lang w:eastAsia="en-US"/>
        </w:rPr>
        <w:t xml:space="preserve">V rámci aktivít sa bude monitorovať a analyzovať situácia v oblasti prístupnosti webového prostredia </w:t>
      </w:r>
      <w:r w:rsidR="00285413" w:rsidRPr="00DE2B09">
        <w:rPr>
          <w:sz w:val="22"/>
          <w:szCs w:val="22"/>
          <w:lang w:eastAsia="en-US"/>
        </w:rPr>
        <w:t>VS</w:t>
      </w:r>
      <w:r w:rsidRPr="001218A8">
        <w:rPr>
          <w:sz w:val="22"/>
          <w:szCs w:val="22"/>
          <w:lang w:eastAsia="en-US"/>
        </w:rPr>
        <w:t>, a to najmä za účelom jej zlepšovani</w:t>
      </w:r>
      <w:r w:rsidR="00285413" w:rsidRPr="00DE2B09">
        <w:rPr>
          <w:sz w:val="22"/>
          <w:szCs w:val="22"/>
          <w:lang w:eastAsia="en-US"/>
        </w:rPr>
        <w:t>a</w:t>
      </w:r>
      <w:r w:rsidRPr="001218A8">
        <w:rPr>
          <w:sz w:val="22"/>
          <w:szCs w:val="22"/>
          <w:lang w:eastAsia="en-US"/>
        </w:rPr>
        <w:t xml:space="preserve"> a zosúladeni</w:t>
      </w:r>
      <w:r w:rsidR="00285413" w:rsidRPr="00DE2B09">
        <w:rPr>
          <w:sz w:val="22"/>
          <w:szCs w:val="22"/>
          <w:lang w:eastAsia="en-US"/>
        </w:rPr>
        <w:t>a</w:t>
      </w:r>
      <w:r w:rsidRPr="001218A8">
        <w:rPr>
          <w:sz w:val="22"/>
          <w:szCs w:val="22"/>
          <w:lang w:eastAsia="en-US"/>
        </w:rPr>
        <w:t xml:space="preserve"> v rámci štandardov WCAG 2o.0.</w:t>
      </w:r>
      <w:r w:rsidR="003671C3" w:rsidRPr="00DE2B09">
        <w:rPr>
          <w:sz w:val="22"/>
          <w:szCs w:val="22"/>
          <w:lang w:eastAsia="en-US"/>
        </w:rPr>
        <w:t xml:space="preserve"> </w:t>
      </w:r>
      <w:r w:rsidRPr="001218A8">
        <w:rPr>
          <w:rFonts w:eastAsia="Arial Unicode MS"/>
          <w:sz w:val="22"/>
          <w:szCs w:val="22"/>
        </w:rPr>
        <w:t>Identifikujú sa služby, ktoré bude vhodné implementovať podľa konceptu „Dizajn pre všetkých“. Tento koncept aplikuje princípy</w:t>
      </w:r>
      <w:r w:rsidR="00E16BAA">
        <w:rPr>
          <w:rFonts w:eastAsia="Arial Unicode MS"/>
          <w:sz w:val="22"/>
          <w:szCs w:val="22"/>
        </w:rPr>
        <w:t xml:space="preserve"> </w:t>
      </w:r>
      <w:r w:rsidRPr="001218A8">
        <w:rPr>
          <w:rFonts w:eastAsia="Arial Unicode MS"/>
          <w:sz w:val="22"/>
          <w:szCs w:val="22"/>
        </w:rPr>
        <w:t>a nástroje na vytvorenie univerzálneho dizajnu, ktorý dokáže adresovať celý rozsah ľudských schopností,  požiadaviek a preferencií. Následne budú tieto služby prispôsobené, aby spĺňali stanovené požiadavky. Pre jednotlivé kategórie znevýhodnených skupín sa tiež identifikujú vhodné platformy asistovaných sociálnych sietí pre zdieľanie problémov a pre hľadanie návodov ako sa aktívne zapojiť do spoločenského a ekonomického diania.</w:t>
      </w:r>
    </w:p>
    <w:p w:rsidR="004459AB" w:rsidRPr="004459AB" w:rsidRDefault="004459AB" w:rsidP="00FE6025">
      <w:pPr>
        <w:pStyle w:val="Odsekzoznamu"/>
        <w:numPr>
          <w:ilvl w:val="0"/>
          <w:numId w:val="69"/>
        </w:numPr>
        <w:spacing w:after="180"/>
        <w:jc w:val="both"/>
        <w:rPr>
          <w:b/>
          <w:i/>
          <w:color w:val="4F81BD" w:themeColor="accent1"/>
          <w:sz w:val="22"/>
          <w:szCs w:val="22"/>
        </w:rPr>
      </w:pPr>
      <w:r w:rsidRPr="004459AB">
        <w:rPr>
          <w:b/>
          <w:i/>
          <w:iCs/>
          <w:color w:val="4F81BD" w:themeColor="accent1"/>
          <w:sz w:val="22"/>
          <w:szCs w:val="22"/>
        </w:rPr>
        <w:t>Zavedenie nástrojov pre podporu asistovaného života a</w:t>
      </w:r>
      <w:r>
        <w:rPr>
          <w:b/>
          <w:i/>
          <w:iCs/>
          <w:color w:val="4F81BD" w:themeColor="accent1"/>
          <w:sz w:val="22"/>
          <w:szCs w:val="22"/>
        </w:rPr>
        <w:t> </w:t>
      </w:r>
      <w:r w:rsidRPr="004459AB">
        <w:rPr>
          <w:b/>
          <w:i/>
          <w:iCs/>
          <w:color w:val="4F81BD" w:themeColor="accent1"/>
          <w:sz w:val="22"/>
          <w:szCs w:val="22"/>
        </w:rPr>
        <w:t>telemedicíny</w:t>
      </w:r>
    </w:p>
    <w:p w:rsidR="004459AB" w:rsidRDefault="004459AB">
      <w:pPr>
        <w:pStyle w:val="06Normal"/>
        <w:rPr>
          <w:rFonts w:eastAsia="Arial Unicode MS"/>
        </w:rPr>
      </w:pPr>
      <w:r>
        <w:rPr>
          <w:rFonts w:eastAsia="Arial Unicode MS"/>
        </w:rPr>
        <w:t>Vyvinú sa nástroje, ktoré zapoj</w:t>
      </w:r>
      <w:r w:rsidR="001355D9">
        <w:rPr>
          <w:rFonts w:eastAsia="Arial Unicode MS"/>
        </w:rPr>
        <w:t>a znevýhodnené skupiny, príp.</w:t>
      </w:r>
      <w:r>
        <w:rPr>
          <w:rFonts w:eastAsia="Arial Unicode MS"/>
        </w:rPr>
        <w:t xml:space="preserve"> aj ich opatrovateľov do spoločenského a pracovného života. </w:t>
      </w:r>
      <w:r w:rsidRPr="00CE5A27">
        <w:rPr>
          <w:rFonts w:eastAsia="Arial Unicode MS"/>
        </w:rPr>
        <w:t>Vytvoria sa podmienky pre poskytovanie služieb asistovaného života.</w:t>
      </w:r>
      <w:r>
        <w:rPr>
          <w:rFonts w:eastAsia="Arial Unicode MS"/>
        </w:rPr>
        <w:t xml:space="preserve"> Prostredníctvom nasadenia služieb telemedicíny možno</w:t>
      </w:r>
      <w:r w:rsidR="00DE2B09">
        <w:rPr>
          <w:rFonts w:eastAsia="Arial Unicode MS"/>
        </w:rPr>
        <w:t xml:space="preserve"> </w:t>
      </w:r>
      <w:r>
        <w:rPr>
          <w:rFonts w:eastAsia="Arial Unicode MS"/>
        </w:rPr>
        <w:t>časť zdravotnej starostlivosti poskytovať na diaľku v domácom prostredí, hlavne monitorovanie pacientov s chronickými ochoreniami. Zavedú sa služby telemedicíny, ktoré budú integrované do procesov zdravotn</w:t>
      </w:r>
      <w:r w:rsidRPr="00CE5A27">
        <w:rPr>
          <w:rFonts w:eastAsia="Arial Unicode MS"/>
        </w:rPr>
        <w:t>ej starostlivosti.</w:t>
      </w:r>
    </w:p>
    <w:p w:rsidR="00E92F9B" w:rsidRDefault="001218A8" w:rsidP="00FE6025">
      <w:pPr>
        <w:pStyle w:val="Odsekzoznamu"/>
        <w:numPr>
          <w:ilvl w:val="0"/>
          <w:numId w:val="69"/>
        </w:numPr>
        <w:spacing w:after="180"/>
        <w:jc w:val="both"/>
        <w:rPr>
          <w:i/>
          <w:iCs/>
          <w:color w:val="4F81BD" w:themeColor="accent1"/>
        </w:rPr>
      </w:pPr>
      <w:r w:rsidRPr="001218A8">
        <w:rPr>
          <w:b/>
          <w:i/>
          <w:iCs/>
          <w:color w:val="4F81BD" w:themeColor="accent1"/>
          <w:sz w:val="22"/>
          <w:szCs w:val="22"/>
        </w:rPr>
        <w:t xml:space="preserve">Modernizácia fungovania </w:t>
      </w:r>
      <w:r w:rsidR="009E17D5">
        <w:rPr>
          <w:b/>
          <w:i/>
          <w:iCs/>
          <w:color w:val="4F81BD" w:themeColor="accent1"/>
          <w:sz w:val="22"/>
          <w:szCs w:val="22"/>
        </w:rPr>
        <w:t>VS</w:t>
      </w:r>
      <w:r w:rsidRPr="001218A8">
        <w:rPr>
          <w:b/>
          <w:i/>
          <w:iCs/>
          <w:color w:val="4F81BD" w:themeColor="accent1"/>
          <w:sz w:val="22"/>
          <w:szCs w:val="22"/>
        </w:rPr>
        <w:t xml:space="preserve"> pri výkone agendy prostredníctvom </w:t>
      </w:r>
      <w:r w:rsidR="009E17D5">
        <w:rPr>
          <w:b/>
          <w:i/>
          <w:iCs/>
          <w:color w:val="4F81BD" w:themeColor="accent1"/>
          <w:sz w:val="22"/>
          <w:szCs w:val="22"/>
        </w:rPr>
        <w:t>IKT</w:t>
      </w:r>
    </w:p>
    <w:p w:rsidR="004459AB" w:rsidRPr="005E08C1" w:rsidRDefault="004459AB" w:rsidP="004459AB">
      <w:pPr>
        <w:pStyle w:val="06Normal"/>
        <w:rPr>
          <w:rFonts w:eastAsia="Arial Unicode MS"/>
        </w:rPr>
      </w:pPr>
      <w:r>
        <w:rPr>
          <w:rFonts w:eastAsia="Arial Unicode MS"/>
        </w:rPr>
        <w:t xml:space="preserve">V rámci aktivity sa zrealizuje podpora </w:t>
      </w:r>
      <w:r w:rsidR="003671C3">
        <w:rPr>
          <w:rFonts w:eastAsia="Arial Unicode MS"/>
        </w:rPr>
        <w:t>IKT</w:t>
      </w:r>
      <w:r>
        <w:rPr>
          <w:rFonts w:eastAsia="Arial Unicode MS"/>
        </w:rPr>
        <w:t xml:space="preserve"> pre reformu </w:t>
      </w:r>
      <w:r w:rsidR="00285413">
        <w:rPr>
          <w:rFonts w:eastAsia="Arial Unicode MS"/>
        </w:rPr>
        <w:t>VS</w:t>
      </w:r>
      <w:r>
        <w:rPr>
          <w:rFonts w:eastAsia="Arial Unicode MS"/>
        </w:rPr>
        <w:t>.</w:t>
      </w:r>
      <w:r w:rsidR="00B44BC7">
        <w:rPr>
          <w:rFonts w:eastAsia="Arial Unicode MS"/>
        </w:rPr>
        <w:t xml:space="preserve"> </w:t>
      </w:r>
      <w:r>
        <w:rPr>
          <w:rFonts w:eastAsia="Arial Unicode MS"/>
        </w:rPr>
        <w:t>Klientske centrá</w:t>
      </w:r>
      <w:r w:rsidRPr="005E08C1">
        <w:rPr>
          <w:rFonts w:eastAsia="Arial Unicode MS"/>
        </w:rPr>
        <w:t xml:space="preserve"> s kvalifikovaným personálom</w:t>
      </w:r>
      <w:r w:rsidR="003B1DEE">
        <w:rPr>
          <w:rFonts w:eastAsia="Arial Unicode MS"/>
        </w:rPr>
        <w:t>,</w:t>
      </w:r>
      <w:r w:rsidRPr="005E08C1">
        <w:rPr>
          <w:rFonts w:eastAsia="Arial Unicode MS"/>
        </w:rPr>
        <w:t xml:space="preserve"> </w:t>
      </w:r>
      <w:r>
        <w:rPr>
          <w:rFonts w:eastAsia="Arial Unicode MS"/>
        </w:rPr>
        <w:t xml:space="preserve">budú vybavené </w:t>
      </w:r>
      <w:r w:rsidR="00285413">
        <w:rPr>
          <w:rFonts w:eastAsia="Arial Unicode MS"/>
        </w:rPr>
        <w:t>IKT</w:t>
      </w:r>
      <w:r>
        <w:rPr>
          <w:rFonts w:eastAsia="Arial Unicode MS"/>
        </w:rPr>
        <w:t xml:space="preserve"> pre obsluhu zákazníkov a prístup k vzdialeným systémom a </w:t>
      </w:r>
      <w:r>
        <w:rPr>
          <w:rFonts w:eastAsia="Arial Unicode MS"/>
        </w:rPr>
        <w:lastRenderedPageBreak/>
        <w:t xml:space="preserve">databázam. Informačné systémy nasadené v centrách budú implementovať </w:t>
      </w:r>
      <w:r w:rsidRPr="005E08C1">
        <w:rPr>
          <w:rFonts w:eastAsia="Arial Unicode MS"/>
        </w:rPr>
        <w:t xml:space="preserve">jednotný </w:t>
      </w:r>
      <w:r w:rsidRPr="00FE652D">
        <w:rPr>
          <w:rFonts w:eastAsia="Arial Unicode MS"/>
        </w:rPr>
        <w:t>spôsob obsluhy pre služby</w:t>
      </w:r>
      <w:r w:rsidRPr="005E08C1">
        <w:rPr>
          <w:rFonts w:eastAsia="Arial Unicode MS"/>
        </w:rPr>
        <w:t xml:space="preserve"> </w:t>
      </w:r>
      <w:r w:rsidR="00285413">
        <w:rPr>
          <w:rFonts w:eastAsia="Arial Unicode MS"/>
        </w:rPr>
        <w:t>VS</w:t>
      </w:r>
      <w:r w:rsidRPr="005E08C1">
        <w:rPr>
          <w:rFonts w:eastAsia="Arial Unicode MS"/>
        </w:rPr>
        <w:t xml:space="preserve">. </w:t>
      </w:r>
      <w:r w:rsidR="00E16BAA">
        <w:rPr>
          <w:rFonts w:eastAsia="Arial Unicode MS"/>
        </w:rPr>
        <w:t>Cieľom</w:t>
      </w:r>
      <w:r>
        <w:rPr>
          <w:rFonts w:eastAsia="Arial Unicode MS"/>
        </w:rPr>
        <w:t xml:space="preserve"> je, aby v mieste asistovaných služieb bolo možné vybaviť každý problém súvisiaci s </w:t>
      </w:r>
      <w:r w:rsidR="00285413">
        <w:rPr>
          <w:rFonts w:eastAsia="Arial Unicode MS"/>
        </w:rPr>
        <w:t>VS</w:t>
      </w:r>
      <w:r>
        <w:rPr>
          <w:rFonts w:eastAsia="Arial Unicode MS"/>
        </w:rPr>
        <w:t xml:space="preserve">. </w:t>
      </w:r>
    </w:p>
    <w:p w:rsidR="004459AB" w:rsidRDefault="004459AB" w:rsidP="004459AB">
      <w:pPr>
        <w:pStyle w:val="06Normal"/>
        <w:rPr>
          <w:rFonts w:eastAsia="Arial Unicode MS"/>
        </w:rPr>
      </w:pPr>
      <w:r w:rsidRPr="005E08C1">
        <w:rPr>
          <w:rFonts w:eastAsia="Arial Unicode MS"/>
        </w:rPr>
        <w:t xml:space="preserve">Na riadenie obsluhy zákazníkov budú </w:t>
      </w:r>
      <w:r>
        <w:rPr>
          <w:rFonts w:eastAsia="Arial Unicode MS"/>
        </w:rPr>
        <w:t>nasadené</w:t>
      </w:r>
      <w:r w:rsidRPr="005E08C1">
        <w:rPr>
          <w:rFonts w:eastAsia="Arial Unicode MS"/>
        </w:rPr>
        <w:t xml:space="preserve"> moderné </w:t>
      </w:r>
      <w:r w:rsidR="003B1DEE">
        <w:rPr>
          <w:rFonts w:eastAsia="Arial Unicode MS"/>
        </w:rPr>
        <w:t>IKT</w:t>
      </w:r>
      <w:r w:rsidRPr="005E08C1">
        <w:rPr>
          <w:rFonts w:eastAsia="Arial Unicode MS"/>
        </w:rPr>
        <w:t>, ako vyvolávac</w:t>
      </w:r>
      <w:r>
        <w:rPr>
          <w:rFonts w:eastAsia="Arial Unicode MS"/>
        </w:rPr>
        <w:t>í</w:t>
      </w:r>
      <w:r w:rsidRPr="005E08C1">
        <w:rPr>
          <w:rFonts w:eastAsia="Arial Unicode MS"/>
        </w:rPr>
        <w:t xml:space="preserve"> systém a centralizovaný systém pre manažment vzťahov s občanmi. Ten ponúkne štandardizované procesy obsluhy občana pre každú životnú situáciu. Počas samotnej obsluhy sa bude podľa potreby </w:t>
      </w:r>
      <w:r w:rsidRPr="00585175">
        <w:rPr>
          <w:rFonts w:eastAsia="Arial Unicode MS"/>
        </w:rPr>
        <w:t xml:space="preserve">automaticky komunikovať s agendovými informačnými systémami </w:t>
      </w:r>
      <w:r w:rsidR="00B44BC7">
        <w:rPr>
          <w:rFonts w:eastAsia="Arial Unicode MS"/>
        </w:rPr>
        <w:t>VS</w:t>
      </w:r>
      <w:r w:rsidRPr="00585175">
        <w:rPr>
          <w:rFonts w:eastAsia="Arial Unicode MS"/>
        </w:rPr>
        <w:t xml:space="preserve"> a generovať elektronické úlohy pre pracovníkov vykonávajúcich na pozadí vecnú agendu.</w:t>
      </w:r>
    </w:p>
    <w:p w:rsidR="004459AB" w:rsidRPr="005E08C1" w:rsidRDefault="004459AB" w:rsidP="004459AB">
      <w:pPr>
        <w:pStyle w:val="06Normal"/>
        <w:rPr>
          <w:rFonts w:eastAsia="Arial Unicode MS"/>
        </w:rPr>
      </w:pPr>
      <w:r w:rsidRPr="00585175">
        <w:rPr>
          <w:rFonts w:eastAsia="Arial Unicode MS"/>
        </w:rPr>
        <w:t>Aby bolo možné efektívne realizovať konania, ktoré boli zadané v procesoch obsluhy na front office (mieste obsluhy), bude potrebn</w:t>
      </w:r>
      <w:r w:rsidR="003B1DEE">
        <w:rPr>
          <w:rFonts w:eastAsia="Arial Unicode MS"/>
        </w:rPr>
        <w:t xml:space="preserve">á </w:t>
      </w:r>
      <w:r w:rsidRPr="00585175">
        <w:rPr>
          <w:rFonts w:eastAsia="Arial Unicode MS"/>
        </w:rPr>
        <w:t>štandardizáci</w:t>
      </w:r>
      <w:r w:rsidR="003B1DEE">
        <w:rPr>
          <w:rFonts w:eastAsia="Arial Unicode MS"/>
        </w:rPr>
        <w:t>a</w:t>
      </w:r>
      <w:r w:rsidRPr="00585175">
        <w:rPr>
          <w:rFonts w:eastAsia="Arial Unicode MS"/>
        </w:rPr>
        <w:t xml:space="preserve"> úloh vo </w:t>
      </w:r>
      <w:r w:rsidR="00285413">
        <w:rPr>
          <w:rFonts w:eastAsia="Arial Unicode MS"/>
        </w:rPr>
        <w:t>VS</w:t>
      </w:r>
      <w:r w:rsidRPr="00585175">
        <w:rPr>
          <w:rFonts w:eastAsia="Arial Unicode MS"/>
        </w:rPr>
        <w:t xml:space="preserve">. Aby bolo možné takéto úlohy efektívne manažovať, zavedú sa procesné mapy pre každú agendu. Informačné systémy </w:t>
      </w:r>
      <w:r w:rsidR="00285413">
        <w:rPr>
          <w:rFonts w:eastAsia="Arial Unicode MS"/>
        </w:rPr>
        <w:t>VS</w:t>
      </w:r>
      <w:r w:rsidRPr="00585175">
        <w:rPr>
          <w:rFonts w:eastAsia="Arial Unicode MS"/>
        </w:rPr>
        <w:t xml:space="preserve"> budú upravené</w:t>
      </w:r>
      <w:r>
        <w:rPr>
          <w:rFonts w:eastAsia="Arial Unicode MS"/>
        </w:rPr>
        <w:t>,</w:t>
      </w:r>
      <w:r w:rsidRPr="00585175">
        <w:rPr>
          <w:rFonts w:eastAsia="Arial Unicode MS"/>
        </w:rPr>
        <w:t xml:space="preserve"> aby takýto beh procesov umožnili.</w:t>
      </w:r>
    </w:p>
    <w:p w:rsidR="004459AB" w:rsidRPr="005E08C1" w:rsidRDefault="004459AB">
      <w:pPr>
        <w:pStyle w:val="06Normal"/>
        <w:rPr>
          <w:rFonts w:eastAsia="Arial Unicode MS"/>
        </w:rPr>
      </w:pPr>
      <w:r>
        <w:rPr>
          <w:rFonts w:eastAsia="Arial Unicode MS"/>
        </w:rPr>
        <w:t>Implementujú sa taktiež informačné systémy</w:t>
      </w:r>
      <w:r w:rsidRPr="005E08C1">
        <w:rPr>
          <w:rFonts w:eastAsia="Arial Unicode MS"/>
        </w:rPr>
        <w:t xml:space="preserve"> pre podporu man</w:t>
      </w:r>
      <w:r>
        <w:rPr>
          <w:rFonts w:eastAsia="Arial Unicode MS"/>
        </w:rPr>
        <w:t xml:space="preserve">ažmentu kvality </w:t>
      </w:r>
      <w:r w:rsidR="00285413">
        <w:rPr>
          <w:rFonts w:eastAsia="Arial Unicode MS"/>
        </w:rPr>
        <w:t>VS</w:t>
      </w:r>
      <w:r>
        <w:rPr>
          <w:rFonts w:eastAsia="Arial Unicode MS"/>
        </w:rPr>
        <w:t xml:space="preserve">. </w:t>
      </w:r>
      <w:r w:rsidRPr="007F62FC">
        <w:rPr>
          <w:rFonts w:eastAsia="Arial Unicode MS"/>
        </w:rPr>
        <w:t xml:space="preserve">Elektronizácia úloh </w:t>
      </w:r>
      <w:r w:rsidR="003B1DEE">
        <w:rPr>
          <w:rFonts w:eastAsia="Arial Unicode MS"/>
        </w:rPr>
        <w:t>umožní získať</w:t>
      </w:r>
      <w:r w:rsidRPr="007F62FC">
        <w:rPr>
          <w:rFonts w:eastAsia="Arial Unicode MS"/>
        </w:rPr>
        <w:t xml:space="preserve"> prehľad o vykonaných aktivitách v rámci konaní </w:t>
      </w:r>
      <w:r w:rsidR="00285413">
        <w:rPr>
          <w:rFonts w:eastAsia="Arial Unicode MS"/>
        </w:rPr>
        <w:t>VS</w:t>
      </w:r>
      <w:r w:rsidR="003671C3">
        <w:rPr>
          <w:rFonts w:eastAsia="Arial Unicode MS"/>
        </w:rPr>
        <w:t xml:space="preserve"> a </w:t>
      </w:r>
      <w:r w:rsidRPr="007F62FC">
        <w:rPr>
          <w:rFonts w:eastAsia="Arial Unicode MS"/>
        </w:rPr>
        <w:t xml:space="preserve">možnosti pre </w:t>
      </w:r>
      <w:r w:rsidR="00634383">
        <w:rPr>
          <w:rFonts w:eastAsia="Arial Unicode MS"/>
        </w:rPr>
        <w:t>s</w:t>
      </w:r>
      <w:r w:rsidRPr="007F62FC">
        <w:rPr>
          <w:rFonts w:eastAsia="Arial Unicode MS"/>
        </w:rPr>
        <w:t>ledovani</w:t>
      </w:r>
      <w:r w:rsidR="00634383">
        <w:rPr>
          <w:rFonts w:eastAsia="Arial Unicode MS"/>
        </w:rPr>
        <w:t>e</w:t>
      </w:r>
      <w:r w:rsidRPr="007F62FC">
        <w:rPr>
          <w:rFonts w:eastAsia="Arial Unicode MS"/>
        </w:rPr>
        <w:t xml:space="preserve"> výkonnostných ukazovateľov pre ekonomické a procesné oblasti.</w:t>
      </w:r>
      <w:r w:rsidR="003B1DEE">
        <w:rPr>
          <w:rFonts w:eastAsia="Arial Unicode MS"/>
        </w:rPr>
        <w:t xml:space="preserve"> </w:t>
      </w:r>
      <w:r>
        <w:rPr>
          <w:rFonts w:eastAsia="Arial Unicode MS"/>
        </w:rPr>
        <w:t>Aby bolo možné efektívne v</w:t>
      </w:r>
      <w:r w:rsidR="001355D9">
        <w:rPr>
          <w:rFonts w:eastAsia="Arial Unicode MS"/>
        </w:rPr>
        <w:t>ybavovať súvisiace agendy</w:t>
      </w:r>
      <w:r>
        <w:rPr>
          <w:rFonts w:eastAsia="Arial Unicode MS"/>
        </w:rPr>
        <w:t xml:space="preserve"> zastrešujú rôzne odbornosti, bude nutná dátová integrácia informačných systémov </w:t>
      </w:r>
      <w:r w:rsidR="00634383">
        <w:rPr>
          <w:rFonts w:eastAsia="Arial Unicode MS"/>
        </w:rPr>
        <w:t>VS</w:t>
      </w:r>
      <w:r>
        <w:rPr>
          <w:rFonts w:eastAsia="Arial Unicode MS"/>
        </w:rPr>
        <w:t xml:space="preserve">. </w:t>
      </w:r>
    </w:p>
    <w:p w:rsidR="00E92F9B" w:rsidRDefault="001218A8" w:rsidP="00FE6025">
      <w:pPr>
        <w:pStyle w:val="Odsekzoznamu"/>
        <w:numPr>
          <w:ilvl w:val="0"/>
          <w:numId w:val="69"/>
        </w:numPr>
        <w:spacing w:after="180"/>
        <w:jc w:val="both"/>
        <w:rPr>
          <w:i/>
          <w:iCs/>
          <w:color w:val="4F81BD" w:themeColor="accent1"/>
        </w:rPr>
      </w:pPr>
      <w:r w:rsidRPr="001218A8">
        <w:rPr>
          <w:b/>
          <w:i/>
          <w:iCs/>
          <w:color w:val="4F81BD" w:themeColor="accent1"/>
          <w:sz w:val="22"/>
          <w:szCs w:val="22"/>
        </w:rPr>
        <w:t xml:space="preserve">Optimalizácia podporných a administratívnych činností prostredníctvom </w:t>
      </w:r>
      <w:r w:rsidR="009E17D5">
        <w:rPr>
          <w:b/>
          <w:i/>
          <w:iCs/>
          <w:color w:val="4F81BD" w:themeColor="accent1"/>
          <w:sz w:val="22"/>
          <w:szCs w:val="22"/>
        </w:rPr>
        <w:t>IKT</w:t>
      </w:r>
    </w:p>
    <w:p w:rsidR="004459AB" w:rsidRDefault="004459AB" w:rsidP="00AF5171">
      <w:pPr>
        <w:pStyle w:val="06Normal"/>
        <w:rPr>
          <w:rFonts w:eastAsia="Arial Unicode MS"/>
        </w:rPr>
      </w:pPr>
      <w:r w:rsidRPr="009F1D6A">
        <w:rPr>
          <w:rFonts w:eastAsia="Arial Unicode MS"/>
        </w:rPr>
        <w:t xml:space="preserve">V rámci reformy </w:t>
      </w:r>
      <w:r w:rsidR="00634383">
        <w:rPr>
          <w:rFonts w:eastAsia="Arial Unicode MS"/>
        </w:rPr>
        <w:t>VS</w:t>
      </w:r>
      <w:r w:rsidRPr="009F1D6A">
        <w:rPr>
          <w:rFonts w:eastAsia="Arial Unicode MS"/>
        </w:rPr>
        <w:t xml:space="preserve"> dôjde aj k centralizácií podporných procesov a operácii. V rámci organizácií </w:t>
      </w:r>
      <w:r w:rsidR="003F35D1">
        <w:rPr>
          <w:rFonts w:eastAsia="Arial Unicode MS"/>
        </w:rPr>
        <w:t>VS</w:t>
      </w:r>
      <w:r w:rsidRPr="009F1D6A">
        <w:rPr>
          <w:rFonts w:eastAsia="Arial Unicode MS"/>
        </w:rPr>
        <w:t xml:space="preserve"> budú vznikať špecializované organizačné jednotky zamerané na konkrétnu kompetenciu </w:t>
      </w:r>
      <w:r>
        <w:rPr>
          <w:rFonts w:eastAsia="Arial Unicode MS"/>
        </w:rPr>
        <w:t xml:space="preserve">metodicko-procesnej </w:t>
      </w:r>
      <w:r w:rsidRPr="009F1D6A">
        <w:rPr>
          <w:rFonts w:eastAsia="Arial Unicode MS"/>
        </w:rPr>
        <w:t>podpory vybavené informačnými nástrojmi pre riešenie požiadaviek.</w:t>
      </w:r>
      <w:r w:rsidR="00634383">
        <w:rPr>
          <w:rFonts w:eastAsia="Arial Unicode MS"/>
        </w:rPr>
        <w:t xml:space="preserve"> </w:t>
      </w:r>
      <w:r w:rsidRPr="009F1D6A">
        <w:rPr>
          <w:rFonts w:eastAsia="Arial Unicode MS"/>
        </w:rPr>
        <w:t>Zavedú sa konsolidované informačné systémy</w:t>
      </w:r>
      <w:r>
        <w:rPr>
          <w:rFonts w:eastAsia="Arial Unicode MS"/>
        </w:rPr>
        <w:t xml:space="preserve"> pre riešenie podporných a administratívnych činností</w:t>
      </w:r>
      <w:r w:rsidRPr="009F1D6A">
        <w:rPr>
          <w:rFonts w:eastAsia="Arial Unicode MS"/>
        </w:rPr>
        <w:t xml:space="preserve">, ktoré </w:t>
      </w:r>
      <w:r>
        <w:rPr>
          <w:rFonts w:eastAsia="Arial Unicode MS"/>
        </w:rPr>
        <w:t xml:space="preserve">budú </w:t>
      </w:r>
      <w:r w:rsidRPr="009F1D6A">
        <w:rPr>
          <w:rFonts w:eastAsia="Arial Unicode MS"/>
        </w:rPr>
        <w:t xml:space="preserve">poskytované záujemcom vo </w:t>
      </w:r>
      <w:r w:rsidR="00634383">
        <w:rPr>
          <w:rFonts w:eastAsia="Arial Unicode MS"/>
        </w:rPr>
        <w:t>VS</w:t>
      </w:r>
      <w:r w:rsidRPr="009F1D6A">
        <w:rPr>
          <w:rFonts w:eastAsia="Arial Unicode MS"/>
        </w:rPr>
        <w:t xml:space="preserve"> formou </w:t>
      </w:r>
      <w:r w:rsidRPr="009F1D6A">
        <w:rPr>
          <w:rFonts w:eastAsia="Arial Unicode MS"/>
          <w:i/>
        </w:rPr>
        <w:t>Software-as-a-service</w:t>
      </w:r>
      <w:r w:rsidRPr="009F1D6A">
        <w:rPr>
          <w:rFonts w:eastAsia="Arial Unicode MS"/>
        </w:rPr>
        <w:t>.</w:t>
      </w:r>
    </w:p>
    <w:p w:rsidR="00E92F9B" w:rsidRDefault="001218A8" w:rsidP="00FE6025">
      <w:pPr>
        <w:pStyle w:val="Odsekzoznamu"/>
        <w:numPr>
          <w:ilvl w:val="0"/>
          <w:numId w:val="69"/>
        </w:numPr>
        <w:spacing w:after="180"/>
        <w:jc w:val="both"/>
        <w:rPr>
          <w:i/>
          <w:iCs/>
          <w:color w:val="4F81BD" w:themeColor="accent1"/>
        </w:rPr>
      </w:pPr>
      <w:r w:rsidRPr="001218A8">
        <w:rPr>
          <w:b/>
          <w:i/>
          <w:iCs/>
          <w:color w:val="4F81BD" w:themeColor="accent1"/>
          <w:sz w:val="22"/>
          <w:szCs w:val="22"/>
        </w:rPr>
        <w:t xml:space="preserve">Podpora využívania znalostí vo </w:t>
      </w:r>
      <w:r w:rsidR="009E17D5">
        <w:rPr>
          <w:b/>
          <w:i/>
          <w:iCs/>
          <w:color w:val="4F81BD" w:themeColor="accent1"/>
          <w:sz w:val="22"/>
          <w:szCs w:val="22"/>
        </w:rPr>
        <w:t>VS</w:t>
      </w:r>
    </w:p>
    <w:p w:rsidR="004459AB" w:rsidRDefault="004459AB" w:rsidP="00AF5171">
      <w:pPr>
        <w:pStyle w:val="06Normal"/>
      </w:pPr>
      <w:r w:rsidRPr="008C5347">
        <w:t>Budú sa implementovať systémy, ktoré umožnia komplexnú prácu s</w:t>
      </w:r>
      <w:r w:rsidR="003F35D1">
        <w:t> </w:t>
      </w:r>
      <w:r w:rsidRPr="008C5347">
        <w:t>informáciami</w:t>
      </w:r>
      <w:r w:rsidR="003F35D1">
        <w:t xml:space="preserve"> a </w:t>
      </w:r>
      <w:r w:rsidRPr="008C5347">
        <w:t>množstvom dát najmä v o</w:t>
      </w:r>
      <w:r>
        <w:t>blasti odhaľovania podvodov</w:t>
      </w:r>
      <w:r w:rsidR="00DE2B09">
        <w:t>,</w:t>
      </w:r>
      <w:r w:rsidR="003B1DEE">
        <w:t xml:space="preserve"> </w:t>
      </w:r>
      <w:r w:rsidRPr="008C5347">
        <w:t>rizikových analýz</w:t>
      </w:r>
      <w:r w:rsidR="001355D9">
        <w:t xml:space="preserve"> a</w:t>
      </w:r>
      <w:r>
        <w:t xml:space="preserve"> simuláci</w:t>
      </w:r>
      <w:r w:rsidR="009E17D5">
        <w:t>e</w:t>
      </w:r>
      <w:r>
        <w:t xml:space="preserve"> dopadov politík</w:t>
      </w:r>
      <w:r w:rsidRPr="008C5347">
        <w:t xml:space="preserve">. </w:t>
      </w:r>
      <w:r w:rsidRPr="005E08C1">
        <w:rPr>
          <w:rFonts w:eastAsia="Arial Unicode MS"/>
        </w:rPr>
        <w:t xml:space="preserve">Všetky vygenerované znalosti vo </w:t>
      </w:r>
      <w:r w:rsidR="00634383">
        <w:rPr>
          <w:rFonts w:eastAsia="Arial Unicode MS"/>
        </w:rPr>
        <w:t>VS</w:t>
      </w:r>
      <w:r w:rsidRPr="005E08C1">
        <w:rPr>
          <w:rFonts w:eastAsia="Arial Unicode MS"/>
        </w:rPr>
        <w:t xml:space="preserve"> </w:t>
      </w:r>
      <w:r>
        <w:rPr>
          <w:rFonts w:eastAsia="Arial Unicode MS"/>
        </w:rPr>
        <w:t>budú prístupné na zdieľanie – vybuduje sa kolaboračná platforma na výmenu znalostí.</w:t>
      </w:r>
      <w:r w:rsidRPr="005E08C1">
        <w:rPr>
          <w:rFonts w:eastAsia="Arial Unicode MS"/>
        </w:rPr>
        <w:t xml:space="preserve"> Zvyšovanie kompetencií </w:t>
      </w:r>
      <w:r w:rsidR="00F8794A">
        <w:rPr>
          <w:rFonts w:eastAsia="Arial Unicode MS"/>
        </w:rPr>
        <w:t>VS</w:t>
      </w:r>
      <w:r w:rsidRPr="005E08C1">
        <w:rPr>
          <w:rFonts w:eastAsia="Arial Unicode MS"/>
        </w:rPr>
        <w:t xml:space="preserve"> </w:t>
      </w:r>
      <w:r>
        <w:rPr>
          <w:rFonts w:eastAsia="Arial Unicode MS"/>
        </w:rPr>
        <w:t>sa dosiahne</w:t>
      </w:r>
      <w:r w:rsidRPr="005E08C1">
        <w:rPr>
          <w:rFonts w:eastAsia="Arial Unicode MS"/>
        </w:rPr>
        <w:t xml:space="preserve"> tiež prostredníctvom </w:t>
      </w:r>
      <w:r w:rsidR="00634383">
        <w:rPr>
          <w:rFonts w:eastAsia="Arial Unicode MS"/>
        </w:rPr>
        <w:t>vybudovania</w:t>
      </w:r>
      <w:r>
        <w:rPr>
          <w:rFonts w:eastAsia="Arial Unicode MS"/>
        </w:rPr>
        <w:t xml:space="preserve"> c</w:t>
      </w:r>
      <w:r w:rsidRPr="005E08C1">
        <w:rPr>
          <w:rFonts w:eastAsia="Arial Unicode MS"/>
        </w:rPr>
        <w:t>entráln</w:t>
      </w:r>
      <w:r w:rsidR="00634383">
        <w:rPr>
          <w:rFonts w:eastAsia="Arial Unicode MS"/>
        </w:rPr>
        <w:t>eho</w:t>
      </w:r>
      <w:r w:rsidRPr="005E08C1">
        <w:rPr>
          <w:rFonts w:eastAsia="Arial Unicode MS"/>
        </w:rPr>
        <w:t xml:space="preserve"> eLearnin</w:t>
      </w:r>
      <w:r>
        <w:rPr>
          <w:rFonts w:eastAsia="Arial Unicode MS"/>
        </w:rPr>
        <w:t>gov</w:t>
      </w:r>
      <w:r w:rsidR="00634383">
        <w:rPr>
          <w:rFonts w:eastAsia="Arial Unicode MS"/>
        </w:rPr>
        <w:t>ého</w:t>
      </w:r>
      <w:r>
        <w:rPr>
          <w:rFonts w:eastAsia="Arial Unicode MS"/>
        </w:rPr>
        <w:t xml:space="preserve"> nástroj</w:t>
      </w:r>
      <w:r w:rsidR="00634383">
        <w:rPr>
          <w:rFonts w:eastAsia="Arial Unicode MS"/>
        </w:rPr>
        <w:t>a</w:t>
      </w:r>
      <w:r>
        <w:rPr>
          <w:rFonts w:eastAsia="Arial Unicode MS"/>
        </w:rPr>
        <w:t>.</w:t>
      </w:r>
    </w:p>
    <w:p w:rsidR="00E92F9B" w:rsidRDefault="001218A8" w:rsidP="00FE6025">
      <w:pPr>
        <w:pStyle w:val="Odsekzoznamu"/>
        <w:numPr>
          <w:ilvl w:val="0"/>
          <w:numId w:val="69"/>
        </w:numPr>
        <w:spacing w:after="180"/>
        <w:jc w:val="both"/>
        <w:rPr>
          <w:i/>
          <w:iCs/>
          <w:color w:val="4F81BD" w:themeColor="accent1"/>
        </w:rPr>
      </w:pPr>
      <w:r w:rsidRPr="001218A8">
        <w:rPr>
          <w:b/>
          <w:i/>
          <w:iCs/>
          <w:color w:val="4F81BD" w:themeColor="accent1"/>
          <w:sz w:val="22"/>
          <w:szCs w:val="22"/>
        </w:rPr>
        <w:t>Vytvorenie koncepcie na realizáciu a prevádzku eGovernment cloudu</w:t>
      </w:r>
    </w:p>
    <w:p w:rsidR="004459AB" w:rsidRDefault="004459AB" w:rsidP="004459AB">
      <w:pPr>
        <w:pStyle w:val="06Normal"/>
      </w:pPr>
      <w:r>
        <w:t xml:space="preserve">Vypracuje sa stratégia, ktorá definuje konkrétne aktivity vedúce k možnosti poskytovania cloud služieb vo </w:t>
      </w:r>
      <w:r w:rsidR="00F8794A">
        <w:t>VS</w:t>
      </w:r>
      <w:r>
        <w:t>. Vykoná sa úprava legislatívy a definujú sa jednotlivé role a zodpovednosti. Ďalším krokom je návrh štandardov a pravidiel poskytovania služieb: vlastnosti poskytovaných služieb; podmienky poskytovania služieb; spôsob vymáhania práv a povinností a pod.</w:t>
      </w:r>
    </w:p>
    <w:p w:rsidR="004459AB" w:rsidRDefault="004459AB" w:rsidP="004459AB">
      <w:pPr>
        <w:pStyle w:val="06Normal"/>
      </w:pPr>
      <w:r>
        <w:t xml:space="preserve">Vypracuje sa procesný model fungovania cloud služieb a kompetenčne sa zabezpečí dohľad nad používaním cloudových služieb. </w:t>
      </w:r>
      <w:r w:rsidR="003671C3">
        <w:t>Z</w:t>
      </w:r>
      <w:r>
        <w:t>ámerom</w:t>
      </w:r>
      <w:r w:rsidR="003671C3">
        <w:t xml:space="preserve"> tiež</w:t>
      </w:r>
      <w:r>
        <w:t xml:space="preserve"> je, aby vznikla štandardizovaná klasifikácia služieb podľa úrovne kvality a úrovne bezpečnosti. Jednotlivé informačné systémy </w:t>
      </w:r>
      <w:r w:rsidR="00F8794A">
        <w:t xml:space="preserve">VS </w:t>
      </w:r>
      <w:r>
        <w:t xml:space="preserve">budú klásť rôzne požiadavky na kvalitu služieb a úroveň zabezpečenia. </w:t>
      </w:r>
      <w:r w:rsidRPr="00F74A6F">
        <w:rPr>
          <w:rFonts w:eastAsia="Arial Unicode MS"/>
        </w:rPr>
        <w:t>K</w:t>
      </w:r>
      <w:r>
        <w:rPr>
          <w:rFonts w:eastAsia="Arial Unicode MS"/>
        </w:rPr>
        <w:t>lasifikácia</w:t>
      </w:r>
      <w:r w:rsidRPr="00F74A6F">
        <w:rPr>
          <w:rFonts w:eastAsia="Arial Unicode MS"/>
        </w:rPr>
        <w:t xml:space="preserve"> dát</w:t>
      </w:r>
      <w:r>
        <w:rPr>
          <w:rFonts w:eastAsia="Arial Unicode MS"/>
        </w:rPr>
        <w:t xml:space="preserve"> informačných systémov </w:t>
      </w:r>
      <w:r w:rsidR="00F8794A">
        <w:rPr>
          <w:rFonts w:eastAsia="Arial Unicode MS"/>
        </w:rPr>
        <w:t>VS</w:t>
      </w:r>
      <w:r>
        <w:rPr>
          <w:rFonts w:eastAsia="Arial Unicode MS"/>
        </w:rPr>
        <w:t xml:space="preserve"> sa prevedie z pohľadu ich citlivosti a kritickosti.</w:t>
      </w:r>
    </w:p>
    <w:p w:rsidR="004459AB" w:rsidRDefault="004459AB" w:rsidP="004459AB">
      <w:pPr>
        <w:pStyle w:val="06Normal"/>
      </w:pPr>
      <w:r>
        <w:t xml:space="preserve">V rámci aktivity bude pridelená rola Riadiaceho orgánu pre cloudové služby, ktorého </w:t>
      </w:r>
      <w:r w:rsidRPr="00A6532A">
        <w:t xml:space="preserve">úlohou </w:t>
      </w:r>
      <w:r>
        <w:t>bude</w:t>
      </w:r>
      <w:r w:rsidRPr="00A6532A">
        <w:t xml:space="preserve"> udržiavanie vzťahu medzi </w:t>
      </w:r>
      <w:r>
        <w:t>Prevádzkovateľom</w:t>
      </w:r>
      <w:r w:rsidRPr="00A6532A">
        <w:t xml:space="preserve"> a </w:t>
      </w:r>
      <w:r>
        <w:t>P</w:t>
      </w:r>
      <w:r w:rsidRPr="00A6532A">
        <w:t xml:space="preserve">oužívateľom </w:t>
      </w:r>
      <w:r>
        <w:t>cloudových služieb. Bude mať nástroje na monitorovanie využívania cloudových služieb</w:t>
      </w:r>
      <w:r w:rsidR="009E17D5">
        <w:t>,</w:t>
      </w:r>
      <w:r>
        <w:t xml:space="preserve"> ich</w:t>
      </w:r>
      <w:r w:rsidRPr="00A6532A">
        <w:t xml:space="preserve"> výkon</w:t>
      </w:r>
      <w:r>
        <w:t>u, ako aj na riadenie dodávok</w:t>
      </w:r>
      <w:r w:rsidRPr="00A6532A">
        <w:t>.</w:t>
      </w:r>
    </w:p>
    <w:p w:rsidR="003970E4" w:rsidRDefault="004459AB" w:rsidP="004459AB">
      <w:pPr>
        <w:pStyle w:val="06Normal"/>
      </w:pPr>
      <w:r>
        <w:t>Vytvorí sa tiež katalóg dostupných služieb</w:t>
      </w:r>
      <w:r w:rsidR="00AF5171">
        <w:t>,</w:t>
      </w:r>
      <w:r w:rsidR="009E17D5">
        <w:t xml:space="preserve"> </w:t>
      </w:r>
      <w:r>
        <w:t>ktorý bude slúžiť na získanie prístupu k službám a umožní minimáln</w:t>
      </w:r>
      <w:r w:rsidR="00F8794A">
        <w:t>e</w:t>
      </w:r>
      <w:r>
        <w:t>: oboznámenie sa s ponukou služieb, objedávanie služieb, nahlasovanie problémov, sledovanie množstva spotrebovaných zdrojov, riešenie úhrad za spotrebované zdroje.</w:t>
      </w:r>
      <w:r w:rsidR="00B66271">
        <w:t xml:space="preserve"> </w:t>
      </w:r>
      <w:r w:rsidR="003970E4">
        <w:t>Vypracuje sa jednotný systém na monitorovanie infraštruktúry, dostupnosti a aplikačného výkonu služieb a jednotlivých IS v cloudovom prostredí, ktorý umožní nahlasovanie incidentov, problémov a zmien.</w:t>
      </w:r>
    </w:p>
    <w:p w:rsidR="00E92F9B" w:rsidRDefault="001218A8" w:rsidP="00FE6025">
      <w:pPr>
        <w:pStyle w:val="Odsekzoznamu"/>
        <w:numPr>
          <w:ilvl w:val="0"/>
          <w:numId w:val="69"/>
        </w:numPr>
        <w:spacing w:after="180"/>
        <w:jc w:val="both"/>
        <w:rPr>
          <w:i/>
          <w:iCs/>
          <w:color w:val="4F81BD" w:themeColor="accent1"/>
        </w:rPr>
      </w:pPr>
      <w:r w:rsidRPr="001218A8">
        <w:rPr>
          <w:b/>
          <w:i/>
          <w:iCs/>
          <w:color w:val="4F81BD" w:themeColor="accent1"/>
          <w:sz w:val="22"/>
          <w:szCs w:val="22"/>
        </w:rPr>
        <w:t>Zriadenie prevádzkovateľov cloudových služieb</w:t>
      </w:r>
    </w:p>
    <w:p w:rsidR="004459AB" w:rsidRPr="004E54E3" w:rsidRDefault="004459AB" w:rsidP="004459AB">
      <w:pPr>
        <w:spacing w:before="120" w:after="60"/>
        <w:jc w:val="both"/>
        <w:rPr>
          <w:rFonts w:eastAsia="Arial Unicode MS"/>
          <w:sz w:val="22"/>
          <w:szCs w:val="20"/>
          <w:lang w:eastAsia="en-US"/>
        </w:rPr>
      </w:pPr>
      <w:r w:rsidRPr="004E54E3">
        <w:rPr>
          <w:rFonts w:eastAsia="Arial Unicode MS"/>
          <w:sz w:val="22"/>
          <w:szCs w:val="20"/>
          <w:lang w:eastAsia="en-US"/>
        </w:rPr>
        <w:lastRenderedPageBreak/>
        <w:t xml:space="preserve">Do podoby prevádzkovateľov eGovernment cloudových služieb sa transformujú vybrané inštitúcie </w:t>
      </w:r>
      <w:r w:rsidR="00F8794A">
        <w:rPr>
          <w:rFonts w:eastAsia="Arial Unicode MS"/>
          <w:sz w:val="22"/>
          <w:szCs w:val="20"/>
          <w:lang w:eastAsia="en-US"/>
        </w:rPr>
        <w:t>VS</w:t>
      </w:r>
      <w:r w:rsidRPr="004E54E3">
        <w:rPr>
          <w:rFonts w:eastAsia="Arial Unicode MS"/>
          <w:sz w:val="22"/>
          <w:szCs w:val="20"/>
          <w:lang w:eastAsia="en-US"/>
        </w:rPr>
        <w:t>. Prevádzkovatelia cloudových služieb vybudujú datace</w:t>
      </w:r>
      <w:r>
        <w:rPr>
          <w:rFonts w:eastAsia="Arial Unicode MS"/>
          <w:sz w:val="22"/>
          <w:szCs w:val="20"/>
          <w:lang w:eastAsia="en-US"/>
        </w:rPr>
        <w:t>ntrá, vytvoria infraštruktúru a</w:t>
      </w:r>
      <w:r w:rsidR="00667CF1">
        <w:rPr>
          <w:rFonts w:eastAsia="Arial Unicode MS"/>
          <w:sz w:val="22"/>
          <w:szCs w:val="20"/>
          <w:lang w:eastAsia="en-US"/>
        </w:rPr>
        <w:t> </w:t>
      </w:r>
      <w:r w:rsidRPr="004E54E3">
        <w:rPr>
          <w:rFonts w:eastAsia="Arial Unicode MS"/>
          <w:sz w:val="22"/>
          <w:szCs w:val="20"/>
          <w:lang w:eastAsia="en-US"/>
        </w:rPr>
        <w:t>zdroje</w:t>
      </w:r>
      <w:r w:rsidR="00667CF1">
        <w:rPr>
          <w:rFonts w:eastAsia="Arial Unicode MS"/>
          <w:sz w:val="22"/>
          <w:szCs w:val="20"/>
          <w:lang w:eastAsia="en-US"/>
        </w:rPr>
        <w:t>,</w:t>
      </w:r>
      <w:r w:rsidRPr="004E54E3">
        <w:rPr>
          <w:rFonts w:eastAsia="Arial Unicode MS"/>
          <w:sz w:val="22"/>
          <w:szCs w:val="20"/>
          <w:lang w:eastAsia="en-US"/>
        </w:rPr>
        <w:t xml:space="preserve"> aby mohli poskytovať a prevádzkovať cloudové služby.</w:t>
      </w:r>
    </w:p>
    <w:p w:rsidR="004459AB" w:rsidRPr="004E54E3" w:rsidRDefault="004459AB" w:rsidP="004459AB">
      <w:pPr>
        <w:spacing w:before="120" w:after="60"/>
        <w:jc w:val="both"/>
        <w:rPr>
          <w:rFonts w:eastAsia="Arial Unicode MS"/>
          <w:sz w:val="22"/>
          <w:szCs w:val="20"/>
          <w:lang w:eastAsia="en-US"/>
        </w:rPr>
      </w:pPr>
      <w:r w:rsidRPr="004E54E3">
        <w:rPr>
          <w:rFonts w:eastAsia="Arial Unicode MS"/>
          <w:sz w:val="22"/>
          <w:szCs w:val="20"/>
          <w:lang w:eastAsia="en-US"/>
        </w:rPr>
        <w:t>Zároveň sa nastavia pravidlá pre koordináciu nárastu výpočtových kapacít u jednotlivých prevádzkovateľov, riadenie záťaže medzi nimi a celkový manaž</w:t>
      </w:r>
      <w:r>
        <w:rPr>
          <w:rFonts w:eastAsia="Arial Unicode MS"/>
          <w:sz w:val="22"/>
          <w:szCs w:val="20"/>
          <w:lang w:eastAsia="en-US"/>
        </w:rPr>
        <w:t>ment medzi dopytom a ponukou po </w:t>
      </w:r>
      <w:r w:rsidRPr="004E54E3">
        <w:rPr>
          <w:rFonts w:eastAsia="Arial Unicode MS"/>
          <w:sz w:val="22"/>
          <w:szCs w:val="20"/>
          <w:lang w:eastAsia="en-US"/>
        </w:rPr>
        <w:t>službách infraštruktúry.</w:t>
      </w:r>
    </w:p>
    <w:p w:rsidR="004459AB" w:rsidRPr="004E54E3" w:rsidRDefault="004459AB" w:rsidP="004459AB">
      <w:pPr>
        <w:spacing w:before="120" w:after="120"/>
        <w:jc w:val="both"/>
        <w:rPr>
          <w:rFonts w:eastAsia="Arial Unicode MS"/>
          <w:sz w:val="22"/>
          <w:szCs w:val="20"/>
          <w:lang w:eastAsia="en-US"/>
        </w:rPr>
      </w:pPr>
      <w:r w:rsidRPr="004E54E3">
        <w:rPr>
          <w:rFonts w:eastAsia="Arial Unicode MS"/>
          <w:sz w:val="22"/>
          <w:szCs w:val="20"/>
          <w:lang w:eastAsia="en-US"/>
        </w:rPr>
        <w:t xml:space="preserve">Na základe klasifikácie dát informačných systémov </w:t>
      </w:r>
      <w:r w:rsidR="00F8794A">
        <w:rPr>
          <w:rFonts w:eastAsia="Arial Unicode MS"/>
          <w:sz w:val="22"/>
          <w:szCs w:val="20"/>
          <w:lang w:eastAsia="en-US"/>
        </w:rPr>
        <w:t>VS</w:t>
      </w:r>
      <w:r w:rsidRPr="004E54E3">
        <w:rPr>
          <w:rFonts w:eastAsia="Arial Unicode MS"/>
          <w:sz w:val="22"/>
          <w:szCs w:val="20"/>
          <w:lang w:eastAsia="en-US"/>
        </w:rPr>
        <w:t xml:space="preserve"> sa navrhnú druhy bezpečnostných úložísk a bezpečnostné požiadavky, ktoré musia takéto úložiská spĺňať.</w:t>
      </w:r>
    </w:p>
    <w:p w:rsidR="00E92F9B" w:rsidRDefault="001218A8" w:rsidP="00FE6025">
      <w:pPr>
        <w:pStyle w:val="Odsekzoznamu"/>
        <w:numPr>
          <w:ilvl w:val="0"/>
          <w:numId w:val="69"/>
        </w:numPr>
        <w:spacing w:after="180"/>
        <w:jc w:val="both"/>
        <w:rPr>
          <w:i/>
          <w:iCs/>
          <w:color w:val="4F81BD" w:themeColor="accent1"/>
        </w:rPr>
      </w:pPr>
      <w:r w:rsidRPr="001218A8">
        <w:rPr>
          <w:b/>
          <w:i/>
          <w:iCs/>
          <w:color w:val="4F81BD" w:themeColor="accent1"/>
          <w:sz w:val="22"/>
          <w:szCs w:val="22"/>
        </w:rPr>
        <w:t>Prechod prevádzky informačných systémov verejnej správy do eGovernment cloudu</w:t>
      </w:r>
    </w:p>
    <w:p w:rsidR="004459AB" w:rsidRDefault="004459AB" w:rsidP="004459AB">
      <w:pPr>
        <w:pStyle w:val="06Normal"/>
      </w:pPr>
      <w:r>
        <w:t xml:space="preserve">Jednotlivé informačné systémy </w:t>
      </w:r>
      <w:r w:rsidR="00AF5171">
        <w:t>VS</w:t>
      </w:r>
      <w:r>
        <w:t xml:space="preserve"> budú migrovať do eGovernment cloudu. V prípadoch, keď to bude organizačne možné a ekonomicky výhodné, zabezpečí sa konsolidácia a znovu použiteľnosť infraštruktúry povinných osôb v dátových centrách prevádzkovateľov eGovernment cloudových služieb.</w:t>
      </w:r>
      <w:r w:rsidR="00667CF1">
        <w:t xml:space="preserve"> </w:t>
      </w:r>
      <w:r>
        <w:t xml:space="preserve">Ako ďalší zo spôsobov znižovania nákladov na prevádzku </w:t>
      </w:r>
      <w:r w:rsidR="00AF5171">
        <w:t>IKT</w:t>
      </w:r>
      <w:r>
        <w:t xml:space="preserve"> sa podporí virtualizácia pracovných plôch a zavádzanie jednoduchých terminálov a klientov, namiesto PC.</w:t>
      </w:r>
    </w:p>
    <w:p w:rsidR="00E92F9B" w:rsidRDefault="004459AB">
      <w:pPr>
        <w:pStyle w:val="06Normal"/>
        <w:spacing w:after="120"/>
        <w:rPr>
          <w:rFonts w:eastAsia="Arial Unicode MS"/>
        </w:rPr>
      </w:pPr>
      <w:r>
        <w:t>D</w:t>
      </w:r>
      <w:r w:rsidRPr="002B6CA9">
        <w:t xml:space="preserve">ohľad nad </w:t>
      </w:r>
      <w:r>
        <w:t>vy</w:t>
      </w:r>
      <w:r w:rsidRPr="002B6CA9">
        <w:t xml:space="preserve">užívaním </w:t>
      </w:r>
      <w:r>
        <w:t xml:space="preserve">cloudových služieb </w:t>
      </w:r>
      <w:r w:rsidRPr="00DC6C5A">
        <w:t>sa zabezpečí</w:t>
      </w:r>
      <w:r>
        <w:t xml:space="preserve"> k</w:t>
      </w:r>
      <w:r w:rsidRPr="002B6CA9">
        <w:t>ompetenčne</w:t>
      </w:r>
      <w:r w:rsidRPr="00DC6C5A">
        <w:t xml:space="preserve"> – priradí sa rola cloud audítora. Aby takéto riešenie bolo udržateľné, je potrebný cenový model, na základe ktorého budú jednotlivé typy služieb účtované. Cieľom je umožn</w:t>
      </w:r>
      <w:r w:rsidR="00AF5171">
        <w:t>iť</w:t>
      </w:r>
      <w:r w:rsidRPr="00DC6C5A">
        <w:t xml:space="preserve"> ekonomickú prevádzku infraštruktúry, </w:t>
      </w:r>
      <w:r>
        <w:t xml:space="preserve">pričom </w:t>
      </w:r>
      <w:r w:rsidRPr="00DC6C5A">
        <w:t>bude výhodnejšie využívať cloud služby ako pr</w:t>
      </w:r>
      <w:r w:rsidRPr="003A6B6D">
        <w:t>evádzk</w:t>
      </w:r>
      <w:r>
        <w:t>u</w:t>
      </w:r>
      <w:r w:rsidRPr="003A6B6D">
        <w:t xml:space="preserve"> na vlastné náklady.</w:t>
      </w:r>
    </w:p>
    <w:p w:rsidR="00E92F9B" w:rsidRDefault="001218A8" w:rsidP="00FE6025">
      <w:pPr>
        <w:pStyle w:val="Odsekzoznamu"/>
        <w:numPr>
          <w:ilvl w:val="0"/>
          <w:numId w:val="69"/>
        </w:numPr>
        <w:spacing w:after="180"/>
        <w:jc w:val="both"/>
        <w:rPr>
          <w:i/>
          <w:iCs/>
          <w:color w:val="4F81BD" w:themeColor="accent1"/>
        </w:rPr>
      </w:pPr>
      <w:r w:rsidRPr="001218A8">
        <w:rPr>
          <w:b/>
          <w:i/>
          <w:iCs/>
          <w:color w:val="4F81BD" w:themeColor="accent1"/>
          <w:sz w:val="22"/>
          <w:szCs w:val="22"/>
        </w:rPr>
        <w:t>Zabezpečenie komplexnej kybernetickej bezpečnosti v</w:t>
      </w:r>
      <w:r w:rsidR="009E17D5">
        <w:rPr>
          <w:b/>
          <w:i/>
          <w:iCs/>
          <w:color w:val="4F81BD" w:themeColor="accent1"/>
          <w:sz w:val="22"/>
          <w:szCs w:val="22"/>
        </w:rPr>
        <w:t xml:space="preserve"> spoločnosti </w:t>
      </w:r>
    </w:p>
    <w:p w:rsidR="004459AB" w:rsidRDefault="004459AB" w:rsidP="004459AB">
      <w:pPr>
        <w:pStyle w:val="06Normal"/>
      </w:pPr>
      <w:r>
        <w:rPr>
          <w:rFonts w:eastAsia="Arial Unicode MS"/>
        </w:rPr>
        <w:t xml:space="preserve">Pre informačné systémy </w:t>
      </w:r>
      <w:r w:rsidR="00AF5171">
        <w:rPr>
          <w:rFonts w:eastAsia="Arial Unicode MS"/>
        </w:rPr>
        <w:t>VS</w:t>
      </w:r>
      <w:r>
        <w:rPr>
          <w:rFonts w:eastAsia="Arial Unicode MS"/>
        </w:rPr>
        <w:t xml:space="preserve"> tam, kde to bude vhodné, sa nasadia nástroje pre skoré r</w:t>
      </w:r>
      <w:r w:rsidRPr="0052409F">
        <w:rPr>
          <w:rFonts w:eastAsia="Arial Unicode MS"/>
        </w:rPr>
        <w:t xml:space="preserve">ozpoznania útokov </w:t>
      </w:r>
      <w:r>
        <w:rPr>
          <w:rFonts w:eastAsia="Arial Unicode MS"/>
        </w:rPr>
        <w:t>a incidentov</w:t>
      </w:r>
      <w:r w:rsidRPr="0052409F">
        <w:rPr>
          <w:rFonts w:eastAsia="Arial Unicode MS"/>
        </w:rPr>
        <w:t xml:space="preserve">. V rámci ochrany </w:t>
      </w:r>
      <w:r>
        <w:rPr>
          <w:rFonts w:eastAsia="Arial Unicode MS"/>
        </w:rPr>
        <w:t>informačného prostredia</w:t>
      </w:r>
      <w:r w:rsidRPr="0052409F">
        <w:rPr>
          <w:rFonts w:eastAsia="Arial Unicode MS"/>
        </w:rPr>
        <w:t xml:space="preserve"> bude nutné vytvoriť presné procesy pre zvládnutie situácie prelomenia bezpečnosti</w:t>
      </w:r>
      <w:r>
        <w:rPr>
          <w:rFonts w:eastAsia="Arial Unicode MS"/>
        </w:rPr>
        <w:t xml:space="preserve">, aby bola do najvyššej možnej miery zabezpečená biznis kontinuita informačných systémov a aby bol minimalizovaný dopad bezpečnostného incidentu. </w:t>
      </w:r>
      <w:r w:rsidRPr="0052409F">
        <w:rPr>
          <w:rFonts w:eastAsia="Arial Unicode MS"/>
        </w:rPr>
        <w:t xml:space="preserve">Informácie o každej bezpečnostnej situácii </w:t>
      </w:r>
      <w:r>
        <w:rPr>
          <w:rFonts w:eastAsia="Arial Unicode MS"/>
        </w:rPr>
        <w:t xml:space="preserve">bude </w:t>
      </w:r>
      <w:r w:rsidRPr="0052409F">
        <w:rPr>
          <w:rFonts w:eastAsia="Arial Unicode MS"/>
        </w:rPr>
        <w:t xml:space="preserve">potrebné zozbierať </w:t>
      </w:r>
      <w:r>
        <w:rPr>
          <w:rFonts w:eastAsia="Arial Unicode MS"/>
        </w:rPr>
        <w:t xml:space="preserve">na platforme kybernetickej bezpečnosti </w:t>
      </w:r>
      <w:r w:rsidRPr="0052409F">
        <w:rPr>
          <w:rFonts w:eastAsia="Arial Unicode MS"/>
        </w:rPr>
        <w:t>a vyhodnotiť ich</w:t>
      </w:r>
      <w:r>
        <w:rPr>
          <w:rFonts w:eastAsia="Arial Unicode MS"/>
        </w:rPr>
        <w:t>.</w:t>
      </w:r>
      <w:r w:rsidRPr="0052409F">
        <w:rPr>
          <w:rFonts w:eastAsia="Arial Unicode MS"/>
        </w:rPr>
        <w:t xml:space="preserve"> Pre zozbieranie včas väčšieho množstva dát sa odporúča tiež simulovať útoky na vhodne pripravené systémy.</w:t>
      </w:r>
    </w:p>
    <w:p w:rsidR="00E92F9B" w:rsidRDefault="004459AB">
      <w:pPr>
        <w:pStyle w:val="06Normal"/>
        <w:rPr>
          <w:lang w:eastAsia="cs-CZ"/>
        </w:rPr>
      </w:pPr>
      <w:r>
        <w:t>P</w:t>
      </w:r>
      <w:r w:rsidRPr="0025615B">
        <w:t xml:space="preserve">revádzkovatelia mimoriadne dôležitých infraštruktúr v niektorých odvetviach </w:t>
      </w:r>
      <w:r w:rsidR="00667CF1">
        <w:t>VS</w:t>
      </w:r>
      <w:r>
        <w:t xml:space="preserve"> </w:t>
      </w:r>
      <w:r w:rsidRPr="0025615B">
        <w:t>musia prijať postupy riadenia rizík a podávať správy o významných bezpečnostných incidentoch na ich hlavných službách.</w:t>
      </w:r>
      <w:r>
        <w:t xml:space="preserve"> Vytvorí sa jednotný systém pre monitorovanie kritickej infraštruktúry. Analýzou dát, systémov a ich fungovania sa budú pripravovať mechanizmy skorého rozpoznania útokov</w:t>
      </w:r>
      <w:r w:rsidR="001355D9">
        <w:t xml:space="preserve"> a</w:t>
      </w:r>
      <w:r>
        <w:t xml:space="preserve"> opatrenia pre prípady núdzového stavu. Cieľom je pokryť </w:t>
      </w:r>
      <w:r w:rsidR="003B1DEE">
        <w:t>oblasti ako</w:t>
      </w:r>
      <w:r w:rsidR="00E16BAA">
        <w:t>:</w:t>
      </w:r>
      <w:r w:rsidR="003B1DEE">
        <w:rPr>
          <w:lang w:eastAsia="cs-CZ"/>
        </w:rPr>
        <w:t xml:space="preserve"> r</w:t>
      </w:r>
      <w:r w:rsidRPr="00B55AAD">
        <w:rPr>
          <w:lang w:eastAsia="cs-CZ"/>
        </w:rPr>
        <w:t>ozpoznanie situácie prelomenia bezpečnosti</w:t>
      </w:r>
      <w:r w:rsidR="00566091">
        <w:rPr>
          <w:lang w:eastAsia="cs-CZ"/>
        </w:rPr>
        <w:t>,</w:t>
      </w:r>
      <w:r w:rsidRPr="00B55AAD">
        <w:rPr>
          <w:lang w:eastAsia="cs-CZ"/>
        </w:rPr>
        <w:t xml:space="preserve"> jej analýza</w:t>
      </w:r>
      <w:r w:rsidR="00E16BAA">
        <w:rPr>
          <w:lang w:eastAsia="cs-CZ"/>
        </w:rPr>
        <w:t xml:space="preserve">; </w:t>
      </w:r>
      <w:r w:rsidRPr="00B55AAD">
        <w:rPr>
          <w:lang w:eastAsia="cs-CZ"/>
        </w:rPr>
        <w:t>nasadenie protiopatrení;</w:t>
      </w:r>
      <w:r w:rsidR="00E16BAA">
        <w:rPr>
          <w:lang w:eastAsia="cs-CZ"/>
        </w:rPr>
        <w:t xml:space="preserve"> u</w:t>
      </w:r>
      <w:r w:rsidRPr="00B55AAD">
        <w:rPr>
          <w:lang w:eastAsia="cs-CZ"/>
        </w:rPr>
        <w:t>vedenie systémov do kontrolovaného stavu, zabezpečenie biznis kontinuity a zvrátenie následkov.</w:t>
      </w:r>
    </w:p>
    <w:p w:rsidR="00E92F9B" w:rsidRDefault="00E92F9B">
      <w:pPr>
        <w:pStyle w:val="06Normal"/>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288"/>
        <w:gridCol w:w="5784"/>
      </w:tblGrid>
      <w:tr w:rsidR="00445E30" w:rsidRPr="007F1C63" w:rsidTr="00B80F3A">
        <w:trPr>
          <w:trHeight w:val="340"/>
          <w:jc w:val="center"/>
        </w:trPr>
        <w:tc>
          <w:tcPr>
            <w:tcW w:w="3288" w:type="dxa"/>
            <w:shd w:val="clear" w:color="auto" w:fill="DBE5F1" w:themeFill="accent1" w:themeFillTint="33"/>
            <w:vAlign w:val="center"/>
          </w:tcPr>
          <w:p w:rsidR="00445E30" w:rsidRPr="007F1C63" w:rsidRDefault="00445E30" w:rsidP="00B80F3A">
            <w:pPr>
              <w:autoSpaceDE w:val="0"/>
              <w:autoSpaceDN w:val="0"/>
              <w:adjustRightInd w:val="0"/>
              <w:ind w:left="0"/>
              <w:rPr>
                <w:i/>
                <w:sz w:val="22"/>
                <w:szCs w:val="22"/>
              </w:rPr>
            </w:pPr>
            <w:r w:rsidRPr="007F1C63">
              <w:rPr>
                <w:i/>
                <w:sz w:val="22"/>
                <w:szCs w:val="22"/>
              </w:rPr>
              <w:t>Cieľové skupiny:</w:t>
            </w:r>
          </w:p>
        </w:tc>
        <w:tc>
          <w:tcPr>
            <w:tcW w:w="5784" w:type="dxa"/>
            <w:vAlign w:val="center"/>
          </w:tcPr>
          <w:p w:rsidR="00445E30" w:rsidRPr="007F1C63" w:rsidRDefault="00177922" w:rsidP="00FE6025">
            <w:pPr>
              <w:numPr>
                <w:ilvl w:val="0"/>
                <w:numId w:val="28"/>
              </w:numPr>
              <w:autoSpaceDE w:val="0"/>
              <w:autoSpaceDN w:val="0"/>
              <w:adjustRightInd w:val="0"/>
              <w:ind w:left="284" w:hanging="284"/>
              <w:contextualSpacing/>
              <w:rPr>
                <w:sz w:val="22"/>
                <w:szCs w:val="22"/>
              </w:rPr>
            </w:pPr>
            <w:r>
              <w:rPr>
                <w:sz w:val="22"/>
                <w:szCs w:val="22"/>
              </w:rPr>
              <w:t>Široká verejnosť, znevýhodnené skupiny, organizácie verejnej správy</w:t>
            </w:r>
          </w:p>
        </w:tc>
      </w:tr>
      <w:tr w:rsidR="00445E30" w:rsidRPr="007F1C63" w:rsidTr="00B80F3A">
        <w:trPr>
          <w:trHeight w:val="340"/>
          <w:jc w:val="center"/>
        </w:trPr>
        <w:tc>
          <w:tcPr>
            <w:tcW w:w="3288" w:type="dxa"/>
            <w:shd w:val="clear" w:color="auto" w:fill="DBE5F1" w:themeFill="accent1" w:themeFillTint="33"/>
            <w:vAlign w:val="center"/>
          </w:tcPr>
          <w:p w:rsidR="00445E30" w:rsidRPr="007F1C63" w:rsidRDefault="00445E30" w:rsidP="00B80F3A">
            <w:pPr>
              <w:autoSpaceDE w:val="0"/>
              <w:autoSpaceDN w:val="0"/>
              <w:adjustRightInd w:val="0"/>
              <w:ind w:left="0"/>
              <w:rPr>
                <w:i/>
                <w:sz w:val="22"/>
                <w:szCs w:val="22"/>
              </w:rPr>
            </w:pPr>
            <w:r w:rsidRPr="007F1C63">
              <w:rPr>
                <w:i/>
                <w:sz w:val="22"/>
                <w:szCs w:val="22"/>
              </w:rPr>
              <w:t>Cieľové územia:</w:t>
            </w:r>
          </w:p>
        </w:tc>
        <w:tc>
          <w:tcPr>
            <w:tcW w:w="5784" w:type="dxa"/>
            <w:vAlign w:val="center"/>
          </w:tcPr>
          <w:p w:rsidR="00445E30" w:rsidRPr="007F1C63" w:rsidRDefault="00445E30" w:rsidP="00FE6025">
            <w:pPr>
              <w:numPr>
                <w:ilvl w:val="0"/>
                <w:numId w:val="28"/>
              </w:numPr>
              <w:autoSpaceDE w:val="0"/>
              <w:autoSpaceDN w:val="0"/>
              <w:adjustRightInd w:val="0"/>
              <w:ind w:left="284" w:hanging="284"/>
              <w:contextualSpacing/>
              <w:rPr>
                <w:sz w:val="22"/>
                <w:szCs w:val="22"/>
              </w:rPr>
            </w:pPr>
            <w:r w:rsidRPr="007F1C63">
              <w:rPr>
                <w:sz w:val="22"/>
                <w:szCs w:val="22"/>
              </w:rPr>
              <w:t xml:space="preserve">NUTS </w:t>
            </w:r>
            <w:r>
              <w:rPr>
                <w:sz w:val="22"/>
                <w:szCs w:val="22"/>
              </w:rPr>
              <w:t>1</w:t>
            </w:r>
          </w:p>
        </w:tc>
      </w:tr>
      <w:tr w:rsidR="00445E30" w:rsidRPr="007F1C63" w:rsidTr="00B517A5">
        <w:trPr>
          <w:trHeight w:val="1424"/>
          <w:jc w:val="center"/>
        </w:trPr>
        <w:tc>
          <w:tcPr>
            <w:tcW w:w="3288" w:type="dxa"/>
            <w:shd w:val="clear" w:color="auto" w:fill="DBE5F1" w:themeFill="accent1" w:themeFillTint="33"/>
            <w:vAlign w:val="center"/>
          </w:tcPr>
          <w:p w:rsidR="00445E30" w:rsidRPr="007F1C63" w:rsidRDefault="00445E30" w:rsidP="00B80F3A">
            <w:pPr>
              <w:autoSpaceDE w:val="0"/>
              <w:autoSpaceDN w:val="0"/>
              <w:adjustRightInd w:val="0"/>
              <w:ind w:left="0"/>
              <w:rPr>
                <w:i/>
                <w:sz w:val="22"/>
                <w:szCs w:val="22"/>
              </w:rPr>
            </w:pPr>
            <w:r w:rsidRPr="007F1C63">
              <w:rPr>
                <w:i/>
                <w:sz w:val="22"/>
                <w:szCs w:val="22"/>
              </w:rPr>
              <w:t>Prijímatelia:</w:t>
            </w:r>
          </w:p>
        </w:tc>
        <w:tc>
          <w:tcPr>
            <w:tcW w:w="5784" w:type="dxa"/>
            <w:vAlign w:val="center"/>
          </w:tcPr>
          <w:p w:rsidR="00445E30" w:rsidRPr="007F1C63" w:rsidRDefault="00445E30" w:rsidP="00FE6025">
            <w:pPr>
              <w:numPr>
                <w:ilvl w:val="0"/>
                <w:numId w:val="28"/>
              </w:numPr>
              <w:autoSpaceDE w:val="0"/>
              <w:autoSpaceDN w:val="0"/>
              <w:adjustRightInd w:val="0"/>
              <w:ind w:left="284" w:hanging="284"/>
              <w:contextualSpacing/>
              <w:rPr>
                <w:sz w:val="22"/>
                <w:szCs w:val="22"/>
              </w:rPr>
            </w:pPr>
            <w:r>
              <w:rPr>
                <w:sz w:val="22"/>
                <w:szCs w:val="22"/>
              </w:rPr>
              <w:t xml:space="preserve">napr. </w:t>
            </w:r>
            <w:r w:rsidRPr="00560E77">
              <w:rPr>
                <w:sz w:val="22"/>
                <w:szCs w:val="22"/>
              </w:rPr>
              <w:t>rozpočtová organizácia, príspevková organizácia</w:t>
            </w:r>
            <w:r>
              <w:rPr>
                <w:sz w:val="22"/>
                <w:szCs w:val="22"/>
              </w:rPr>
              <w:t>,</w:t>
            </w:r>
            <w:r w:rsidRPr="00B82DEF">
              <w:t xml:space="preserve"> </w:t>
            </w:r>
            <w:r w:rsidRPr="00B82DEF">
              <w:rPr>
                <w:sz w:val="22"/>
                <w:szCs w:val="22"/>
              </w:rPr>
              <w:t>Sociálna a zdravotné poisťovne, ďalšie subjekty, ktoré sú zapísané v štatistickom registri org</w:t>
            </w:r>
            <w:r w:rsidR="00566091">
              <w:rPr>
                <w:sz w:val="22"/>
                <w:szCs w:val="22"/>
              </w:rPr>
              <w:t>anizácií sektora VS</w:t>
            </w:r>
            <w:r w:rsidRPr="00B82DEF">
              <w:rPr>
                <w:sz w:val="22"/>
                <w:szCs w:val="22"/>
              </w:rPr>
              <w:t>,</w:t>
            </w:r>
            <w:r w:rsidR="00566091">
              <w:rPr>
                <w:sz w:val="22"/>
                <w:szCs w:val="22"/>
              </w:rPr>
              <w:t xml:space="preserve"> obec, VÚC</w:t>
            </w:r>
            <w:r w:rsidR="0059698C">
              <w:rPr>
                <w:sz w:val="22"/>
                <w:szCs w:val="22"/>
              </w:rPr>
              <w:t>,</w:t>
            </w:r>
            <w:r w:rsidRPr="00B82DEF">
              <w:rPr>
                <w:sz w:val="22"/>
                <w:szCs w:val="22"/>
              </w:rPr>
              <w:t xml:space="preserve"> akciová spoločnosť podľa zákona č. 513/1991 Z.</w:t>
            </w:r>
            <w:r w:rsidR="005A1A06">
              <w:rPr>
                <w:sz w:val="22"/>
                <w:szCs w:val="22"/>
              </w:rPr>
              <w:t xml:space="preserve"> </w:t>
            </w:r>
            <w:r w:rsidRPr="00B82DEF">
              <w:rPr>
                <w:sz w:val="22"/>
                <w:szCs w:val="22"/>
              </w:rPr>
              <w:t>z. (mimo schémy štátnej pomoci), združenie (zväz, spolok, spoločnosť, klub ai.) podľa zákona č. 83/1990 Z.</w:t>
            </w:r>
            <w:r w:rsidR="005A1A06">
              <w:rPr>
                <w:sz w:val="22"/>
                <w:szCs w:val="22"/>
              </w:rPr>
              <w:t xml:space="preserve"> </w:t>
            </w:r>
            <w:r w:rsidRPr="00B82DEF">
              <w:rPr>
                <w:sz w:val="22"/>
                <w:szCs w:val="22"/>
              </w:rPr>
              <w:t>z., záujmové združenie právnickýc</w:t>
            </w:r>
            <w:r w:rsidR="00566091">
              <w:rPr>
                <w:sz w:val="22"/>
                <w:szCs w:val="22"/>
              </w:rPr>
              <w:t>h osôb podľa zákona č. 40/1964 Z</w:t>
            </w:r>
            <w:r w:rsidRPr="00B82DEF">
              <w:rPr>
                <w:sz w:val="22"/>
                <w:szCs w:val="22"/>
              </w:rPr>
              <w:t>b., združenie obcí podľa zákona č. 369/1990 Zb., iné subjekty zriadené zákonom</w:t>
            </w:r>
          </w:p>
        </w:tc>
      </w:tr>
    </w:tbl>
    <w:p w:rsidR="00445E30" w:rsidRDefault="00445E30" w:rsidP="00445E30">
      <w:pPr>
        <w:keepNext/>
        <w:numPr>
          <w:ilvl w:val="3"/>
          <w:numId w:val="18"/>
        </w:numPr>
        <w:tabs>
          <w:tab w:val="left" w:pos="709"/>
        </w:tabs>
        <w:spacing w:before="240" w:after="120"/>
        <w:outlineLvl w:val="3"/>
        <w:rPr>
          <w:rFonts w:ascii="Arial Narrow" w:hAnsi="Arial Narrow"/>
          <w:b/>
          <w:bCs/>
          <w:i/>
          <w:color w:val="548DD4" w:themeColor="text2" w:themeTint="99"/>
          <w:sz w:val="22"/>
          <w:szCs w:val="28"/>
        </w:rPr>
      </w:pPr>
      <w:r>
        <w:rPr>
          <w:rFonts w:ascii="Arial Narrow" w:hAnsi="Arial Narrow"/>
          <w:b/>
          <w:bCs/>
          <w:i/>
          <w:color w:val="548DD4" w:themeColor="text2" w:themeTint="99"/>
          <w:sz w:val="22"/>
          <w:szCs w:val="28"/>
        </w:rPr>
        <w:lastRenderedPageBreak/>
        <w:t>Hlavné zásady výberu projektov</w:t>
      </w:r>
    </w:p>
    <w:p w:rsidR="00445E30" w:rsidRPr="00B02869" w:rsidRDefault="00445E30" w:rsidP="00445E30">
      <w:pPr>
        <w:pStyle w:val="06Normal"/>
      </w:pPr>
      <w:r w:rsidRPr="00B02869">
        <w:t>S</w:t>
      </w:r>
      <w:r>
        <w:t> </w:t>
      </w:r>
      <w:r w:rsidRPr="00B02869">
        <w:t>cieľom zabezpečiť efektívne a</w:t>
      </w:r>
      <w:r>
        <w:t> </w:t>
      </w:r>
      <w:r w:rsidRPr="00B02869">
        <w:t>transparentné čerpanie finančných prostriedkov z</w:t>
      </w:r>
      <w:r>
        <w:t> </w:t>
      </w:r>
      <w:r w:rsidRPr="00B02869">
        <w:t xml:space="preserve">fondov EÚ, alokovaných pre </w:t>
      </w:r>
      <w:r>
        <w:t>P</w:t>
      </w:r>
      <w:r w:rsidRPr="00B02869">
        <w:t>rioritnú os</w:t>
      </w:r>
      <w:r>
        <w:t xml:space="preserve"> 7 </w:t>
      </w:r>
      <w:r w:rsidRPr="00B02869">
        <w:t>OP</w:t>
      </w:r>
      <w:r>
        <w:t>II</w:t>
      </w:r>
      <w:r w:rsidRPr="00B02869">
        <w:t xml:space="preserve"> budú sprostredkovateľským</w:t>
      </w:r>
      <w:r>
        <w:t xml:space="preserve"> orgánom vypracované Výberové a </w:t>
      </w:r>
      <w:r w:rsidRPr="00B02869">
        <w:t>hodnotiace kritériá pre výber projektov. Po vzore programového obdobia 2007 – 2013 budú tieto kritériá, ako aj ich prípadné aktualizácie, predmetom schvaľovani</w:t>
      </w:r>
      <w:r>
        <w:t>a v Monitorovacom výbore pre OPII</w:t>
      </w:r>
      <w:r w:rsidRPr="00B02869">
        <w:t>.</w:t>
      </w:r>
    </w:p>
    <w:p w:rsidR="00445E30" w:rsidRDefault="00445E30" w:rsidP="00445E30">
      <w:pPr>
        <w:pStyle w:val="06Normal"/>
      </w:pPr>
      <w:r>
        <w:t>V</w:t>
      </w:r>
      <w:r w:rsidRPr="00B02869">
        <w:t>o vzťahu k</w:t>
      </w:r>
      <w:r>
        <w:t> </w:t>
      </w:r>
      <w:r w:rsidRPr="00B02869">
        <w:t xml:space="preserve">podporovaným aktivitám </w:t>
      </w:r>
      <w:r>
        <w:t>OPII</w:t>
      </w:r>
      <w:r w:rsidRPr="00B02869">
        <w:t xml:space="preserve"> budú jednotliví prijímatelia stanovení buď vopred a</w:t>
      </w:r>
      <w:r>
        <w:t> </w:t>
      </w:r>
      <w:r w:rsidRPr="00B02869">
        <w:t>písomnými vyzvaniami</w:t>
      </w:r>
      <w:r w:rsidRPr="002A4585">
        <w:t xml:space="preserve"> vzhľadom na ich jedinečné postavenie a funkcie</w:t>
      </w:r>
      <w:r>
        <w:t xml:space="preserve"> </w:t>
      </w:r>
      <w:r w:rsidRPr="00B90C78">
        <w:t>(</w:t>
      </w:r>
      <w:r>
        <w:t xml:space="preserve">napr. </w:t>
      </w:r>
      <w:r w:rsidRPr="00B90C78">
        <w:t xml:space="preserve">na základe kompetencií vyplývajúcich im z osobitných predpisov alebo na základe schválenia </w:t>
      </w:r>
      <w:r>
        <w:t>M</w:t>
      </w:r>
      <w:r w:rsidRPr="00B90C78">
        <w:t xml:space="preserve">onitorovacím výborom) </w:t>
      </w:r>
      <w:r w:rsidRPr="00B02869">
        <w:t>žiadaní o</w:t>
      </w:r>
      <w:r>
        <w:t> </w:t>
      </w:r>
      <w:r w:rsidRPr="00B02869">
        <w:t>predkladanie projektových žiadostí alebo v</w:t>
      </w:r>
      <w:r>
        <w:t> </w:t>
      </w:r>
      <w:r w:rsidRPr="00B02869">
        <w:t>prípade dopytových projektov určení výberom.</w:t>
      </w:r>
    </w:p>
    <w:p w:rsidR="00445E30" w:rsidRDefault="00445E30" w:rsidP="00445E30">
      <w:pPr>
        <w:pStyle w:val="06Normal"/>
        <w:spacing w:after="120"/>
      </w:pPr>
      <w:r>
        <w:t>Vo vzťahu k písomným vyzvaniam budú zohľadnené najmä nasledujúce princípy:</w:t>
      </w:r>
    </w:p>
    <w:p w:rsidR="00445E30" w:rsidRDefault="00445E30" w:rsidP="00FE6025">
      <w:pPr>
        <w:pStyle w:val="Odsekzoznamu"/>
        <w:numPr>
          <w:ilvl w:val="0"/>
          <w:numId w:val="28"/>
        </w:numPr>
        <w:jc w:val="both"/>
      </w:pPr>
      <w:r w:rsidRPr="004C2534">
        <w:rPr>
          <w:sz w:val="22"/>
          <w:szCs w:val="20"/>
          <w:lang w:eastAsia="en-US"/>
        </w:rPr>
        <w:t>možnosť vyhlasovateľa v</w:t>
      </w:r>
      <w:r>
        <w:rPr>
          <w:sz w:val="22"/>
          <w:szCs w:val="20"/>
          <w:lang w:eastAsia="en-US"/>
        </w:rPr>
        <w:t>y</w:t>
      </w:r>
      <w:r w:rsidRPr="004C2534">
        <w:rPr>
          <w:sz w:val="22"/>
          <w:szCs w:val="20"/>
          <w:lang w:eastAsia="en-US"/>
        </w:rPr>
        <w:t>zv</w:t>
      </w:r>
      <w:r>
        <w:rPr>
          <w:sz w:val="22"/>
          <w:szCs w:val="20"/>
          <w:lang w:eastAsia="en-US"/>
        </w:rPr>
        <w:t>ania</w:t>
      </w:r>
      <w:r w:rsidRPr="004C2534">
        <w:rPr>
          <w:sz w:val="22"/>
          <w:szCs w:val="20"/>
          <w:lang w:eastAsia="en-US"/>
        </w:rPr>
        <w:t xml:space="preserve"> reagovať na prípadné potrebné zmeny vo vyhlás</w:t>
      </w:r>
      <w:r>
        <w:rPr>
          <w:sz w:val="22"/>
          <w:szCs w:val="20"/>
          <w:lang w:eastAsia="en-US"/>
        </w:rPr>
        <w:t>enom</w:t>
      </w:r>
      <w:r w:rsidRPr="004C2534">
        <w:rPr>
          <w:sz w:val="22"/>
          <w:szCs w:val="20"/>
          <w:lang w:eastAsia="en-US"/>
        </w:rPr>
        <w:t xml:space="preserve"> v</w:t>
      </w:r>
      <w:r>
        <w:rPr>
          <w:sz w:val="22"/>
          <w:szCs w:val="20"/>
          <w:lang w:eastAsia="en-US"/>
        </w:rPr>
        <w:t>y</w:t>
      </w:r>
      <w:r w:rsidRPr="004C2534">
        <w:rPr>
          <w:sz w:val="22"/>
          <w:szCs w:val="20"/>
          <w:lang w:eastAsia="en-US"/>
        </w:rPr>
        <w:t>zv</w:t>
      </w:r>
      <w:r>
        <w:rPr>
          <w:sz w:val="22"/>
          <w:szCs w:val="20"/>
          <w:lang w:eastAsia="en-US"/>
        </w:rPr>
        <w:t>aní</w:t>
      </w:r>
      <w:r w:rsidRPr="004C2534">
        <w:rPr>
          <w:sz w:val="22"/>
          <w:szCs w:val="20"/>
          <w:lang w:eastAsia="en-US"/>
        </w:rPr>
        <w:t xml:space="preserve"> v súlade s princípmi transparentnosti, nediskriminácie a rovnakého prístupu;</w:t>
      </w:r>
    </w:p>
    <w:p w:rsidR="00445E30" w:rsidRDefault="00445E30" w:rsidP="00FE6025">
      <w:pPr>
        <w:pStyle w:val="Odsekzoznamu"/>
        <w:numPr>
          <w:ilvl w:val="0"/>
          <w:numId w:val="28"/>
        </w:numPr>
        <w:spacing w:before="120" w:after="120"/>
        <w:jc w:val="both"/>
      </w:pPr>
      <w:r w:rsidRPr="004C2534">
        <w:rPr>
          <w:sz w:val="22"/>
          <w:szCs w:val="20"/>
          <w:lang w:eastAsia="en-US"/>
        </w:rPr>
        <w:t>zabezpečenie kontinuálneho prístupu verejnosti k možnostiam f</w:t>
      </w:r>
      <w:r>
        <w:rPr>
          <w:sz w:val="22"/>
          <w:szCs w:val="20"/>
          <w:lang w:eastAsia="en-US"/>
        </w:rPr>
        <w:t>inancovania zo zdrojov EÚ v </w:t>
      </w:r>
      <w:r w:rsidRPr="004C2534">
        <w:rPr>
          <w:sz w:val="22"/>
          <w:szCs w:val="20"/>
          <w:lang w:eastAsia="en-US"/>
        </w:rPr>
        <w:t xml:space="preserve">prípadoch aktivít, ktoré predpokladajú širší priestor konkurencie; </w:t>
      </w:r>
    </w:p>
    <w:p w:rsidR="00445E30" w:rsidRPr="00560E77" w:rsidRDefault="00445E30" w:rsidP="00FE6025">
      <w:pPr>
        <w:pStyle w:val="Odsekzoznamu"/>
        <w:numPr>
          <w:ilvl w:val="0"/>
          <w:numId w:val="28"/>
        </w:numPr>
        <w:spacing w:before="120" w:after="120"/>
        <w:jc w:val="both"/>
      </w:pPr>
      <w:r w:rsidRPr="004C2534">
        <w:rPr>
          <w:sz w:val="22"/>
          <w:szCs w:val="20"/>
          <w:lang w:eastAsia="en-US"/>
        </w:rPr>
        <w:t xml:space="preserve">nastavenie transparentných a objektívnych podmienok, ktorých overenie je potrebné pre financovanie národných projektov, spolu so zvýšením dôrazu na kvalitnú prípravu takýchto </w:t>
      </w:r>
      <w:r>
        <w:rPr>
          <w:sz w:val="22"/>
          <w:szCs w:val="20"/>
          <w:lang w:eastAsia="en-US"/>
        </w:rPr>
        <w:t>projektov;</w:t>
      </w:r>
    </w:p>
    <w:p w:rsidR="00445E30" w:rsidRPr="00177922" w:rsidRDefault="00445E30" w:rsidP="00FE6025">
      <w:pPr>
        <w:pStyle w:val="Odsekzoznamu"/>
        <w:numPr>
          <w:ilvl w:val="0"/>
          <w:numId w:val="28"/>
        </w:numPr>
        <w:spacing w:before="120" w:after="120"/>
        <w:jc w:val="both"/>
      </w:pPr>
      <w:r w:rsidRPr="00B82DEF">
        <w:rPr>
          <w:sz w:val="22"/>
          <w:szCs w:val="20"/>
          <w:lang w:eastAsia="en-US"/>
        </w:rPr>
        <w:t>nastavenie podmienok, kde partnerom každého projektu bude inštitúcia zodpovedná za nákup HW a licencií, tzn. prijímateľ bude implementovať riešenie a nákup HW a licencií bude realizovať vopred stanovený partner</w:t>
      </w:r>
      <w:r>
        <w:rPr>
          <w:sz w:val="22"/>
          <w:szCs w:val="20"/>
          <w:lang w:eastAsia="en-US"/>
        </w:rPr>
        <w:t>;</w:t>
      </w:r>
    </w:p>
    <w:p w:rsidR="00177922" w:rsidRDefault="00177922" w:rsidP="00FE6025">
      <w:pPr>
        <w:pStyle w:val="Odsekzoznamu"/>
        <w:numPr>
          <w:ilvl w:val="0"/>
          <w:numId w:val="28"/>
        </w:numPr>
        <w:spacing w:before="120" w:after="120"/>
        <w:jc w:val="both"/>
      </w:pPr>
      <w:r w:rsidRPr="00D51947">
        <w:rPr>
          <w:sz w:val="22"/>
          <w:szCs w:val="20"/>
          <w:lang w:eastAsia="cs-CZ"/>
        </w:rPr>
        <w:t xml:space="preserve">príprava </w:t>
      </w:r>
      <w:r>
        <w:rPr>
          <w:sz w:val="22"/>
          <w:szCs w:val="20"/>
          <w:lang w:eastAsia="cs-CZ"/>
        </w:rPr>
        <w:t xml:space="preserve">relevantných </w:t>
      </w:r>
      <w:r w:rsidRPr="00D51947">
        <w:rPr>
          <w:sz w:val="22"/>
          <w:szCs w:val="20"/>
          <w:lang w:eastAsia="cs-CZ"/>
        </w:rPr>
        <w:t xml:space="preserve">písomných vyzvaní bude prostredníctvom Interného dozorného a monitorovacieho výboru a prostredníctvom Riadiaceho výboru pre štúdie </w:t>
      </w:r>
      <w:r>
        <w:rPr>
          <w:sz w:val="22"/>
          <w:szCs w:val="20"/>
          <w:lang w:eastAsia="cs-CZ"/>
        </w:rPr>
        <w:t>realizovateľnosti</w:t>
      </w:r>
      <w:r w:rsidRPr="00D51947">
        <w:rPr>
          <w:sz w:val="22"/>
          <w:szCs w:val="20"/>
          <w:lang w:eastAsia="cs-CZ"/>
        </w:rPr>
        <w:t xml:space="preserve"> koordinovaná s riadiacim orgánom Operačného programu Efektívna verejná správa tak, aby </w:t>
      </w:r>
      <w:r>
        <w:rPr>
          <w:sz w:val="22"/>
          <w:szCs w:val="20"/>
          <w:lang w:eastAsia="cs-CZ"/>
        </w:rPr>
        <w:t xml:space="preserve">relevantné </w:t>
      </w:r>
      <w:r w:rsidRPr="00D51947">
        <w:rPr>
          <w:sz w:val="22"/>
          <w:szCs w:val="20"/>
          <w:lang w:eastAsia="cs-CZ"/>
        </w:rPr>
        <w:t>písomné vyzvania v rámci tejto investičnej priority nadväzovali na výsledky operácií v rámci Operačného programu Efektívna verejná správa</w:t>
      </w:r>
      <w:r>
        <w:rPr>
          <w:sz w:val="22"/>
          <w:szCs w:val="20"/>
          <w:lang w:eastAsia="cs-CZ"/>
        </w:rPr>
        <w:t>;</w:t>
      </w:r>
    </w:p>
    <w:p w:rsidR="00445E30" w:rsidRDefault="00445E30" w:rsidP="00FE6025">
      <w:pPr>
        <w:pStyle w:val="Odsekzoznamu"/>
        <w:numPr>
          <w:ilvl w:val="0"/>
          <w:numId w:val="28"/>
        </w:numPr>
        <w:spacing w:before="120" w:after="120"/>
        <w:jc w:val="both"/>
      </w:pPr>
      <w:r w:rsidRPr="004C2534">
        <w:rPr>
          <w:sz w:val="22"/>
          <w:szCs w:val="20"/>
          <w:lang w:eastAsia="en-US"/>
        </w:rPr>
        <w:t xml:space="preserve">keďže v rámci riadenia projektov v programovom období 2007 – 2013 boli identifikované nedostatočné odborné kapacity prijímateľov, v rámci prípravy </w:t>
      </w:r>
      <w:r>
        <w:rPr>
          <w:sz w:val="22"/>
          <w:szCs w:val="20"/>
          <w:lang w:eastAsia="en-US"/>
        </w:rPr>
        <w:t xml:space="preserve">písomných </w:t>
      </w:r>
      <w:r w:rsidRPr="004C2534">
        <w:rPr>
          <w:sz w:val="22"/>
          <w:szCs w:val="20"/>
          <w:lang w:eastAsia="en-US"/>
        </w:rPr>
        <w:t>v</w:t>
      </w:r>
      <w:r>
        <w:rPr>
          <w:sz w:val="22"/>
          <w:szCs w:val="20"/>
          <w:lang w:eastAsia="en-US"/>
        </w:rPr>
        <w:t>y</w:t>
      </w:r>
      <w:r w:rsidRPr="004C2534">
        <w:rPr>
          <w:sz w:val="22"/>
          <w:szCs w:val="20"/>
          <w:lang w:eastAsia="en-US"/>
        </w:rPr>
        <w:t>zv</w:t>
      </w:r>
      <w:r>
        <w:rPr>
          <w:sz w:val="22"/>
          <w:szCs w:val="20"/>
          <w:lang w:eastAsia="en-US"/>
        </w:rPr>
        <w:t>aní</w:t>
      </w:r>
      <w:r w:rsidRPr="004C2534">
        <w:rPr>
          <w:sz w:val="22"/>
          <w:szCs w:val="20"/>
          <w:lang w:eastAsia="en-US"/>
        </w:rPr>
        <w:t xml:space="preserve"> pre </w:t>
      </w:r>
      <w:r>
        <w:rPr>
          <w:sz w:val="22"/>
          <w:szCs w:val="20"/>
          <w:lang w:eastAsia="en-US"/>
        </w:rPr>
        <w:t>P</w:t>
      </w:r>
      <w:r w:rsidR="001355D9">
        <w:rPr>
          <w:sz w:val="22"/>
          <w:szCs w:val="20"/>
          <w:lang w:eastAsia="en-US"/>
        </w:rPr>
        <w:t>rioritnú os 7 môže byť</w:t>
      </w:r>
      <w:r w:rsidRPr="004C2534">
        <w:rPr>
          <w:sz w:val="22"/>
          <w:szCs w:val="20"/>
          <w:lang w:eastAsia="en-US"/>
        </w:rPr>
        <w:t xml:space="preserve"> definovaná povinnosť prijímateľa vyčleniť </w:t>
      </w:r>
      <w:r w:rsidR="001355D9">
        <w:rPr>
          <w:sz w:val="22"/>
          <w:szCs w:val="20"/>
          <w:lang w:eastAsia="en-US"/>
        </w:rPr>
        <w:t xml:space="preserve">maximálne </w:t>
      </w:r>
      <w:r>
        <w:rPr>
          <w:sz w:val="22"/>
          <w:szCs w:val="20"/>
          <w:lang w:eastAsia="en-US"/>
        </w:rPr>
        <w:t xml:space="preserve">3 </w:t>
      </w:r>
      <w:r w:rsidRPr="004C2534">
        <w:rPr>
          <w:sz w:val="22"/>
          <w:szCs w:val="20"/>
          <w:lang w:eastAsia="en-US"/>
        </w:rPr>
        <w:t>% oprávnených výdavkov projektu pre programovú kanceláriu MF SR (ako partnera projektu), ktorá bude priamo aktívne participovať na riadení projektov a zabezpečení komplexného riadenia budovania informačnej spoločnosti.</w:t>
      </w:r>
    </w:p>
    <w:p w:rsidR="00445E30" w:rsidRDefault="00445E30" w:rsidP="00445E30">
      <w:pPr>
        <w:pStyle w:val="06Normal"/>
        <w:spacing w:before="240"/>
      </w:pPr>
      <w:r>
        <w:t>Pri výbere projektov bude hrať kľúčovú úlohu správne nastavený schvaľovací proces, s cieľom zabezpečenia transparentného a efektívneho výberového procesu zadefinovaním jasných a objektívnych kritérií výberu operácií umožňujúcich objektívne posúdiť a vyhodnotiť mieru prínosu projektu k naplneniu špecifických cieľov operačného programu:</w:t>
      </w:r>
    </w:p>
    <w:p w:rsidR="00445E30" w:rsidRDefault="00445E30" w:rsidP="00FE6025">
      <w:pPr>
        <w:pStyle w:val="Odsekzoznamu"/>
        <w:numPr>
          <w:ilvl w:val="0"/>
          <w:numId w:val="28"/>
        </w:numPr>
        <w:spacing w:before="120" w:after="120"/>
        <w:jc w:val="both"/>
      </w:pPr>
      <w:r w:rsidRPr="004C2534">
        <w:rPr>
          <w:sz w:val="22"/>
          <w:szCs w:val="20"/>
          <w:lang w:eastAsia="en-US"/>
        </w:rPr>
        <w:t>jasne definovaným formátom projektu;</w:t>
      </w:r>
    </w:p>
    <w:p w:rsidR="00445E30" w:rsidRDefault="00445E30" w:rsidP="00FE6025">
      <w:pPr>
        <w:pStyle w:val="Odsekzoznamu"/>
        <w:numPr>
          <w:ilvl w:val="0"/>
          <w:numId w:val="28"/>
        </w:numPr>
        <w:spacing w:before="120" w:after="120"/>
        <w:jc w:val="both"/>
      </w:pPr>
      <w:r w:rsidRPr="004C2534">
        <w:rPr>
          <w:sz w:val="22"/>
          <w:szCs w:val="20"/>
          <w:lang w:eastAsia="en-US"/>
        </w:rPr>
        <w:t>hodnotiace kritériá, ktoré budú schvaľované v závislosti od charakteru prioritnej osi/špecifického cieľa a budú zamerané na cielené posúdenie prínosu okruhu obsahovo podobných projekto</w:t>
      </w:r>
      <w:r>
        <w:rPr>
          <w:sz w:val="22"/>
          <w:szCs w:val="20"/>
          <w:lang w:eastAsia="en-US"/>
        </w:rPr>
        <w:t>v k </w:t>
      </w:r>
      <w:r w:rsidRPr="004C2534">
        <w:rPr>
          <w:sz w:val="22"/>
          <w:szCs w:val="20"/>
          <w:lang w:eastAsia="en-US"/>
        </w:rPr>
        <w:t>týmto cieľom;</w:t>
      </w:r>
    </w:p>
    <w:p w:rsidR="00445E30" w:rsidRDefault="00445E30" w:rsidP="00FE6025">
      <w:pPr>
        <w:pStyle w:val="Odsekzoznamu"/>
        <w:numPr>
          <w:ilvl w:val="0"/>
          <w:numId w:val="28"/>
        </w:numPr>
        <w:spacing w:before="120" w:after="120"/>
        <w:jc w:val="both"/>
      </w:pPr>
      <w:r w:rsidRPr="004C2534">
        <w:rPr>
          <w:sz w:val="22"/>
          <w:szCs w:val="20"/>
          <w:lang w:eastAsia="en-US"/>
        </w:rPr>
        <w:t>systémom opravných prostriedkov.</w:t>
      </w:r>
    </w:p>
    <w:p w:rsidR="00445E30" w:rsidRPr="007F1C63" w:rsidRDefault="00445E30" w:rsidP="00445E30">
      <w:pPr>
        <w:keepNext/>
        <w:numPr>
          <w:ilvl w:val="3"/>
          <w:numId w:val="18"/>
        </w:numPr>
        <w:tabs>
          <w:tab w:val="left" w:pos="709"/>
        </w:tabs>
        <w:spacing w:before="24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Plánované využitie finančných nástrojov</w:t>
      </w:r>
    </w:p>
    <w:p w:rsidR="00445E30" w:rsidRPr="007F1C63" w:rsidRDefault="00445E30" w:rsidP="00445E30">
      <w:pPr>
        <w:jc w:val="both"/>
        <w:rPr>
          <w:sz w:val="22"/>
          <w:szCs w:val="22"/>
        </w:rPr>
      </w:pPr>
      <w:r w:rsidRPr="007F1C63">
        <w:rPr>
          <w:sz w:val="22"/>
          <w:szCs w:val="22"/>
        </w:rPr>
        <w:t>Finančné nástroje budú použité na podporu implementácie tých aktivít, pri ktorých bude preukázané efektívnejšie využitie finančných prostriedkov z EŠIF takouto formou podpory. Pri ekonomicky životaschopných projektoch, kde sa predpokladá návratnosť prostriedkov alebo úspora nákladov, predstavujú finančné nástroje vhodnejšiu formu podpory, ktorá vedie len k minimálnej, prípadne žiadnej deformácii trhu a nenarúša tak hospodársku súťaž. Finančné nástroje budú zamerané na podporu tých aktivít, ktoré nenachádzajú financovanie na trhu, prípadne nenachádzajú adekvátne financovanie, pri ktorom by ich realizácia bola efektívnou.</w:t>
      </w:r>
    </w:p>
    <w:p w:rsidR="00445E30" w:rsidRPr="007F1C63" w:rsidRDefault="00445E30" w:rsidP="00445E30">
      <w:pPr>
        <w:spacing w:before="180"/>
        <w:jc w:val="both"/>
        <w:rPr>
          <w:sz w:val="22"/>
          <w:szCs w:val="22"/>
        </w:rPr>
      </w:pPr>
      <w:r w:rsidRPr="007F1C63">
        <w:rPr>
          <w:sz w:val="22"/>
          <w:szCs w:val="22"/>
        </w:rPr>
        <w:lastRenderedPageBreak/>
        <w:t>Okrem možnosti opakovateľného použitia prostriedkov spolu s akýmikoľvek ziskami na ciele prioritnej osi patrí medzi výhody využitia finančných nástrojov možnosť navýšenia prostriedkov pre dosiahnutie príslušných cieľov prostredníctvom pritiahnutia dodatočného kapitálu vďaka atraktívnemu nastaveniu daných nástrojov. Pritiahnutie dodatočného kapitálu je potrebné aj vzhľadom na limitovaný objem prostriedkov z EŠIF na pokrytie všetkých investičných potrieb v príslušných oblastiach. Účasť súkromných investorov môže prispieť aj ku skvalitneniu implementácie projektov, a teda dodatočne prispieva k celkovo efektívnejšiemu použitiu finančných prostriedkov.</w:t>
      </w:r>
    </w:p>
    <w:p w:rsidR="00445E30" w:rsidRPr="007F1C63" w:rsidRDefault="00445E30" w:rsidP="00445E30">
      <w:pPr>
        <w:spacing w:before="180"/>
        <w:jc w:val="both"/>
        <w:rPr>
          <w:sz w:val="22"/>
          <w:szCs w:val="22"/>
        </w:rPr>
      </w:pPr>
      <w:r w:rsidRPr="007F1C63">
        <w:rPr>
          <w:sz w:val="22"/>
          <w:szCs w:val="22"/>
        </w:rPr>
        <w:t xml:space="preserve">Príslušné aktivity bude možné podporiť rôznymi finančnými produktmi (úvery, záruky, kapitálové vklady, mezanínové financovanie a pod.). V súlade s čl. 37(2) nariadenia č. 1303/2013, </w:t>
      </w:r>
      <w:r w:rsidRPr="007F1C63">
        <w:rPr>
          <w:b/>
          <w:sz w:val="22"/>
          <w:szCs w:val="22"/>
        </w:rPr>
        <w:t>konkrétne aktivity, vhodná suma prostriedkov a podmienky implementácie finančných nástrojov vrátane možnej multiplikácie alokovaných prostriedkov a ich kombinácie s inými formami podpory budú vychádzať z výsledkov ex ante hodnotenia pre finančné nástroje.</w:t>
      </w:r>
    </w:p>
    <w:p w:rsidR="00445E30" w:rsidRPr="007F1C63" w:rsidRDefault="00445E30" w:rsidP="00445E30">
      <w:pPr>
        <w:keepNext/>
        <w:numPr>
          <w:ilvl w:val="3"/>
          <w:numId w:val="18"/>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Plánované využitie veľkých projektov</w:t>
      </w:r>
    </w:p>
    <w:p w:rsidR="00445E30" w:rsidRPr="008246A5" w:rsidRDefault="001218A8" w:rsidP="00445E30">
      <w:pPr>
        <w:jc w:val="both"/>
        <w:rPr>
          <w:snapToGrid w:val="0"/>
          <w:sz w:val="22"/>
          <w:szCs w:val="23"/>
          <w:lang w:eastAsia="cs-CZ"/>
        </w:rPr>
      </w:pPr>
      <w:r w:rsidRPr="001218A8">
        <w:rPr>
          <w:snapToGrid w:val="0"/>
          <w:sz w:val="22"/>
          <w:szCs w:val="23"/>
          <w:lang w:eastAsia="cs-CZ"/>
        </w:rPr>
        <w:t>V rámci investičnej priority 2c) Posilnenie aplikácií IKT v rámci elektronickej štátnej správy, elektronického vzdelávania, elektronickej inklúzie, elektronickej kultúry a elektronického zdravotníctva sa  neuvažuje o veľkých projektoch.</w:t>
      </w:r>
    </w:p>
    <w:p w:rsidR="00445E30" w:rsidRPr="007F1C63" w:rsidRDefault="00445E30" w:rsidP="00445E30">
      <w:pPr>
        <w:keepNext/>
        <w:numPr>
          <w:ilvl w:val="3"/>
          <w:numId w:val="18"/>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Ukazovatele výstupu na úrovni investičnej priority a kategórie regiónu</w:t>
      </w:r>
    </w:p>
    <w:p w:rsidR="00445E30" w:rsidRDefault="00445E30" w:rsidP="00177922">
      <w:pPr>
        <w:pStyle w:val="Tab"/>
      </w:pPr>
      <w:r>
        <w:t>Š</w:t>
      </w:r>
      <w:r w:rsidRPr="007F1C63">
        <w:t xml:space="preserve">pecifické ukazovatele výstupu investičnej priority </w:t>
      </w:r>
      <w:r>
        <w:t>2</w:t>
      </w:r>
      <w:r w:rsidR="00177922">
        <w:t>c</w:t>
      </w:r>
      <w:r w:rsidRPr="007F1C63">
        <w:t>)</w:t>
      </w:r>
      <w:r>
        <w:t>, ŠC 7.</w:t>
      </w:r>
      <w:r w:rsidR="00177922">
        <w:t>3</w:t>
      </w:r>
      <w:r w:rsidRPr="00AF27FE">
        <w:t xml:space="preserve"> </w:t>
      </w:r>
      <w:r w:rsidR="00177922" w:rsidRPr="00177922">
        <w:t>Zvýšenie kvality, štandardu a dostupnosti eGovernment služieb pre podnikateľov</w:t>
      </w:r>
    </w:p>
    <w:tbl>
      <w:tblPr>
        <w:tblStyle w:val="Mriekatabuky"/>
        <w:tblW w:w="9244" w:type="dxa"/>
        <w:jc w:val="center"/>
        <w:tblLayout w:type="fixed"/>
        <w:tblLook w:val="04A0"/>
      </w:tblPr>
      <w:tblGrid>
        <w:gridCol w:w="513"/>
        <w:gridCol w:w="3628"/>
        <w:gridCol w:w="850"/>
        <w:gridCol w:w="709"/>
        <w:gridCol w:w="908"/>
        <w:gridCol w:w="935"/>
        <w:gridCol w:w="850"/>
        <w:gridCol w:w="851"/>
      </w:tblGrid>
      <w:tr w:rsidR="00177922" w:rsidRPr="002309F8" w:rsidTr="00B83833">
        <w:trPr>
          <w:trHeight w:val="340"/>
          <w:jc w:val="center"/>
        </w:trPr>
        <w:tc>
          <w:tcPr>
            <w:tcW w:w="513"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P. č.</w:t>
            </w:r>
          </w:p>
        </w:tc>
        <w:tc>
          <w:tcPr>
            <w:tcW w:w="3628" w:type="dxa"/>
            <w:tcBorders>
              <w:bottom w:val="single" w:sz="4" w:space="0" w:color="auto"/>
            </w:tcBorders>
            <w:shd w:val="clear" w:color="auto" w:fill="C6D9F1" w:themeFill="text2" w:themeFillTint="33"/>
            <w:vAlign w:val="center"/>
          </w:tcPr>
          <w:p w:rsidR="00177922" w:rsidRPr="00177922" w:rsidRDefault="001218A8" w:rsidP="00B83833">
            <w:pPr>
              <w:ind w:left="0"/>
              <w:rPr>
                <w:b/>
                <w:sz w:val="18"/>
                <w:szCs w:val="18"/>
              </w:rPr>
            </w:pPr>
            <w:r w:rsidRPr="001218A8">
              <w:rPr>
                <w:b/>
                <w:sz w:val="18"/>
                <w:szCs w:val="18"/>
              </w:rPr>
              <w:t>Ukazovateľ (názov ukazovateľa)</w:t>
            </w:r>
          </w:p>
        </w:tc>
        <w:tc>
          <w:tcPr>
            <w:tcW w:w="850"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Merná jednotka</w:t>
            </w:r>
          </w:p>
        </w:tc>
        <w:tc>
          <w:tcPr>
            <w:tcW w:w="709"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Fond</w:t>
            </w:r>
          </w:p>
        </w:tc>
        <w:tc>
          <w:tcPr>
            <w:tcW w:w="908"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highlight w:val="yellow"/>
              </w:rPr>
            </w:pPr>
            <w:r w:rsidRPr="001218A8">
              <w:rPr>
                <w:b/>
                <w:sz w:val="18"/>
                <w:szCs w:val="18"/>
              </w:rPr>
              <w:t>Kategória regiónu</w:t>
            </w:r>
          </w:p>
        </w:tc>
        <w:tc>
          <w:tcPr>
            <w:tcW w:w="935"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Cieľová hodnota (2023)</w:t>
            </w:r>
          </w:p>
        </w:tc>
        <w:tc>
          <w:tcPr>
            <w:tcW w:w="850"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Zdroj údajov</w:t>
            </w:r>
          </w:p>
        </w:tc>
        <w:tc>
          <w:tcPr>
            <w:tcW w:w="851" w:type="dxa"/>
            <w:tcBorders>
              <w:bottom w:val="single" w:sz="4" w:space="0" w:color="auto"/>
            </w:tcBorders>
            <w:shd w:val="clear" w:color="auto" w:fill="C6D9F1" w:themeFill="text2" w:themeFillTint="33"/>
          </w:tcPr>
          <w:p w:rsidR="00177922" w:rsidRPr="00177922" w:rsidRDefault="001218A8" w:rsidP="00177922">
            <w:pPr>
              <w:ind w:left="0"/>
              <w:jc w:val="center"/>
              <w:rPr>
                <w:b/>
                <w:sz w:val="18"/>
                <w:szCs w:val="18"/>
                <w:highlight w:val="yellow"/>
              </w:rPr>
            </w:pPr>
            <w:r w:rsidRPr="001218A8">
              <w:rPr>
                <w:b/>
                <w:sz w:val="18"/>
                <w:szCs w:val="18"/>
              </w:rPr>
              <w:t>Frekvencia vykazovania</w:t>
            </w:r>
          </w:p>
        </w:tc>
      </w:tr>
      <w:tr w:rsidR="00177922" w:rsidRPr="002309F8" w:rsidTr="00B83833">
        <w:trPr>
          <w:trHeight w:val="454"/>
          <w:jc w:val="center"/>
        </w:trPr>
        <w:tc>
          <w:tcPr>
            <w:tcW w:w="513" w:type="dxa"/>
            <w:shd w:val="clear" w:color="auto" w:fill="auto"/>
            <w:vAlign w:val="center"/>
          </w:tcPr>
          <w:p w:rsidR="00177922" w:rsidRPr="00DA54CE" w:rsidRDefault="00177922" w:rsidP="00B83833">
            <w:pPr>
              <w:ind w:left="0"/>
              <w:jc w:val="center"/>
              <w:rPr>
                <w:sz w:val="17"/>
                <w:szCs w:val="17"/>
              </w:rPr>
            </w:pPr>
            <w:r w:rsidRPr="00DA54CE">
              <w:rPr>
                <w:sz w:val="17"/>
                <w:szCs w:val="17"/>
              </w:rPr>
              <w:t>1.</w:t>
            </w:r>
          </w:p>
        </w:tc>
        <w:tc>
          <w:tcPr>
            <w:tcW w:w="3628" w:type="dxa"/>
            <w:shd w:val="clear" w:color="auto" w:fill="auto"/>
            <w:vAlign w:val="center"/>
          </w:tcPr>
          <w:p w:rsidR="00177922" w:rsidRPr="00DA54CE" w:rsidRDefault="00177922" w:rsidP="00AF5171">
            <w:pPr>
              <w:tabs>
                <w:tab w:val="left" w:pos="567"/>
                <w:tab w:val="left" w:leader="dot" w:pos="9356"/>
              </w:tabs>
              <w:ind w:left="0" w:hanging="851"/>
              <w:rPr>
                <w:sz w:val="17"/>
                <w:szCs w:val="17"/>
              </w:rPr>
            </w:pPr>
            <w:r w:rsidRPr="00DA54CE">
              <w:rPr>
                <w:sz w:val="17"/>
                <w:szCs w:val="17"/>
              </w:rPr>
              <w:t xml:space="preserve">                   </w:t>
            </w:r>
            <w:r w:rsidRPr="00CE40F1">
              <w:rPr>
                <w:sz w:val="18"/>
                <w:szCs w:val="18"/>
              </w:rPr>
              <w:t>Počet nových zjednodušených životných situácií pre podnikateľov, realizovaných kombináciou elektronických služieb</w:t>
            </w:r>
            <w:r w:rsidRPr="00DA54CE">
              <w:rPr>
                <w:sz w:val="17"/>
                <w:szCs w:val="17"/>
              </w:rPr>
              <w:t xml:space="preserve"> </w:t>
            </w:r>
          </w:p>
        </w:tc>
        <w:tc>
          <w:tcPr>
            <w:tcW w:w="850"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Počet</w:t>
            </w:r>
          </w:p>
        </w:tc>
        <w:tc>
          <w:tcPr>
            <w:tcW w:w="709"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EFRR</w:t>
            </w:r>
          </w:p>
        </w:tc>
        <w:tc>
          <w:tcPr>
            <w:tcW w:w="908"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Menej rozvinuté regióny</w:t>
            </w:r>
          </w:p>
        </w:tc>
        <w:tc>
          <w:tcPr>
            <w:tcW w:w="935"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9</w:t>
            </w:r>
          </w:p>
        </w:tc>
        <w:tc>
          <w:tcPr>
            <w:tcW w:w="850"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SORO </w:t>
            </w:r>
          </w:p>
        </w:tc>
        <w:tc>
          <w:tcPr>
            <w:tcW w:w="851"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Ročne počas trvania projektov</w:t>
            </w:r>
          </w:p>
        </w:tc>
      </w:tr>
      <w:tr w:rsidR="00177922" w:rsidRPr="002309F8" w:rsidTr="00B83833">
        <w:trPr>
          <w:trHeight w:val="454"/>
          <w:jc w:val="center"/>
        </w:trPr>
        <w:tc>
          <w:tcPr>
            <w:tcW w:w="513" w:type="dxa"/>
            <w:shd w:val="clear" w:color="auto" w:fill="auto"/>
            <w:vAlign w:val="center"/>
          </w:tcPr>
          <w:p w:rsidR="00177922" w:rsidRPr="00DA54CE" w:rsidRDefault="00177922" w:rsidP="00B83833">
            <w:pPr>
              <w:ind w:left="0"/>
              <w:jc w:val="center"/>
              <w:rPr>
                <w:sz w:val="17"/>
                <w:szCs w:val="17"/>
              </w:rPr>
            </w:pPr>
            <w:r w:rsidRPr="00DA54CE">
              <w:rPr>
                <w:sz w:val="17"/>
                <w:szCs w:val="17"/>
              </w:rPr>
              <w:t>2.</w:t>
            </w:r>
          </w:p>
        </w:tc>
        <w:tc>
          <w:tcPr>
            <w:tcW w:w="3628" w:type="dxa"/>
            <w:shd w:val="clear" w:color="auto" w:fill="auto"/>
          </w:tcPr>
          <w:p w:rsidR="00177922" w:rsidRPr="00DA54CE" w:rsidDel="000657D9" w:rsidRDefault="00177922" w:rsidP="00AF5171">
            <w:pPr>
              <w:tabs>
                <w:tab w:val="left" w:leader="dot" w:pos="9356"/>
              </w:tabs>
              <w:ind w:left="0" w:hanging="851"/>
              <w:rPr>
                <w:sz w:val="17"/>
                <w:szCs w:val="17"/>
              </w:rPr>
            </w:pPr>
            <w:r w:rsidRPr="00DA54CE">
              <w:rPr>
                <w:sz w:val="17"/>
                <w:szCs w:val="17"/>
              </w:rPr>
              <w:t xml:space="preserve">                   </w:t>
            </w:r>
            <w:r w:rsidRPr="00CE40F1">
              <w:rPr>
                <w:sz w:val="18"/>
                <w:szCs w:val="18"/>
              </w:rPr>
              <w:t>Počet nových cezhraničných služieb pre podnikateľov</w:t>
            </w:r>
            <w:r w:rsidRPr="00DA54CE">
              <w:rPr>
                <w:i/>
                <w:sz w:val="17"/>
                <w:szCs w:val="17"/>
              </w:rPr>
              <w:t xml:space="preserve"> </w:t>
            </w:r>
          </w:p>
        </w:tc>
        <w:tc>
          <w:tcPr>
            <w:tcW w:w="850" w:type="dxa"/>
            <w:shd w:val="clear" w:color="auto" w:fill="auto"/>
            <w:vAlign w:val="center"/>
          </w:tcPr>
          <w:p w:rsidR="00177922" w:rsidRPr="00CE40F1" w:rsidDel="000657D9" w:rsidRDefault="00177922" w:rsidP="00B83833">
            <w:pPr>
              <w:tabs>
                <w:tab w:val="left" w:pos="567"/>
                <w:tab w:val="left" w:leader="dot" w:pos="9356"/>
              </w:tabs>
              <w:ind w:left="0" w:hanging="851"/>
              <w:jc w:val="center"/>
              <w:rPr>
                <w:sz w:val="18"/>
                <w:szCs w:val="18"/>
              </w:rPr>
            </w:pPr>
            <w:r w:rsidRPr="00CE40F1">
              <w:rPr>
                <w:sz w:val="18"/>
                <w:szCs w:val="18"/>
              </w:rPr>
              <w:t xml:space="preserve">              Počet</w:t>
            </w:r>
          </w:p>
        </w:tc>
        <w:tc>
          <w:tcPr>
            <w:tcW w:w="709"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EFRR</w:t>
            </w:r>
          </w:p>
        </w:tc>
        <w:tc>
          <w:tcPr>
            <w:tcW w:w="908"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Menej rozvinuté regióny </w:t>
            </w:r>
          </w:p>
        </w:tc>
        <w:tc>
          <w:tcPr>
            <w:tcW w:w="935"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12</w:t>
            </w:r>
          </w:p>
        </w:tc>
        <w:tc>
          <w:tcPr>
            <w:tcW w:w="850"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SORO</w:t>
            </w:r>
          </w:p>
        </w:tc>
        <w:tc>
          <w:tcPr>
            <w:tcW w:w="851"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Ročne počas trvania projektov</w:t>
            </w:r>
          </w:p>
        </w:tc>
      </w:tr>
      <w:tr w:rsidR="00177922" w:rsidRPr="002309F8" w:rsidTr="00B83833">
        <w:trPr>
          <w:trHeight w:val="1190"/>
          <w:jc w:val="center"/>
        </w:trPr>
        <w:tc>
          <w:tcPr>
            <w:tcW w:w="513" w:type="dxa"/>
            <w:shd w:val="clear" w:color="auto" w:fill="auto"/>
            <w:vAlign w:val="center"/>
          </w:tcPr>
          <w:p w:rsidR="00177922" w:rsidRPr="00DA54CE" w:rsidRDefault="00177922" w:rsidP="00B83833">
            <w:pPr>
              <w:ind w:left="0"/>
              <w:jc w:val="center"/>
              <w:rPr>
                <w:sz w:val="17"/>
                <w:szCs w:val="17"/>
              </w:rPr>
            </w:pPr>
            <w:r w:rsidRPr="00DA54CE">
              <w:rPr>
                <w:sz w:val="17"/>
                <w:szCs w:val="17"/>
              </w:rPr>
              <w:t>3.</w:t>
            </w:r>
          </w:p>
        </w:tc>
        <w:tc>
          <w:tcPr>
            <w:tcW w:w="3628" w:type="dxa"/>
            <w:shd w:val="clear" w:color="auto" w:fill="auto"/>
          </w:tcPr>
          <w:p w:rsidR="00177922" w:rsidRPr="00DA54CE" w:rsidDel="000657D9" w:rsidRDefault="00177922" w:rsidP="00AF5171">
            <w:pPr>
              <w:tabs>
                <w:tab w:val="left" w:pos="567"/>
                <w:tab w:val="left" w:leader="dot" w:pos="9356"/>
              </w:tabs>
              <w:ind w:left="0" w:hanging="851"/>
              <w:rPr>
                <w:sz w:val="17"/>
                <w:szCs w:val="17"/>
              </w:rPr>
            </w:pPr>
            <w:r w:rsidRPr="00DA54CE">
              <w:rPr>
                <w:sz w:val="17"/>
                <w:szCs w:val="17"/>
              </w:rPr>
              <w:t xml:space="preserve">                  </w:t>
            </w:r>
            <w:r w:rsidRPr="00CE40F1">
              <w:rPr>
                <w:sz w:val="18"/>
                <w:szCs w:val="18"/>
              </w:rPr>
              <w:t xml:space="preserve"> </w:t>
            </w:r>
            <w:r>
              <w:rPr>
                <w:sz w:val="18"/>
                <w:szCs w:val="18"/>
              </w:rPr>
              <w:t xml:space="preserve">Podiel </w:t>
            </w:r>
            <w:r w:rsidRPr="00CE40F1">
              <w:rPr>
                <w:sz w:val="18"/>
                <w:szCs w:val="18"/>
              </w:rPr>
              <w:t>dodatočných elektronických služieb pre</w:t>
            </w:r>
            <w:r>
              <w:rPr>
                <w:sz w:val="18"/>
                <w:szCs w:val="18"/>
              </w:rPr>
              <w:t xml:space="preserve"> </w:t>
            </w:r>
            <w:r w:rsidRPr="00CE40F1">
              <w:rPr>
                <w:sz w:val="18"/>
                <w:szCs w:val="18"/>
              </w:rPr>
              <w:t>podnikateľov, ktoré je možné riešiť mobilnou aplikáciou</w:t>
            </w:r>
            <w:r w:rsidRPr="00DA54CE">
              <w:rPr>
                <w:sz w:val="17"/>
                <w:szCs w:val="17"/>
              </w:rPr>
              <w:t xml:space="preserve"> </w:t>
            </w:r>
          </w:p>
        </w:tc>
        <w:tc>
          <w:tcPr>
            <w:tcW w:w="850" w:type="dxa"/>
            <w:shd w:val="clear" w:color="auto" w:fill="auto"/>
            <w:vAlign w:val="center"/>
          </w:tcPr>
          <w:p w:rsidR="00177922" w:rsidRPr="00CE40F1" w:rsidDel="000657D9" w:rsidRDefault="00177922" w:rsidP="00B83833">
            <w:pPr>
              <w:tabs>
                <w:tab w:val="left" w:pos="567"/>
                <w:tab w:val="left" w:leader="dot" w:pos="9356"/>
              </w:tabs>
              <w:ind w:left="0" w:hanging="851"/>
              <w:jc w:val="center"/>
              <w:rPr>
                <w:sz w:val="18"/>
                <w:szCs w:val="18"/>
              </w:rPr>
            </w:pPr>
            <w:r w:rsidRPr="00CE40F1">
              <w:rPr>
                <w:sz w:val="18"/>
                <w:szCs w:val="18"/>
              </w:rPr>
              <w:t xml:space="preserve">                   </w:t>
            </w:r>
            <w:r w:rsidRPr="007A5A21">
              <w:rPr>
                <w:sz w:val="18"/>
                <w:szCs w:val="18"/>
              </w:rPr>
              <w:t>%</w:t>
            </w:r>
          </w:p>
        </w:tc>
        <w:tc>
          <w:tcPr>
            <w:tcW w:w="709"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EFRR</w:t>
            </w:r>
          </w:p>
        </w:tc>
        <w:tc>
          <w:tcPr>
            <w:tcW w:w="908"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Menej rozvinuté regióny</w:t>
            </w:r>
          </w:p>
        </w:tc>
        <w:tc>
          <w:tcPr>
            <w:tcW w:w="935"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40 % zo zoznamu eGovernment služieb (s výnimkou služieb ktoré riešia publikovanie informácií)</w:t>
            </w:r>
          </w:p>
        </w:tc>
        <w:tc>
          <w:tcPr>
            <w:tcW w:w="850"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 xml:space="preserve">              SORO</w:t>
            </w:r>
          </w:p>
        </w:tc>
        <w:tc>
          <w:tcPr>
            <w:tcW w:w="851"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sidRPr="00CE40F1">
              <w:rPr>
                <w:sz w:val="18"/>
                <w:szCs w:val="18"/>
              </w:rPr>
              <w:t>Ročne počas trvania projektov</w:t>
            </w:r>
          </w:p>
        </w:tc>
      </w:tr>
    </w:tbl>
    <w:p w:rsidR="00E92F9B" w:rsidRDefault="00FB0F54">
      <w:pPr>
        <w:pStyle w:val="Tab"/>
        <w:jc w:val="both"/>
      </w:pPr>
      <w:r>
        <w:t xml:space="preserve"> </w:t>
      </w:r>
      <w:r w:rsidR="00177922" w:rsidRPr="00177922">
        <w:t>Špecifické ukazovatele výstupov pre investičnú prioritu 2</w:t>
      </w:r>
      <w:r w:rsidR="00177922">
        <w:t>c</w:t>
      </w:r>
      <w:r w:rsidR="00177922" w:rsidRPr="00177922">
        <w:t xml:space="preserve">), ŠC </w:t>
      </w:r>
      <w:r w:rsidR="00177922">
        <w:t>7.4</w:t>
      </w:r>
      <w:r w:rsidR="00177922" w:rsidRPr="00177922">
        <w:t>: Zvýšenie kvality, štandardu a dostupnosti eGovernment služieb pre občanov</w:t>
      </w:r>
    </w:p>
    <w:tbl>
      <w:tblPr>
        <w:tblStyle w:val="Mriekatabuky"/>
        <w:tblW w:w="9244" w:type="dxa"/>
        <w:jc w:val="center"/>
        <w:shd w:val="clear" w:color="auto" w:fill="DBE5F1" w:themeFill="accent1" w:themeFillTint="33"/>
        <w:tblLayout w:type="fixed"/>
        <w:tblLook w:val="04A0"/>
      </w:tblPr>
      <w:tblGrid>
        <w:gridCol w:w="513"/>
        <w:gridCol w:w="3628"/>
        <w:gridCol w:w="850"/>
        <w:gridCol w:w="709"/>
        <w:gridCol w:w="908"/>
        <w:gridCol w:w="935"/>
        <w:gridCol w:w="850"/>
        <w:gridCol w:w="851"/>
      </w:tblGrid>
      <w:tr w:rsidR="00177922" w:rsidRPr="002309F8" w:rsidTr="00B83833">
        <w:trPr>
          <w:trHeight w:val="340"/>
          <w:jc w:val="center"/>
        </w:trPr>
        <w:tc>
          <w:tcPr>
            <w:tcW w:w="513"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P. č.</w:t>
            </w:r>
          </w:p>
        </w:tc>
        <w:tc>
          <w:tcPr>
            <w:tcW w:w="3628" w:type="dxa"/>
            <w:tcBorders>
              <w:bottom w:val="single" w:sz="4" w:space="0" w:color="auto"/>
            </w:tcBorders>
            <w:shd w:val="clear" w:color="auto" w:fill="C6D9F1" w:themeFill="text2" w:themeFillTint="33"/>
            <w:vAlign w:val="center"/>
          </w:tcPr>
          <w:p w:rsidR="00177922" w:rsidRPr="00177922" w:rsidRDefault="001218A8" w:rsidP="00B83833">
            <w:pPr>
              <w:ind w:left="0"/>
              <w:rPr>
                <w:b/>
                <w:sz w:val="18"/>
                <w:szCs w:val="18"/>
              </w:rPr>
            </w:pPr>
            <w:r w:rsidRPr="001218A8">
              <w:rPr>
                <w:b/>
                <w:sz w:val="18"/>
                <w:szCs w:val="18"/>
              </w:rPr>
              <w:t>Ukazovateľ (názov ukazovateľa)</w:t>
            </w:r>
          </w:p>
        </w:tc>
        <w:tc>
          <w:tcPr>
            <w:tcW w:w="850"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Merná jednotka</w:t>
            </w:r>
          </w:p>
        </w:tc>
        <w:tc>
          <w:tcPr>
            <w:tcW w:w="709"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Fond</w:t>
            </w:r>
          </w:p>
        </w:tc>
        <w:tc>
          <w:tcPr>
            <w:tcW w:w="908"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highlight w:val="yellow"/>
              </w:rPr>
            </w:pPr>
            <w:r w:rsidRPr="001218A8">
              <w:rPr>
                <w:b/>
                <w:sz w:val="18"/>
                <w:szCs w:val="18"/>
              </w:rPr>
              <w:t>Kategória regiónu</w:t>
            </w:r>
          </w:p>
        </w:tc>
        <w:tc>
          <w:tcPr>
            <w:tcW w:w="935"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Cieľová hodnota (2023)</w:t>
            </w:r>
          </w:p>
        </w:tc>
        <w:tc>
          <w:tcPr>
            <w:tcW w:w="850"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Zdroj údajov</w:t>
            </w:r>
          </w:p>
        </w:tc>
        <w:tc>
          <w:tcPr>
            <w:tcW w:w="851" w:type="dxa"/>
            <w:tcBorders>
              <w:bottom w:val="single" w:sz="4" w:space="0" w:color="auto"/>
            </w:tcBorders>
            <w:shd w:val="clear" w:color="auto" w:fill="C6D9F1" w:themeFill="text2" w:themeFillTint="33"/>
          </w:tcPr>
          <w:p w:rsidR="00177922" w:rsidRPr="00177922" w:rsidRDefault="001218A8" w:rsidP="00B83833">
            <w:pPr>
              <w:ind w:left="0"/>
              <w:jc w:val="center"/>
              <w:rPr>
                <w:b/>
                <w:sz w:val="18"/>
                <w:szCs w:val="18"/>
                <w:highlight w:val="yellow"/>
              </w:rPr>
            </w:pPr>
            <w:r w:rsidRPr="001218A8">
              <w:rPr>
                <w:b/>
                <w:sz w:val="18"/>
                <w:szCs w:val="18"/>
              </w:rPr>
              <w:t>Frekvencia vykazovania</w:t>
            </w:r>
          </w:p>
        </w:tc>
      </w:tr>
      <w:tr w:rsidR="00177922" w:rsidRPr="002309F8" w:rsidTr="00B83833">
        <w:trPr>
          <w:trHeight w:val="454"/>
          <w:jc w:val="center"/>
        </w:trPr>
        <w:tc>
          <w:tcPr>
            <w:tcW w:w="513" w:type="dxa"/>
            <w:shd w:val="clear" w:color="auto" w:fill="auto"/>
            <w:vAlign w:val="center"/>
          </w:tcPr>
          <w:p w:rsidR="00177922" w:rsidRPr="00B02869" w:rsidRDefault="00177922" w:rsidP="00B83833">
            <w:pPr>
              <w:ind w:left="0"/>
              <w:jc w:val="center"/>
              <w:rPr>
                <w:sz w:val="18"/>
                <w:szCs w:val="18"/>
              </w:rPr>
            </w:pPr>
            <w:r>
              <w:rPr>
                <w:sz w:val="18"/>
                <w:szCs w:val="18"/>
              </w:rPr>
              <w:t>4</w:t>
            </w:r>
            <w:r w:rsidRPr="00B02869">
              <w:rPr>
                <w:sz w:val="18"/>
                <w:szCs w:val="18"/>
              </w:rPr>
              <w:t>.</w:t>
            </w:r>
          </w:p>
        </w:tc>
        <w:tc>
          <w:tcPr>
            <w:tcW w:w="3628" w:type="dxa"/>
            <w:shd w:val="clear" w:color="auto" w:fill="auto"/>
          </w:tcPr>
          <w:p w:rsidR="00177922" w:rsidRPr="00D46C46" w:rsidDel="000657D9" w:rsidRDefault="00177922" w:rsidP="00AF5171">
            <w:pPr>
              <w:ind w:left="0"/>
              <w:rPr>
                <w:sz w:val="18"/>
                <w:szCs w:val="18"/>
              </w:rPr>
            </w:pPr>
            <w:r w:rsidRPr="006B6BE8">
              <w:rPr>
                <w:sz w:val="18"/>
                <w:szCs w:val="18"/>
              </w:rPr>
              <w:t>Počet nových zjednodušených životných situáci</w:t>
            </w:r>
            <w:r>
              <w:rPr>
                <w:sz w:val="18"/>
                <w:szCs w:val="18"/>
              </w:rPr>
              <w:t>í</w:t>
            </w:r>
            <w:r w:rsidRPr="006B6BE8">
              <w:rPr>
                <w:sz w:val="18"/>
                <w:szCs w:val="18"/>
              </w:rPr>
              <w:t xml:space="preserve"> pre občanov, realizovaných kombináciou elektronických služieb </w:t>
            </w:r>
          </w:p>
        </w:tc>
        <w:tc>
          <w:tcPr>
            <w:tcW w:w="850" w:type="dxa"/>
            <w:shd w:val="clear" w:color="auto" w:fill="auto"/>
            <w:vAlign w:val="center"/>
          </w:tcPr>
          <w:p w:rsidR="00177922" w:rsidRPr="00E06002" w:rsidDel="000657D9" w:rsidRDefault="00177922" w:rsidP="00B83833">
            <w:pPr>
              <w:ind w:left="0"/>
              <w:jc w:val="center"/>
              <w:rPr>
                <w:sz w:val="18"/>
                <w:szCs w:val="18"/>
              </w:rPr>
            </w:pPr>
            <w:r w:rsidRPr="006B6BE8">
              <w:rPr>
                <w:sz w:val="18"/>
                <w:szCs w:val="18"/>
              </w:rPr>
              <w:t>Počet</w:t>
            </w:r>
          </w:p>
        </w:tc>
        <w:tc>
          <w:tcPr>
            <w:tcW w:w="709" w:type="dxa"/>
            <w:shd w:val="clear" w:color="auto" w:fill="auto"/>
            <w:vAlign w:val="center"/>
          </w:tcPr>
          <w:p w:rsidR="00177922" w:rsidRPr="00BC47B7" w:rsidRDefault="00177922" w:rsidP="00B83833">
            <w:pPr>
              <w:tabs>
                <w:tab w:val="left" w:pos="567"/>
                <w:tab w:val="left" w:leader="dot" w:pos="9356"/>
              </w:tabs>
              <w:ind w:left="0" w:hanging="851"/>
              <w:jc w:val="center"/>
              <w:rPr>
                <w:sz w:val="18"/>
                <w:szCs w:val="18"/>
              </w:rPr>
            </w:pPr>
            <w:r>
              <w:rPr>
                <w:sz w:val="18"/>
                <w:szCs w:val="18"/>
              </w:rPr>
              <w:t xml:space="preserve">                 </w:t>
            </w:r>
            <w:r w:rsidRPr="006B6BE8">
              <w:rPr>
                <w:sz w:val="18"/>
                <w:szCs w:val="18"/>
              </w:rPr>
              <w:t>EFRR</w:t>
            </w:r>
          </w:p>
        </w:tc>
        <w:tc>
          <w:tcPr>
            <w:tcW w:w="908" w:type="dxa"/>
            <w:shd w:val="clear" w:color="auto" w:fill="auto"/>
            <w:vAlign w:val="center"/>
          </w:tcPr>
          <w:p w:rsidR="00177922" w:rsidRPr="00BC47B7" w:rsidRDefault="00177922" w:rsidP="00B83833">
            <w:pPr>
              <w:tabs>
                <w:tab w:val="left" w:pos="567"/>
                <w:tab w:val="left" w:leader="dot" w:pos="9356"/>
              </w:tabs>
              <w:ind w:left="0" w:hanging="851"/>
              <w:jc w:val="center"/>
              <w:rPr>
                <w:sz w:val="18"/>
                <w:szCs w:val="18"/>
              </w:rPr>
            </w:pPr>
            <w:r>
              <w:rPr>
                <w:sz w:val="18"/>
                <w:szCs w:val="18"/>
              </w:rPr>
              <w:t xml:space="preserve">                 </w:t>
            </w:r>
            <w:r w:rsidRPr="006B6BE8">
              <w:rPr>
                <w:sz w:val="18"/>
                <w:szCs w:val="18"/>
              </w:rPr>
              <w:t>Menej rozvinuté regióny</w:t>
            </w:r>
          </w:p>
        </w:tc>
        <w:tc>
          <w:tcPr>
            <w:tcW w:w="935" w:type="dxa"/>
            <w:shd w:val="clear" w:color="auto" w:fill="auto"/>
            <w:vAlign w:val="center"/>
          </w:tcPr>
          <w:p w:rsidR="00177922" w:rsidRPr="00E06002" w:rsidRDefault="00177922" w:rsidP="00B83833">
            <w:pPr>
              <w:ind w:left="0"/>
              <w:jc w:val="center"/>
              <w:rPr>
                <w:sz w:val="18"/>
                <w:szCs w:val="18"/>
              </w:rPr>
            </w:pPr>
            <w:r w:rsidRPr="006B6BE8">
              <w:rPr>
                <w:sz w:val="18"/>
                <w:szCs w:val="18"/>
              </w:rPr>
              <w:t>16</w:t>
            </w:r>
          </w:p>
        </w:tc>
        <w:tc>
          <w:tcPr>
            <w:tcW w:w="850" w:type="dxa"/>
            <w:shd w:val="clear" w:color="auto" w:fill="auto"/>
            <w:vAlign w:val="center"/>
          </w:tcPr>
          <w:p w:rsidR="00177922" w:rsidRPr="00BC47B7" w:rsidRDefault="00177922" w:rsidP="00B83833">
            <w:pPr>
              <w:tabs>
                <w:tab w:val="left" w:pos="567"/>
                <w:tab w:val="left" w:leader="dot" w:pos="9356"/>
              </w:tabs>
              <w:ind w:left="0" w:hanging="851"/>
              <w:jc w:val="center"/>
              <w:rPr>
                <w:sz w:val="18"/>
                <w:szCs w:val="18"/>
              </w:rPr>
            </w:pPr>
            <w:r>
              <w:rPr>
                <w:sz w:val="18"/>
                <w:szCs w:val="18"/>
              </w:rPr>
              <w:t xml:space="preserve">                </w:t>
            </w:r>
            <w:r w:rsidRPr="006B6BE8">
              <w:rPr>
                <w:sz w:val="18"/>
                <w:szCs w:val="18"/>
              </w:rPr>
              <w:t>SORO</w:t>
            </w:r>
            <w:r>
              <w:rPr>
                <w:sz w:val="18"/>
                <w:szCs w:val="18"/>
              </w:rPr>
              <w:t xml:space="preserve">   </w:t>
            </w:r>
          </w:p>
        </w:tc>
        <w:tc>
          <w:tcPr>
            <w:tcW w:w="851" w:type="dxa"/>
            <w:shd w:val="clear" w:color="auto" w:fill="auto"/>
            <w:vAlign w:val="center"/>
          </w:tcPr>
          <w:p w:rsidR="00177922" w:rsidRPr="00BC47B7" w:rsidRDefault="00177922" w:rsidP="00B83833">
            <w:pPr>
              <w:tabs>
                <w:tab w:val="left" w:pos="567"/>
                <w:tab w:val="left" w:leader="dot" w:pos="9356"/>
              </w:tabs>
              <w:ind w:left="0" w:hanging="851"/>
              <w:jc w:val="center"/>
              <w:rPr>
                <w:sz w:val="18"/>
                <w:szCs w:val="18"/>
              </w:rPr>
            </w:pPr>
            <w:r>
              <w:rPr>
                <w:sz w:val="18"/>
                <w:szCs w:val="18"/>
              </w:rPr>
              <w:t xml:space="preserve">                  </w:t>
            </w:r>
            <w:r w:rsidRPr="006B6BE8">
              <w:rPr>
                <w:sz w:val="18"/>
                <w:szCs w:val="18"/>
              </w:rPr>
              <w:t>Ročne počas trvania projektov</w:t>
            </w:r>
          </w:p>
        </w:tc>
      </w:tr>
      <w:tr w:rsidR="00177922" w:rsidRPr="002309F8" w:rsidTr="00B83833">
        <w:trPr>
          <w:trHeight w:val="454"/>
          <w:jc w:val="center"/>
        </w:trPr>
        <w:tc>
          <w:tcPr>
            <w:tcW w:w="513" w:type="dxa"/>
            <w:shd w:val="clear" w:color="auto" w:fill="auto"/>
            <w:vAlign w:val="center"/>
          </w:tcPr>
          <w:p w:rsidR="00177922" w:rsidRPr="00B02869" w:rsidRDefault="00177922" w:rsidP="00B83833">
            <w:pPr>
              <w:ind w:left="0"/>
              <w:jc w:val="center"/>
              <w:rPr>
                <w:sz w:val="18"/>
                <w:szCs w:val="18"/>
              </w:rPr>
            </w:pPr>
            <w:r>
              <w:rPr>
                <w:sz w:val="18"/>
                <w:szCs w:val="18"/>
              </w:rPr>
              <w:lastRenderedPageBreak/>
              <w:t>5</w:t>
            </w:r>
            <w:r w:rsidRPr="00B02869">
              <w:rPr>
                <w:sz w:val="18"/>
                <w:szCs w:val="18"/>
              </w:rPr>
              <w:t>.</w:t>
            </w:r>
          </w:p>
        </w:tc>
        <w:tc>
          <w:tcPr>
            <w:tcW w:w="3628" w:type="dxa"/>
            <w:shd w:val="clear" w:color="auto" w:fill="auto"/>
            <w:vAlign w:val="center"/>
          </w:tcPr>
          <w:p w:rsidR="00177922" w:rsidRPr="00D46C46" w:rsidDel="000657D9" w:rsidRDefault="00177922" w:rsidP="00AF5171">
            <w:pPr>
              <w:ind w:left="0"/>
              <w:rPr>
                <w:sz w:val="18"/>
                <w:szCs w:val="18"/>
              </w:rPr>
            </w:pPr>
            <w:r w:rsidRPr="006B6BE8">
              <w:rPr>
                <w:sz w:val="18"/>
                <w:szCs w:val="18"/>
              </w:rPr>
              <w:t xml:space="preserve">Počet nových cezhraničných služieb pre občanov </w:t>
            </w:r>
          </w:p>
        </w:tc>
        <w:tc>
          <w:tcPr>
            <w:tcW w:w="850" w:type="dxa"/>
            <w:shd w:val="clear" w:color="auto" w:fill="auto"/>
            <w:vAlign w:val="center"/>
          </w:tcPr>
          <w:p w:rsidR="00177922" w:rsidRPr="00E06002" w:rsidDel="000657D9" w:rsidRDefault="00177922" w:rsidP="00B83833">
            <w:pPr>
              <w:ind w:left="0"/>
              <w:jc w:val="center"/>
              <w:rPr>
                <w:sz w:val="18"/>
                <w:szCs w:val="18"/>
              </w:rPr>
            </w:pPr>
            <w:r w:rsidRPr="006B6BE8">
              <w:rPr>
                <w:sz w:val="18"/>
                <w:szCs w:val="18"/>
              </w:rPr>
              <w:t>Počet</w:t>
            </w:r>
          </w:p>
        </w:tc>
        <w:tc>
          <w:tcPr>
            <w:tcW w:w="709" w:type="dxa"/>
            <w:shd w:val="clear" w:color="auto" w:fill="auto"/>
            <w:vAlign w:val="center"/>
          </w:tcPr>
          <w:p w:rsidR="00177922" w:rsidRPr="00BC47B7" w:rsidRDefault="00177922" w:rsidP="00B83833">
            <w:pPr>
              <w:tabs>
                <w:tab w:val="left" w:pos="567"/>
                <w:tab w:val="left" w:leader="dot" w:pos="9356"/>
              </w:tabs>
              <w:ind w:left="0" w:hanging="851"/>
              <w:jc w:val="center"/>
              <w:rPr>
                <w:sz w:val="18"/>
                <w:szCs w:val="18"/>
              </w:rPr>
            </w:pPr>
            <w:r>
              <w:rPr>
                <w:sz w:val="18"/>
                <w:szCs w:val="18"/>
              </w:rPr>
              <w:t xml:space="preserve">                 </w:t>
            </w:r>
            <w:r w:rsidRPr="006B6BE8">
              <w:rPr>
                <w:sz w:val="18"/>
                <w:szCs w:val="18"/>
              </w:rPr>
              <w:t>EFRR</w:t>
            </w:r>
          </w:p>
        </w:tc>
        <w:tc>
          <w:tcPr>
            <w:tcW w:w="908" w:type="dxa"/>
            <w:shd w:val="clear" w:color="auto" w:fill="auto"/>
            <w:vAlign w:val="center"/>
          </w:tcPr>
          <w:p w:rsidR="00177922" w:rsidRPr="00BC47B7" w:rsidRDefault="00177922" w:rsidP="00B83833">
            <w:pPr>
              <w:tabs>
                <w:tab w:val="left" w:pos="567"/>
                <w:tab w:val="left" w:leader="dot" w:pos="9356"/>
              </w:tabs>
              <w:ind w:left="0" w:hanging="851"/>
              <w:jc w:val="center"/>
              <w:rPr>
                <w:sz w:val="18"/>
                <w:szCs w:val="18"/>
              </w:rPr>
            </w:pPr>
            <w:r w:rsidRPr="006B6BE8">
              <w:rPr>
                <w:sz w:val="18"/>
                <w:szCs w:val="18"/>
              </w:rPr>
              <w:t>M</w:t>
            </w:r>
            <w:r>
              <w:rPr>
                <w:sz w:val="18"/>
                <w:szCs w:val="18"/>
              </w:rPr>
              <w:t xml:space="preserve">               M</w:t>
            </w:r>
            <w:r w:rsidRPr="006B6BE8">
              <w:rPr>
                <w:sz w:val="18"/>
                <w:szCs w:val="18"/>
              </w:rPr>
              <w:t xml:space="preserve">enej rozvinuté regióny </w:t>
            </w:r>
          </w:p>
        </w:tc>
        <w:tc>
          <w:tcPr>
            <w:tcW w:w="935" w:type="dxa"/>
            <w:shd w:val="clear" w:color="auto" w:fill="auto"/>
            <w:vAlign w:val="center"/>
          </w:tcPr>
          <w:p w:rsidR="00177922" w:rsidRPr="00F22395" w:rsidRDefault="00177922" w:rsidP="00B83833">
            <w:pPr>
              <w:ind w:left="0"/>
              <w:jc w:val="center"/>
              <w:rPr>
                <w:sz w:val="18"/>
                <w:szCs w:val="18"/>
              </w:rPr>
            </w:pPr>
            <w:r w:rsidRPr="00D51947">
              <w:rPr>
                <w:sz w:val="18"/>
                <w:szCs w:val="18"/>
              </w:rPr>
              <w:t>10</w:t>
            </w:r>
          </w:p>
        </w:tc>
        <w:tc>
          <w:tcPr>
            <w:tcW w:w="850" w:type="dxa"/>
            <w:shd w:val="clear" w:color="auto" w:fill="auto"/>
            <w:vAlign w:val="center"/>
          </w:tcPr>
          <w:p w:rsidR="00177922" w:rsidRPr="00BC47B7" w:rsidRDefault="00177922" w:rsidP="00B83833">
            <w:pPr>
              <w:tabs>
                <w:tab w:val="left" w:pos="567"/>
                <w:tab w:val="left" w:leader="dot" w:pos="9356"/>
              </w:tabs>
              <w:ind w:left="0" w:hanging="851"/>
              <w:jc w:val="center"/>
              <w:rPr>
                <w:sz w:val="18"/>
                <w:szCs w:val="18"/>
              </w:rPr>
            </w:pPr>
            <w:r w:rsidRPr="006B6BE8">
              <w:rPr>
                <w:sz w:val="18"/>
                <w:szCs w:val="18"/>
              </w:rPr>
              <w:t>S</w:t>
            </w:r>
            <w:r>
              <w:rPr>
                <w:sz w:val="18"/>
                <w:szCs w:val="18"/>
              </w:rPr>
              <w:t xml:space="preserve">           S</w:t>
            </w:r>
            <w:r w:rsidRPr="006B6BE8">
              <w:rPr>
                <w:sz w:val="18"/>
                <w:szCs w:val="18"/>
              </w:rPr>
              <w:t>ORO</w:t>
            </w:r>
          </w:p>
        </w:tc>
        <w:tc>
          <w:tcPr>
            <w:tcW w:w="851" w:type="dxa"/>
            <w:shd w:val="clear" w:color="auto" w:fill="auto"/>
            <w:vAlign w:val="center"/>
          </w:tcPr>
          <w:p w:rsidR="00177922" w:rsidRPr="00BC47B7" w:rsidRDefault="00177922" w:rsidP="00B83833">
            <w:pPr>
              <w:tabs>
                <w:tab w:val="left" w:pos="567"/>
                <w:tab w:val="left" w:leader="dot" w:pos="9356"/>
              </w:tabs>
              <w:ind w:left="0" w:hanging="851"/>
              <w:jc w:val="center"/>
              <w:rPr>
                <w:sz w:val="18"/>
                <w:szCs w:val="18"/>
              </w:rPr>
            </w:pPr>
            <w:r>
              <w:rPr>
                <w:sz w:val="18"/>
                <w:szCs w:val="18"/>
              </w:rPr>
              <w:t xml:space="preserve">                  </w:t>
            </w:r>
            <w:r w:rsidRPr="006B6BE8">
              <w:rPr>
                <w:sz w:val="18"/>
                <w:szCs w:val="18"/>
              </w:rPr>
              <w:t>Ročne počas trvania projektov</w:t>
            </w:r>
          </w:p>
        </w:tc>
      </w:tr>
      <w:tr w:rsidR="00177922" w:rsidRPr="002309F8" w:rsidTr="00B83833">
        <w:trPr>
          <w:trHeight w:val="454"/>
          <w:jc w:val="center"/>
        </w:trPr>
        <w:tc>
          <w:tcPr>
            <w:tcW w:w="513" w:type="dxa"/>
            <w:shd w:val="clear" w:color="auto" w:fill="auto"/>
            <w:vAlign w:val="center"/>
          </w:tcPr>
          <w:p w:rsidR="00177922" w:rsidRPr="00B02869" w:rsidRDefault="00177922" w:rsidP="00B83833">
            <w:pPr>
              <w:ind w:left="0"/>
              <w:jc w:val="center"/>
              <w:rPr>
                <w:sz w:val="18"/>
                <w:szCs w:val="18"/>
              </w:rPr>
            </w:pPr>
            <w:r>
              <w:rPr>
                <w:sz w:val="18"/>
                <w:szCs w:val="18"/>
              </w:rPr>
              <w:t>6</w:t>
            </w:r>
            <w:r w:rsidRPr="00B02869">
              <w:rPr>
                <w:sz w:val="18"/>
                <w:szCs w:val="18"/>
              </w:rPr>
              <w:t>.</w:t>
            </w:r>
          </w:p>
        </w:tc>
        <w:tc>
          <w:tcPr>
            <w:tcW w:w="3628" w:type="dxa"/>
            <w:shd w:val="clear" w:color="auto" w:fill="auto"/>
          </w:tcPr>
          <w:p w:rsidR="00177922" w:rsidRPr="00D51947" w:rsidDel="000657D9" w:rsidRDefault="00177922" w:rsidP="00AF5171">
            <w:pPr>
              <w:ind w:left="0"/>
              <w:rPr>
                <w:sz w:val="18"/>
                <w:szCs w:val="18"/>
              </w:rPr>
            </w:pPr>
            <w:r w:rsidRPr="00560E77">
              <w:rPr>
                <w:sz w:val="18"/>
                <w:szCs w:val="18"/>
              </w:rPr>
              <w:t xml:space="preserve">Podiel </w:t>
            </w:r>
            <w:r w:rsidRPr="006B6BE8">
              <w:rPr>
                <w:sz w:val="18"/>
                <w:szCs w:val="18"/>
              </w:rPr>
              <w:t>dodatočných elektronických služieb pre občanov, ktoré je možné riešiť mobilnou aplikáciou</w:t>
            </w:r>
          </w:p>
        </w:tc>
        <w:tc>
          <w:tcPr>
            <w:tcW w:w="850" w:type="dxa"/>
            <w:shd w:val="clear" w:color="auto" w:fill="auto"/>
            <w:vAlign w:val="center"/>
          </w:tcPr>
          <w:p w:rsidR="00177922" w:rsidRPr="00E06002" w:rsidDel="000657D9" w:rsidRDefault="00177922" w:rsidP="00B83833">
            <w:pPr>
              <w:ind w:left="0"/>
              <w:jc w:val="center"/>
              <w:rPr>
                <w:sz w:val="18"/>
                <w:szCs w:val="18"/>
              </w:rPr>
            </w:pPr>
            <w:r w:rsidRPr="00560E77">
              <w:rPr>
                <w:sz w:val="18"/>
                <w:szCs w:val="18"/>
              </w:rPr>
              <w:t>%</w:t>
            </w:r>
            <w:r>
              <w:rPr>
                <w:sz w:val="18"/>
                <w:szCs w:val="18"/>
              </w:rPr>
              <w:t xml:space="preserve">                                                                    </w:t>
            </w:r>
          </w:p>
        </w:tc>
        <w:tc>
          <w:tcPr>
            <w:tcW w:w="709" w:type="dxa"/>
            <w:shd w:val="clear" w:color="auto" w:fill="auto"/>
            <w:vAlign w:val="center"/>
          </w:tcPr>
          <w:p w:rsidR="00177922" w:rsidRDefault="00177922" w:rsidP="00B83833">
            <w:pPr>
              <w:tabs>
                <w:tab w:val="left" w:pos="567"/>
                <w:tab w:val="left" w:leader="dot" w:pos="9356"/>
              </w:tabs>
              <w:ind w:left="0"/>
              <w:rPr>
                <w:sz w:val="18"/>
                <w:szCs w:val="18"/>
              </w:rPr>
            </w:pPr>
            <w:r>
              <w:rPr>
                <w:sz w:val="18"/>
                <w:szCs w:val="18"/>
              </w:rPr>
              <w:t xml:space="preserve">EFRR                   </w:t>
            </w:r>
          </w:p>
        </w:tc>
        <w:tc>
          <w:tcPr>
            <w:tcW w:w="908" w:type="dxa"/>
            <w:shd w:val="clear" w:color="auto" w:fill="auto"/>
            <w:vAlign w:val="center"/>
          </w:tcPr>
          <w:p w:rsidR="00177922" w:rsidRPr="00BC47B7" w:rsidRDefault="00177922" w:rsidP="00B83833">
            <w:pPr>
              <w:tabs>
                <w:tab w:val="left" w:pos="567"/>
                <w:tab w:val="left" w:leader="dot" w:pos="9356"/>
              </w:tabs>
              <w:ind w:left="0" w:hanging="851"/>
              <w:jc w:val="center"/>
              <w:rPr>
                <w:sz w:val="18"/>
                <w:szCs w:val="18"/>
              </w:rPr>
            </w:pPr>
            <w:r>
              <w:rPr>
                <w:sz w:val="18"/>
                <w:szCs w:val="18"/>
              </w:rPr>
              <w:t>M             Menej rozvinuté regióny</w:t>
            </w:r>
          </w:p>
        </w:tc>
        <w:tc>
          <w:tcPr>
            <w:tcW w:w="935" w:type="dxa"/>
            <w:shd w:val="clear" w:color="auto" w:fill="auto"/>
            <w:vAlign w:val="center"/>
          </w:tcPr>
          <w:p w:rsidR="00177922" w:rsidRPr="00D51947" w:rsidRDefault="00177922" w:rsidP="00B83833">
            <w:pPr>
              <w:ind w:left="0"/>
              <w:jc w:val="center"/>
              <w:rPr>
                <w:sz w:val="18"/>
                <w:szCs w:val="18"/>
              </w:rPr>
            </w:pPr>
            <w:r w:rsidRPr="006B6BE8">
              <w:rPr>
                <w:sz w:val="18"/>
                <w:szCs w:val="18"/>
              </w:rPr>
              <w:t>20 % zo zoznamu eGovernment služieb (s výnimkou služieb ktoré riešia publikovanie informácií)</w:t>
            </w:r>
            <w:r>
              <w:rPr>
                <w:sz w:val="18"/>
                <w:szCs w:val="18"/>
              </w:rPr>
              <w:t xml:space="preserve">            </w:t>
            </w:r>
          </w:p>
        </w:tc>
        <w:tc>
          <w:tcPr>
            <w:tcW w:w="850" w:type="dxa"/>
            <w:shd w:val="clear" w:color="auto" w:fill="auto"/>
            <w:vAlign w:val="center"/>
          </w:tcPr>
          <w:p w:rsidR="00177922" w:rsidRPr="00BC47B7" w:rsidRDefault="00177922" w:rsidP="00B83833">
            <w:pPr>
              <w:tabs>
                <w:tab w:val="left" w:pos="567"/>
                <w:tab w:val="left" w:leader="dot" w:pos="9356"/>
              </w:tabs>
              <w:ind w:left="0" w:hanging="851"/>
              <w:jc w:val="center"/>
              <w:rPr>
                <w:sz w:val="18"/>
                <w:szCs w:val="18"/>
              </w:rPr>
            </w:pPr>
            <w:r>
              <w:rPr>
                <w:sz w:val="18"/>
                <w:szCs w:val="18"/>
              </w:rPr>
              <w:t xml:space="preserve">               SORO        </w:t>
            </w:r>
          </w:p>
        </w:tc>
        <w:tc>
          <w:tcPr>
            <w:tcW w:w="851" w:type="dxa"/>
            <w:shd w:val="clear" w:color="auto" w:fill="auto"/>
            <w:vAlign w:val="center"/>
          </w:tcPr>
          <w:p w:rsidR="00177922" w:rsidRPr="00BC47B7" w:rsidRDefault="00177922" w:rsidP="00B83833">
            <w:pPr>
              <w:tabs>
                <w:tab w:val="left" w:pos="567"/>
                <w:tab w:val="left" w:leader="dot" w:pos="9356"/>
              </w:tabs>
              <w:ind w:left="0" w:hanging="851"/>
              <w:jc w:val="center"/>
              <w:rPr>
                <w:sz w:val="18"/>
                <w:szCs w:val="18"/>
              </w:rPr>
            </w:pPr>
            <w:r w:rsidRPr="006B6BE8">
              <w:rPr>
                <w:sz w:val="18"/>
                <w:szCs w:val="18"/>
              </w:rPr>
              <w:t>Roč</w:t>
            </w:r>
            <w:r>
              <w:rPr>
                <w:sz w:val="18"/>
                <w:szCs w:val="18"/>
              </w:rPr>
              <w:t xml:space="preserve">           Roč</w:t>
            </w:r>
            <w:r w:rsidRPr="006B6BE8">
              <w:rPr>
                <w:sz w:val="18"/>
                <w:szCs w:val="18"/>
              </w:rPr>
              <w:t>ne počas trvania projektov</w:t>
            </w:r>
          </w:p>
        </w:tc>
      </w:tr>
    </w:tbl>
    <w:p w:rsidR="00E92F9B" w:rsidRDefault="00E92F9B"/>
    <w:p w:rsidR="00E92F9B" w:rsidRDefault="00177922">
      <w:pPr>
        <w:pStyle w:val="Tab"/>
        <w:jc w:val="both"/>
      </w:pPr>
      <w:r w:rsidRPr="00177922">
        <w:t>Špecifické ukazovatele výstupov pre investičnú prioritu 2</w:t>
      </w:r>
      <w:r>
        <w:t>c</w:t>
      </w:r>
      <w:r w:rsidRPr="00177922">
        <w:t xml:space="preserve">), ŠC </w:t>
      </w:r>
      <w:r>
        <w:t>7.5</w:t>
      </w:r>
      <w:r w:rsidRPr="00177922">
        <w:t>: Zlepšenie celkovej dostupnosti dát verejnej správy vo forme otvorených dát</w:t>
      </w:r>
    </w:p>
    <w:tbl>
      <w:tblPr>
        <w:tblStyle w:val="Mriekatabuky"/>
        <w:tblW w:w="9244" w:type="dxa"/>
        <w:jc w:val="center"/>
        <w:shd w:val="clear" w:color="auto" w:fill="8DB3E2" w:themeFill="text2" w:themeFillTint="66"/>
        <w:tblLayout w:type="fixed"/>
        <w:tblLook w:val="04A0"/>
      </w:tblPr>
      <w:tblGrid>
        <w:gridCol w:w="513"/>
        <w:gridCol w:w="3628"/>
        <w:gridCol w:w="850"/>
        <w:gridCol w:w="709"/>
        <w:gridCol w:w="908"/>
        <w:gridCol w:w="850"/>
        <w:gridCol w:w="935"/>
        <w:gridCol w:w="851"/>
      </w:tblGrid>
      <w:tr w:rsidR="00177922" w:rsidRPr="002309F8" w:rsidTr="00B83833">
        <w:trPr>
          <w:trHeight w:val="340"/>
          <w:jc w:val="center"/>
        </w:trPr>
        <w:tc>
          <w:tcPr>
            <w:tcW w:w="513"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P. č.</w:t>
            </w:r>
          </w:p>
        </w:tc>
        <w:tc>
          <w:tcPr>
            <w:tcW w:w="3628" w:type="dxa"/>
            <w:tcBorders>
              <w:bottom w:val="single" w:sz="4" w:space="0" w:color="auto"/>
            </w:tcBorders>
            <w:shd w:val="clear" w:color="auto" w:fill="C6D9F1" w:themeFill="text2" w:themeFillTint="33"/>
            <w:vAlign w:val="center"/>
          </w:tcPr>
          <w:p w:rsidR="00177922" w:rsidRPr="00177922" w:rsidRDefault="001218A8" w:rsidP="00B83833">
            <w:pPr>
              <w:ind w:left="0"/>
              <w:rPr>
                <w:b/>
                <w:sz w:val="18"/>
                <w:szCs w:val="18"/>
              </w:rPr>
            </w:pPr>
            <w:r w:rsidRPr="001218A8">
              <w:rPr>
                <w:b/>
                <w:sz w:val="18"/>
                <w:szCs w:val="18"/>
              </w:rPr>
              <w:t>Ukazovateľ (názov ukazovateľa)</w:t>
            </w:r>
          </w:p>
        </w:tc>
        <w:tc>
          <w:tcPr>
            <w:tcW w:w="850"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Merná jednotka</w:t>
            </w:r>
          </w:p>
        </w:tc>
        <w:tc>
          <w:tcPr>
            <w:tcW w:w="709"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Fond</w:t>
            </w:r>
          </w:p>
        </w:tc>
        <w:tc>
          <w:tcPr>
            <w:tcW w:w="908"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highlight w:val="yellow"/>
              </w:rPr>
            </w:pPr>
            <w:r w:rsidRPr="001218A8">
              <w:rPr>
                <w:b/>
                <w:sz w:val="18"/>
                <w:szCs w:val="18"/>
              </w:rPr>
              <w:t>Kategória regiónu</w:t>
            </w:r>
          </w:p>
        </w:tc>
        <w:tc>
          <w:tcPr>
            <w:tcW w:w="850"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Cieľová hodnota (2023)</w:t>
            </w:r>
          </w:p>
        </w:tc>
        <w:tc>
          <w:tcPr>
            <w:tcW w:w="935" w:type="dxa"/>
            <w:tcBorders>
              <w:bottom w:val="single" w:sz="4" w:space="0" w:color="auto"/>
            </w:tcBorders>
            <w:shd w:val="clear" w:color="auto" w:fill="C6D9F1" w:themeFill="text2" w:themeFillTint="33"/>
            <w:vAlign w:val="center"/>
          </w:tcPr>
          <w:p w:rsidR="00177922" w:rsidRPr="00177922" w:rsidRDefault="001218A8" w:rsidP="00B83833">
            <w:pPr>
              <w:ind w:left="0"/>
              <w:jc w:val="center"/>
              <w:rPr>
                <w:b/>
                <w:sz w:val="18"/>
                <w:szCs w:val="18"/>
              </w:rPr>
            </w:pPr>
            <w:r w:rsidRPr="001218A8">
              <w:rPr>
                <w:b/>
                <w:sz w:val="18"/>
                <w:szCs w:val="18"/>
              </w:rPr>
              <w:t>Zdroj údajov</w:t>
            </w:r>
          </w:p>
        </w:tc>
        <w:tc>
          <w:tcPr>
            <w:tcW w:w="851" w:type="dxa"/>
            <w:tcBorders>
              <w:bottom w:val="single" w:sz="4" w:space="0" w:color="auto"/>
            </w:tcBorders>
            <w:shd w:val="clear" w:color="auto" w:fill="C6D9F1" w:themeFill="text2" w:themeFillTint="33"/>
          </w:tcPr>
          <w:p w:rsidR="00177922" w:rsidRPr="00177922" w:rsidRDefault="001218A8" w:rsidP="00B83833">
            <w:pPr>
              <w:ind w:left="0"/>
              <w:jc w:val="center"/>
              <w:rPr>
                <w:b/>
                <w:sz w:val="18"/>
                <w:szCs w:val="18"/>
                <w:highlight w:val="yellow"/>
              </w:rPr>
            </w:pPr>
            <w:r w:rsidRPr="001218A8">
              <w:rPr>
                <w:b/>
                <w:sz w:val="18"/>
                <w:szCs w:val="18"/>
              </w:rPr>
              <w:t>Frekvencia vykazovania</w:t>
            </w:r>
          </w:p>
        </w:tc>
      </w:tr>
      <w:tr w:rsidR="00177922" w:rsidRPr="002309F8" w:rsidTr="00B83833">
        <w:trPr>
          <w:trHeight w:val="454"/>
          <w:jc w:val="center"/>
        </w:trPr>
        <w:tc>
          <w:tcPr>
            <w:tcW w:w="513" w:type="dxa"/>
            <w:shd w:val="clear" w:color="auto" w:fill="auto"/>
            <w:vAlign w:val="center"/>
          </w:tcPr>
          <w:p w:rsidR="00177922" w:rsidRPr="00E06002" w:rsidRDefault="00177922" w:rsidP="00B83833">
            <w:pPr>
              <w:ind w:left="0"/>
              <w:jc w:val="center"/>
              <w:rPr>
                <w:sz w:val="18"/>
                <w:szCs w:val="18"/>
              </w:rPr>
            </w:pPr>
            <w:r w:rsidRPr="00D51947">
              <w:rPr>
                <w:sz w:val="18"/>
                <w:szCs w:val="18"/>
              </w:rPr>
              <w:t>7</w:t>
            </w:r>
            <w:r w:rsidRPr="00E06002">
              <w:rPr>
                <w:sz w:val="18"/>
                <w:szCs w:val="18"/>
              </w:rPr>
              <w:t>.</w:t>
            </w:r>
          </w:p>
        </w:tc>
        <w:tc>
          <w:tcPr>
            <w:tcW w:w="3628" w:type="dxa"/>
            <w:shd w:val="clear" w:color="auto" w:fill="auto"/>
          </w:tcPr>
          <w:p w:rsidR="00177922" w:rsidRPr="00D46C46" w:rsidDel="000657D9" w:rsidRDefault="00177922" w:rsidP="00AF5171">
            <w:pPr>
              <w:ind w:left="0"/>
              <w:rPr>
                <w:sz w:val="18"/>
                <w:szCs w:val="18"/>
              </w:rPr>
            </w:pPr>
            <w:r w:rsidRPr="00F22395">
              <w:rPr>
                <w:sz w:val="18"/>
                <w:szCs w:val="18"/>
              </w:rPr>
              <w:t>Dodatočný podiel inštitúcií verejnej správy prepojených s centrálnou platformou pre otvorené dáta</w:t>
            </w:r>
          </w:p>
        </w:tc>
        <w:tc>
          <w:tcPr>
            <w:tcW w:w="850" w:type="dxa"/>
            <w:shd w:val="clear" w:color="auto" w:fill="auto"/>
            <w:vAlign w:val="center"/>
          </w:tcPr>
          <w:p w:rsidR="00177922" w:rsidRPr="00B02869" w:rsidDel="000657D9" w:rsidRDefault="00177922" w:rsidP="00B83833">
            <w:pPr>
              <w:ind w:left="0"/>
              <w:jc w:val="center"/>
              <w:rPr>
                <w:sz w:val="18"/>
                <w:szCs w:val="18"/>
              </w:rPr>
            </w:pPr>
            <w:r w:rsidRPr="00B02869">
              <w:rPr>
                <w:sz w:val="18"/>
                <w:szCs w:val="18"/>
              </w:rPr>
              <w:t>%</w:t>
            </w:r>
          </w:p>
        </w:tc>
        <w:tc>
          <w:tcPr>
            <w:tcW w:w="709"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Pr>
                <w:sz w:val="18"/>
                <w:szCs w:val="18"/>
              </w:rPr>
              <w:t xml:space="preserve">               </w:t>
            </w:r>
            <w:r w:rsidRPr="00CE40F1">
              <w:rPr>
                <w:sz w:val="18"/>
                <w:szCs w:val="18"/>
              </w:rPr>
              <w:t>EFRR</w:t>
            </w:r>
          </w:p>
        </w:tc>
        <w:tc>
          <w:tcPr>
            <w:tcW w:w="908"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Pr>
                <w:sz w:val="18"/>
                <w:szCs w:val="18"/>
              </w:rPr>
              <w:t xml:space="preserve">               </w:t>
            </w:r>
            <w:r w:rsidRPr="00CE40F1">
              <w:rPr>
                <w:sz w:val="18"/>
                <w:szCs w:val="18"/>
              </w:rPr>
              <w:t>Menej rozvinuté regióny</w:t>
            </w:r>
          </w:p>
        </w:tc>
        <w:tc>
          <w:tcPr>
            <w:tcW w:w="850" w:type="dxa"/>
            <w:shd w:val="clear" w:color="auto" w:fill="auto"/>
            <w:vAlign w:val="center"/>
          </w:tcPr>
          <w:p w:rsidR="00177922" w:rsidRPr="00B02869" w:rsidRDefault="00177922" w:rsidP="00B83833">
            <w:pPr>
              <w:ind w:left="0"/>
              <w:jc w:val="center"/>
              <w:rPr>
                <w:sz w:val="18"/>
                <w:szCs w:val="18"/>
              </w:rPr>
            </w:pPr>
            <w:r>
              <w:rPr>
                <w:sz w:val="18"/>
                <w:szCs w:val="18"/>
              </w:rPr>
              <w:t>99.9 % inštitúcií</w:t>
            </w:r>
            <w:r w:rsidRPr="005F0806">
              <w:rPr>
                <w:sz w:val="18"/>
                <w:szCs w:val="18"/>
              </w:rPr>
              <w:t xml:space="preserve"> verejnej správy, ktoré vytvárajú otvorené dáta</w:t>
            </w:r>
            <w:r>
              <w:rPr>
                <w:sz w:val="18"/>
                <w:szCs w:val="18"/>
              </w:rPr>
              <w:t xml:space="preserve"> </w:t>
            </w:r>
          </w:p>
        </w:tc>
        <w:tc>
          <w:tcPr>
            <w:tcW w:w="935"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Pr>
                <w:sz w:val="18"/>
                <w:szCs w:val="18"/>
              </w:rPr>
              <w:t xml:space="preserve">                </w:t>
            </w:r>
            <w:r w:rsidRPr="00CE40F1">
              <w:rPr>
                <w:sz w:val="18"/>
                <w:szCs w:val="18"/>
              </w:rPr>
              <w:t>SO</w:t>
            </w:r>
            <w:r>
              <w:rPr>
                <w:sz w:val="18"/>
                <w:szCs w:val="18"/>
              </w:rPr>
              <w:t xml:space="preserve">RO  </w:t>
            </w:r>
          </w:p>
        </w:tc>
        <w:tc>
          <w:tcPr>
            <w:tcW w:w="851"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Pr>
                <w:sz w:val="18"/>
                <w:szCs w:val="18"/>
              </w:rPr>
              <w:t xml:space="preserve">                </w:t>
            </w:r>
            <w:r w:rsidRPr="00CE40F1">
              <w:rPr>
                <w:sz w:val="18"/>
                <w:szCs w:val="18"/>
              </w:rPr>
              <w:t>Ročne počas trvania projektov</w:t>
            </w:r>
          </w:p>
        </w:tc>
      </w:tr>
      <w:tr w:rsidR="00177922" w:rsidRPr="002309F8" w:rsidTr="00B83833">
        <w:trPr>
          <w:trHeight w:val="454"/>
          <w:jc w:val="center"/>
        </w:trPr>
        <w:tc>
          <w:tcPr>
            <w:tcW w:w="513" w:type="dxa"/>
            <w:shd w:val="clear" w:color="auto" w:fill="auto"/>
            <w:vAlign w:val="center"/>
          </w:tcPr>
          <w:p w:rsidR="00177922" w:rsidRPr="00E06002" w:rsidRDefault="00177922" w:rsidP="00B83833">
            <w:pPr>
              <w:ind w:left="0"/>
              <w:jc w:val="center"/>
              <w:rPr>
                <w:sz w:val="18"/>
                <w:szCs w:val="18"/>
              </w:rPr>
            </w:pPr>
            <w:r w:rsidRPr="00E06002">
              <w:rPr>
                <w:sz w:val="18"/>
                <w:szCs w:val="18"/>
              </w:rPr>
              <w:t>8.</w:t>
            </w:r>
          </w:p>
        </w:tc>
        <w:tc>
          <w:tcPr>
            <w:tcW w:w="3628" w:type="dxa"/>
            <w:shd w:val="clear" w:color="auto" w:fill="auto"/>
          </w:tcPr>
          <w:p w:rsidR="00177922" w:rsidRPr="00D46C46" w:rsidDel="000657D9" w:rsidRDefault="00177922" w:rsidP="00AF5171">
            <w:pPr>
              <w:ind w:left="0"/>
              <w:rPr>
                <w:sz w:val="18"/>
                <w:szCs w:val="18"/>
              </w:rPr>
            </w:pPr>
            <w:r w:rsidRPr="00D46C46">
              <w:rPr>
                <w:sz w:val="18"/>
                <w:szCs w:val="18"/>
              </w:rPr>
              <w:t xml:space="preserve">Počet nových datasetov publikovaných vo formáte s vysokým potenciálom na znovupoužitie </w:t>
            </w:r>
          </w:p>
        </w:tc>
        <w:tc>
          <w:tcPr>
            <w:tcW w:w="850" w:type="dxa"/>
            <w:shd w:val="clear" w:color="auto" w:fill="auto"/>
            <w:vAlign w:val="center"/>
          </w:tcPr>
          <w:p w:rsidR="00177922" w:rsidRPr="00B02869" w:rsidDel="000657D9" w:rsidRDefault="00177922" w:rsidP="00B83833">
            <w:pPr>
              <w:ind w:left="0"/>
              <w:jc w:val="center"/>
              <w:rPr>
                <w:sz w:val="18"/>
                <w:szCs w:val="18"/>
              </w:rPr>
            </w:pPr>
            <w:r w:rsidRPr="00B02869">
              <w:rPr>
                <w:sz w:val="18"/>
                <w:szCs w:val="18"/>
              </w:rPr>
              <w:t>%</w:t>
            </w:r>
          </w:p>
        </w:tc>
        <w:tc>
          <w:tcPr>
            <w:tcW w:w="709"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Pr>
                <w:sz w:val="18"/>
                <w:szCs w:val="18"/>
              </w:rPr>
              <w:t xml:space="preserve">              </w:t>
            </w:r>
            <w:r w:rsidRPr="00CE40F1">
              <w:rPr>
                <w:sz w:val="18"/>
                <w:szCs w:val="18"/>
              </w:rPr>
              <w:t>EFRR</w:t>
            </w:r>
          </w:p>
        </w:tc>
        <w:tc>
          <w:tcPr>
            <w:tcW w:w="908"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Pr>
                <w:sz w:val="18"/>
                <w:szCs w:val="18"/>
              </w:rPr>
              <w:t xml:space="preserve">                </w:t>
            </w:r>
            <w:r w:rsidRPr="00CE40F1">
              <w:rPr>
                <w:sz w:val="18"/>
                <w:szCs w:val="18"/>
              </w:rPr>
              <w:t>Menej rozvinuté regióny</w:t>
            </w:r>
          </w:p>
        </w:tc>
        <w:tc>
          <w:tcPr>
            <w:tcW w:w="850" w:type="dxa"/>
            <w:shd w:val="clear" w:color="auto" w:fill="auto"/>
            <w:vAlign w:val="center"/>
          </w:tcPr>
          <w:p w:rsidR="00177922" w:rsidRPr="00B02869" w:rsidRDefault="00177922" w:rsidP="00B83833">
            <w:pPr>
              <w:ind w:left="0"/>
              <w:jc w:val="center"/>
              <w:rPr>
                <w:sz w:val="18"/>
                <w:szCs w:val="18"/>
              </w:rPr>
            </w:pPr>
            <w:r w:rsidRPr="00B02869">
              <w:rPr>
                <w:sz w:val="18"/>
                <w:szCs w:val="18"/>
              </w:rPr>
              <w:t>70 % datasetov</w:t>
            </w:r>
          </w:p>
        </w:tc>
        <w:tc>
          <w:tcPr>
            <w:tcW w:w="935"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Pr>
                <w:sz w:val="18"/>
                <w:szCs w:val="18"/>
              </w:rPr>
              <w:t xml:space="preserve">               </w:t>
            </w:r>
            <w:r w:rsidRPr="00CE40F1">
              <w:rPr>
                <w:sz w:val="18"/>
                <w:szCs w:val="18"/>
              </w:rPr>
              <w:t>SORO</w:t>
            </w:r>
          </w:p>
        </w:tc>
        <w:tc>
          <w:tcPr>
            <w:tcW w:w="851" w:type="dxa"/>
            <w:shd w:val="clear" w:color="auto" w:fill="auto"/>
            <w:vAlign w:val="center"/>
          </w:tcPr>
          <w:p w:rsidR="00177922" w:rsidRPr="00CE40F1" w:rsidRDefault="00177922" w:rsidP="00B83833">
            <w:pPr>
              <w:tabs>
                <w:tab w:val="left" w:pos="567"/>
                <w:tab w:val="left" w:leader="dot" w:pos="9356"/>
              </w:tabs>
              <w:ind w:left="0" w:hanging="851"/>
              <w:jc w:val="center"/>
              <w:rPr>
                <w:sz w:val="18"/>
                <w:szCs w:val="18"/>
              </w:rPr>
            </w:pPr>
            <w:r>
              <w:rPr>
                <w:sz w:val="18"/>
                <w:szCs w:val="18"/>
              </w:rPr>
              <w:t xml:space="preserve">                 </w:t>
            </w:r>
            <w:r w:rsidRPr="00CE40F1">
              <w:rPr>
                <w:sz w:val="18"/>
                <w:szCs w:val="18"/>
              </w:rPr>
              <w:t>Ročne počas trvania projektov</w:t>
            </w:r>
          </w:p>
        </w:tc>
      </w:tr>
    </w:tbl>
    <w:p w:rsidR="00E92F9B" w:rsidRDefault="008246A5">
      <w:pPr>
        <w:pStyle w:val="Tab"/>
        <w:jc w:val="both"/>
      </w:pPr>
      <w:r>
        <w:t xml:space="preserve"> </w:t>
      </w:r>
      <w:r w:rsidR="00177922" w:rsidRPr="00177922">
        <w:t>Špecifické ukazovatele výstupov pre investičnú prioritu 2</w:t>
      </w:r>
      <w:r w:rsidR="00177922">
        <w:t>c</w:t>
      </w:r>
      <w:r w:rsidR="00177922" w:rsidRPr="00177922">
        <w:t xml:space="preserve">), ŠC </w:t>
      </w:r>
      <w:r w:rsidR="00177922">
        <w:t>7.</w:t>
      </w:r>
      <w:r w:rsidR="00177922" w:rsidRPr="00177922">
        <w:t>6: Zlepšenie digitálnych zručností a inklúzie znevýhodnených jednotlivcov do digitálneho trhu</w:t>
      </w:r>
    </w:p>
    <w:tbl>
      <w:tblPr>
        <w:tblStyle w:val="Mriekatabuky"/>
        <w:tblW w:w="9244" w:type="dxa"/>
        <w:jc w:val="center"/>
        <w:tblLayout w:type="fixed"/>
        <w:tblLook w:val="04A0"/>
      </w:tblPr>
      <w:tblGrid>
        <w:gridCol w:w="513"/>
        <w:gridCol w:w="3628"/>
        <w:gridCol w:w="850"/>
        <w:gridCol w:w="709"/>
        <w:gridCol w:w="908"/>
        <w:gridCol w:w="935"/>
        <w:gridCol w:w="850"/>
        <w:gridCol w:w="851"/>
      </w:tblGrid>
      <w:tr w:rsidR="00177922" w:rsidRPr="00177922" w:rsidTr="00B83833">
        <w:trPr>
          <w:trHeight w:val="340"/>
          <w:jc w:val="center"/>
        </w:trPr>
        <w:tc>
          <w:tcPr>
            <w:tcW w:w="513" w:type="dxa"/>
            <w:tcBorders>
              <w:bottom w:val="single" w:sz="4" w:space="0" w:color="auto"/>
            </w:tcBorders>
            <w:shd w:val="clear" w:color="auto" w:fill="C6D9F1" w:themeFill="text2" w:themeFillTint="33"/>
            <w:vAlign w:val="center"/>
          </w:tcPr>
          <w:p w:rsidR="00177922" w:rsidRPr="00177922" w:rsidRDefault="001218A8" w:rsidP="00177922">
            <w:pPr>
              <w:ind w:left="0"/>
              <w:jc w:val="center"/>
              <w:rPr>
                <w:b/>
                <w:sz w:val="18"/>
                <w:szCs w:val="18"/>
              </w:rPr>
            </w:pPr>
            <w:r w:rsidRPr="001218A8">
              <w:rPr>
                <w:b/>
                <w:sz w:val="18"/>
                <w:szCs w:val="18"/>
              </w:rPr>
              <w:t>P. č.</w:t>
            </w:r>
          </w:p>
        </w:tc>
        <w:tc>
          <w:tcPr>
            <w:tcW w:w="3628" w:type="dxa"/>
            <w:tcBorders>
              <w:bottom w:val="single" w:sz="4" w:space="0" w:color="auto"/>
            </w:tcBorders>
            <w:shd w:val="clear" w:color="auto" w:fill="C6D9F1" w:themeFill="text2" w:themeFillTint="33"/>
            <w:vAlign w:val="center"/>
          </w:tcPr>
          <w:p w:rsidR="00177922" w:rsidRPr="00177922" w:rsidRDefault="001218A8" w:rsidP="00177922">
            <w:pPr>
              <w:ind w:left="0"/>
              <w:rPr>
                <w:b/>
                <w:sz w:val="18"/>
                <w:szCs w:val="18"/>
              </w:rPr>
            </w:pPr>
            <w:r w:rsidRPr="001218A8">
              <w:rPr>
                <w:b/>
                <w:sz w:val="18"/>
                <w:szCs w:val="18"/>
              </w:rPr>
              <w:t>Ukazovateľ (názov ukazovateľa)</w:t>
            </w:r>
          </w:p>
        </w:tc>
        <w:tc>
          <w:tcPr>
            <w:tcW w:w="850" w:type="dxa"/>
            <w:tcBorders>
              <w:bottom w:val="single" w:sz="4" w:space="0" w:color="auto"/>
            </w:tcBorders>
            <w:shd w:val="clear" w:color="auto" w:fill="C6D9F1" w:themeFill="text2" w:themeFillTint="33"/>
            <w:vAlign w:val="center"/>
          </w:tcPr>
          <w:p w:rsidR="00177922" w:rsidRPr="00177922" w:rsidRDefault="001218A8" w:rsidP="00177922">
            <w:pPr>
              <w:ind w:left="0"/>
              <w:jc w:val="center"/>
              <w:rPr>
                <w:b/>
                <w:sz w:val="18"/>
                <w:szCs w:val="18"/>
              </w:rPr>
            </w:pPr>
            <w:r w:rsidRPr="001218A8">
              <w:rPr>
                <w:b/>
                <w:sz w:val="18"/>
                <w:szCs w:val="18"/>
              </w:rPr>
              <w:t>Merná jednotka</w:t>
            </w:r>
          </w:p>
        </w:tc>
        <w:tc>
          <w:tcPr>
            <w:tcW w:w="709" w:type="dxa"/>
            <w:tcBorders>
              <w:bottom w:val="single" w:sz="4" w:space="0" w:color="auto"/>
            </w:tcBorders>
            <w:shd w:val="clear" w:color="auto" w:fill="C6D9F1" w:themeFill="text2" w:themeFillTint="33"/>
            <w:vAlign w:val="center"/>
          </w:tcPr>
          <w:p w:rsidR="00177922" w:rsidRPr="00177922" w:rsidRDefault="001218A8" w:rsidP="00177922">
            <w:pPr>
              <w:ind w:left="0"/>
              <w:jc w:val="center"/>
              <w:rPr>
                <w:b/>
                <w:sz w:val="18"/>
                <w:szCs w:val="18"/>
              </w:rPr>
            </w:pPr>
            <w:r w:rsidRPr="001218A8">
              <w:rPr>
                <w:b/>
                <w:sz w:val="18"/>
                <w:szCs w:val="18"/>
              </w:rPr>
              <w:t>Fond</w:t>
            </w:r>
          </w:p>
        </w:tc>
        <w:tc>
          <w:tcPr>
            <w:tcW w:w="908" w:type="dxa"/>
            <w:tcBorders>
              <w:bottom w:val="single" w:sz="4" w:space="0" w:color="auto"/>
            </w:tcBorders>
            <w:shd w:val="clear" w:color="auto" w:fill="C6D9F1" w:themeFill="text2" w:themeFillTint="33"/>
            <w:vAlign w:val="center"/>
          </w:tcPr>
          <w:p w:rsidR="00177922" w:rsidRPr="00177922" w:rsidRDefault="001218A8" w:rsidP="00177922">
            <w:pPr>
              <w:ind w:left="0"/>
              <w:jc w:val="center"/>
              <w:rPr>
                <w:b/>
                <w:sz w:val="18"/>
                <w:szCs w:val="18"/>
                <w:highlight w:val="yellow"/>
              </w:rPr>
            </w:pPr>
            <w:r w:rsidRPr="001218A8">
              <w:rPr>
                <w:b/>
                <w:sz w:val="18"/>
                <w:szCs w:val="18"/>
              </w:rPr>
              <w:t>Kategória regiónu</w:t>
            </w:r>
          </w:p>
        </w:tc>
        <w:tc>
          <w:tcPr>
            <w:tcW w:w="935" w:type="dxa"/>
            <w:tcBorders>
              <w:bottom w:val="single" w:sz="4" w:space="0" w:color="auto"/>
            </w:tcBorders>
            <w:shd w:val="clear" w:color="auto" w:fill="C6D9F1" w:themeFill="text2" w:themeFillTint="33"/>
            <w:vAlign w:val="center"/>
          </w:tcPr>
          <w:p w:rsidR="00177922" w:rsidRPr="00177922" w:rsidRDefault="001218A8" w:rsidP="00177922">
            <w:pPr>
              <w:ind w:left="0"/>
              <w:jc w:val="center"/>
              <w:rPr>
                <w:b/>
                <w:sz w:val="18"/>
                <w:szCs w:val="18"/>
              </w:rPr>
            </w:pPr>
            <w:r w:rsidRPr="001218A8">
              <w:rPr>
                <w:b/>
                <w:sz w:val="18"/>
                <w:szCs w:val="18"/>
              </w:rPr>
              <w:t>Cieľová hodnota (2023)</w:t>
            </w:r>
          </w:p>
        </w:tc>
        <w:tc>
          <w:tcPr>
            <w:tcW w:w="850" w:type="dxa"/>
            <w:tcBorders>
              <w:bottom w:val="single" w:sz="4" w:space="0" w:color="auto"/>
            </w:tcBorders>
            <w:shd w:val="clear" w:color="auto" w:fill="C6D9F1" w:themeFill="text2" w:themeFillTint="33"/>
            <w:vAlign w:val="center"/>
          </w:tcPr>
          <w:p w:rsidR="00177922" w:rsidRPr="00177922" w:rsidRDefault="001218A8" w:rsidP="00177922">
            <w:pPr>
              <w:ind w:left="0"/>
              <w:jc w:val="center"/>
              <w:rPr>
                <w:b/>
                <w:sz w:val="18"/>
                <w:szCs w:val="18"/>
              </w:rPr>
            </w:pPr>
            <w:r w:rsidRPr="001218A8">
              <w:rPr>
                <w:b/>
                <w:sz w:val="18"/>
                <w:szCs w:val="18"/>
              </w:rPr>
              <w:t>Zdroj údajov</w:t>
            </w:r>
          </w:p>
        </w:tc>
        <w:tc>
          <w:tcPr>
            <w:tcW w:w="851" w:type="dxa"/>
            <w:tcBorders>
              <w:bottom w:val="single" w:sz="4" w:space="0" w:color="auto"/>
            </w:tcBorders>
            <w:shd w:val="clear" w:color="auto" w:fill="C6D9F1" w:themeFill="text2" w:themeFillTint="33"/>
          </w:tcPr>
          <w:p w:rsidR="00177922" w:rsidRPr="00177922" w:rsidRDefault="001218A8" w:rsidP="00177922">
            <w:pPr>
              <w:ind w:left="0"/>
              <w:jc w:val="center"/>
              <w:rPr>
                <w:b/>
                <w:sz w:val="18"/>
                <w:szCs w:val="18"/>
                <w:highlight w:val="yellow"/>
              </w:rPr>
            </w:pPr>
            <w:r w:rsidRPr="001218A8">
              <w:rPr>
                <w:b/>
                <w:sz w:val="18"/>
                <w:szCs w:val="18"/>
              </w:rPr>
              <w:t>Frekvencia vykazovania</w:t>
            </w:r>
          </w:p>
        </w:tc>
      </w:tr>
      <w:tr w:rsidR="00177922" w:rsidRPr="00177922" w:rsidTr="00B83833">
        <w:trPr>
          <w:trHeight w:val="454"/>
          <w:jc w:val="center"/>
        </w:trPr>
        <w:tc>
          <w:tcPr>
            <w:tcW w:w="513" w:type="dxa"/>
            <w:shd w:val="clear" w:color="auto" w:fill="auto"/>
            <w:vAlign w:val="center"/>
          </w:tcPr>
          <w:p w:rsidR="00177922" w:rsidRPr="00177922" w:rsidRDefault="00177922" w:rsidP="00177922">
            <w:pPr>
              <w:ind w:left="0"/>
              <w:jc w:val="center"/>
              <w:rPr>
                <w:sz w:val="18"/>
                <w:szCs w:val="18"/>
              </w:rPr>
            </w:pPr>
            <w:r w:rsidRPr="00177922">
              <w:rPr>
                <w:sz w:val="18"/>
                <w:szCs w:val="18"/>
              </w:rPr>
              <w:t>9.</w:t>
            </w:r>
          </w:p>
        </w:tc>
        <w:tc>
          <w:tcPr>
            <w:tcW w:w="3628" w:type="dxa"/>
            <w:shd w:val="clear" w:color="auto" w:fill="auto"/>
            <w:vAlign w:val="center"/>
          </w:tcPr>
          <w:p w:rsidR="00177922" w:rsidRPr="00177922" w:rsidRDefault="00177922" w:rsidP="00AF5171">
            <w:pPr>
              <w:ind w:left="0"/>
              <w:rPr>
                <w:sz w:val="18"/>
                <w:szCs w:val="18"/>
              </w:rPr>
            </w:pPr>
            <w:r w:rsidRPr="00177922">
              <w:rPr>
                <w:sz w:val="18"/>
                <w:szCs w:val="18"/>
              </w:rPr>
              <w:t>Zvýšenie používania elektronických služieb znevýhodnenými skupinami</w:t>
            </w:r>
          </w:p>
        </w:tc>
        <w:tc>
          <w:tcPr>
            <w:tcW w:w="850" w:type="dxa"/>
            <w:shd w:val="clear" w:color="auto" w:fill="auto"/>
            <w:vAlign w:val="center"/>
          </w:tcPr>
          <w:p w:rsidR="00177922" w:rsidRPr="00177922" w:rsidRDefault="00177922" w:rsidP="00177922">
            <w:pPr>
              <w:ind w:left="0"/>
              <w:jc w:val="center"/>
              <w:rPr>
                <w:sz w:val="18"/>
                <w:szCs w:val="18"/>
              </w:rPr>
            </w:pPr>
            <w:r w:rsidRPr="00177922">
              <w:rPr>
                <w:sz w:val="18"/>
                <w:szCs w:val="18"/>
              </w:rPr>
              <w:t>%</w:t>
            </w:r>
          </w:p>
        </w:tc>
        <w:tc>
          <w:tcPr>
            <w:tcW w:w="709"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EFRR</w:t>
            </w:r>
          </w:p>
        </w:tc>
        <w:tc>
          <w:tcPr>
            <w:tcW w:w="908"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w:t>
            </w:r>
            <w:r>
              <w:rPr>
                <w:sz w:val="18"/>
                <w:szCs w:val="18"/>
              </w:rPr>
              <w:t xml:space="preserve">         </w:t>
            </w:r>
            <w:r w:rsidRPr="00177922">
              <w:rPr>
                <w:sz w:val="18"/>
                <w:szCs w:val="18"/>
              </w:rPr>
              <w:t>Menej rozvinuté regióny</w:t>
            </w:r>
          </w:p>
        </w:tc>
        <w:tc>
          <w:tcPr>
            <w:tcW w:w="935" w:type="dxa"/>
            <w:shd w:val="clear" w:color="auto" w:fill="auto"/>
            <w:vAlign w:val="center"/>
          </w:tcPr>
          <w:p w:rsidR="00177922" w:rsidRPr="00177922" w:rsidRDefault="00177922" w:rsidP="00177922">
            <w:pPr>
              <w:ind w:left="0"/>
              <w:jc w:val="center"/>
              <w:rPr>
                <w:sz w:val="18"/>
                <w:szCs w:val="18"/>
              </w:rPr>
            </w:pPr>
            <w:r w:rsidRPr="00177922">
              <w:rPr>
                <w:sz w:val="18"/>
                <w:szCs w:val="18"/>
              </w:rPr>
              <w:t>35 %</w:t>
            </w:r>
          </w:p>
        </w:tc>
        <w:tc>
          <w:tcPr>
            <w:tcW w:w="850"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SORO</w:t>
            </w:r>
          </w:p>
        </w:tc>
        <w:tc>
          <w:tcPr>
            <w:tcW w:w="851"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Ročne počas trvania projektov</w:t>
            </w:r>
          </w:p>
        </w:tc>
      </w:tr>
      <w:tr w:rsidR="00177922" w:rsidRPr="00177922" w:rsidTr="00B83833">
        <w:trPr>
          <w:trHeight w:val="454"/>
          <w:jc w:val="center"/>
        </w:trPr>
        <w:tc>
          <w:tcPr>
            <w:tcW w:w="513" w:type="dxa"/>
            <w:shd w:val="clear" w:color="auto" w:fill="auto"/>
            <w:vAlign w:val="center"/>
          </w:tcPr>
          <w:p w:rsidR="00177922" w:rsidRPr="00177922" w:rsidRDefault="00177922" w:rsidP="00177922">
            <w:pPr>
              <w:ind w:left="0"/>
              <w:jc w:val="center"/>
              <w:rPr>
                <w:sz w:val="18"/>
                <w:szCs w:val="18"/>
              </w:rPr>
            </w:pPr>
            <w:r w:rsidRPr="00177922">
              <w:rPr>
                <w:sz w:val="18"/>
                <w:szCs w:val="18"/>
              </w:rPr>
              <w:t>10.</w:t>
            </w:r>
          </w:p>
        </w:tc>
        <w:tc>
          <w:tcPr>
            <w:tcW w:w="3628" w:type="dxa"/>
            <w:shd w:val="clear" w:color="auto" w:fill="auto"/>
          </w:tcPr>
          <w:p w:rsidR="00177922" w:rsidRPr="00177922" w:rsidDel="000657D9" w:rsidRDefault="00177922" w:rsidP="00AF5171">
            <w:pPr>
              <w:ind w:left="0"/>
              <w:rPr>
                <w:sz w:val="18"/>
                <w:szCs w:val="18"/>
              </w:rPr>
            </w:pPr>
            <w:r w:rsidRPr="00177922">
              <w:rPr>
                <w:sz w:val="18"/>
                <w:szCs w:val="18"/>
              </w:rPr>
              <w:t>Zvýšenie používania nástrojov asistovaného života</w:t>
            </w:r>
          </w:p>
        </w:tc>
        <w:tc>
          <w:tcPr>
            <w:tcW w:w="850" w:type="dxa"/>
            <w:shd w:val="clear" w:color="auto" w:fill="auto"/>
            <w:vAlign w:val="center"/>
          </w:tcPr>
          <w:p w:rsidR="00177922" w:rsidRPr="00177922" w:rsidDel="000657D9" w:rsidRDefault="00177922" w:rsidP="00177922">
            <w:pPr>
              <w:ind w:left="0"/>
              <w:jc w:val="center"/>
              <w:rPr>
                <w:sz w:val="18"/>
                <w:szCs w:val="18"/>
              </w:rPr>
            </w:pPr>
            <w:r w:rsidRPr="00177922">
              <w:rPr>
                <w:sz w:val="18"/>
                <w:szCs w:val="18"/>
              </w:rPr>
              <w:t>Počet</w:t>
            </w:r>
          </w:p>
        </w:tc>
        <w:tc>
          <w:tcPr>
            <w:tcW w:w="709"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EFRR</w:t>
            </w:r>
          </w:p>
        </w:tc>
        <w:tc>
          <w:tcPr>
            <w:tcW w:w="908"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Menej rozvinuté regióny</w:t>
            </w:r>
          </w:p>
        </w:tc>
        <w:tc>
          <w:tcPr>
            <w:tcW w:w="935" w:type="dxa"/>
            <w:shd w:val="clear" w:color="auto" w:fill="auto"/>
            <w:vAlign w:val="center"/>
          </w:tcPr>
          <w:p w:rsidR="00177922" w:rsidRPr="00177922" w:rsidRDefault="00177922" w:rsidP="00177922">
            <w:pPr>
              <w:ind w:left="0"/>
              <w:jc w:val="center"/>
              <w:rPr>
                <w:sz w:val="18"/>
                <w:szCs w:val="18"/>
              </w:rPr>
            </w:pPr>
            <w:r w:rsidRPr="00177922">
              <w:rPr>
                <w:sz w:val="18"/>
                <w:szCs w:val="18"/>
              </w:rPr>
              <w:t>25 000</w:t>
            </w:r>
          </w:p>
        </w:tc>
        <w:tc>
          <w:tcPr>
            <w:tcW w:w="850"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SORO</w:t>
            </w:r>
          </w:p>
        </w:tc>
        <w:tc>
          <w:tcPr>
            <w:tcW w:w="851"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Ročne počas trvania projektov</w:t>
            </w:r>
          </w:p>
        </w:tc>
      </w:tr>
    </w:tbl>
    <w:p w:rsidR="00E92F9B" w:rsidRDefault="008246A5">
      <w:pPr>
        <w:pStyle w:val="Tab"/>
        <w:jc w:val="both"/>
      </w:pPr>
      <w:r>
        <w:t xml:space="preserve"> </w:t>
      </w:r>
      <w:r w:rsidR="001218A8" w:rsidRPr="001218A8">
        <w:t>Špecifické ukazovatele výstupov pre investičnú prioritu 2c), ŠC 7.7 Umožnenie modernizácie a racionalizácie verejnej správy IKT prostriedkami</w:t>
      </w:r>
    </w:p>
    <w:tbl>
      <w:tblPr>
        <w:tblStyle w:val="Mriekatabuky"/>
        <w:tblW w:w="9244" w:type="dxa"/>
        <w:jc w:val="center"/>
        <w:tblLayout w:type="fixed"/>
        <w:tblLook w:val="04A0"/>
      </w:tblPr>
      <w:tblGrid>
        <w:gridCol w:w="513"/>
        <w:gridCol w:w="3628"/>
        <w:gridCol w:w="850"/>
        <w:gridCol w:w="709"/>
        <w:gridCol w:w="908"/>
        <w:gridCol w:w="935"/>
        <w:gridCol w:w="850"/>
        <w:gridCol w:w="851"/>
      </w:tblGrid>
      <w:tr w:rsidR="00177922" w:rsidRPr="00177922" w:rsidTr="00B83833">
        <w:trPr>
          <w:trHeight w:val="340"/>
          <w:jc w:val="center"/>
        </w:trPr>
        <w:tc>
          <w:tcPr>
            <w:tcW w:w="513"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P. č.</w:t>
            </w:r>
          </w:p>
        </w:tc>
        <w:tc>
          <w:tcPr>
            <w:tcW w:w="3628" w:type="dxa"/>
            <w:tcBorders>
              <w:bottom w:val="single" w:sz="4" w:space="0" w:color="auto"/>
            </w:tcBorders>
            <w:shd w:val="clear" w:color="auto" w:fill="C6D9F1" w:themeFill="text2" w:themeFillTint="33"/>
            <w:vAlign w:val="center"/>
          </w:tcPr>
          <w:p w:rsidR="00177922" w:rsidRPr="008246A5" w:rsidRDefault="001218A8" w:rsidP="00177922">
            <w:pPr>
              <w:ind w:left="0"/>
              <w:rPr>
                <w:b/>
                <w:sz w:val="18"/>
                <w:szCs w:val="18"/>
              </w:rPr>
            </w:pPr>
            <w:r w:rsidRPr="001218A8">
              <w:rPr>
                <w:b/>
                <w:sz w:val="18"/>
                <w:szCs w:val="18"/>
              </w:rPr>
              <w:t>Ukazovateľ (názov ukazovateľa)</w:t>
            </w:r>
          </w:p>
        </w:tc>
        <w:tc>
          <w:tcPr>
            <w:tcW w:w="850"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Merná jednotka</w:t>
            </w:r>
          </w:p>
        </w:tc>
        <w:tc>
          <w:tcPr>
            <w:tcW w:w="709"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Fond</w:t>
            </w:r>
          </w:p>
        </w:tc>
        <w:tc>
          <w:tcPr>
            <w:tcW w:w="908"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highlight w:val="yellow"/>
              </w:rPr>
            </w:pPr>
            <w:r w:rsidRPr="001218A8">
              <w:rPr>
                <w:b/>
                <w:sz w:val="18"/>
                <w:szCs w:val="18"/>
              </w:rPr>
              <w:t>Kategória regiónu</w:t>
            </w:r>
          </w:p>
        </w:tc>
        <w:tc>
          <w:tcPr>
            <w:tcW w:w="935"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Cieľová hodnota (2023)</w:t>
            </w:r>
          </w:p>
        </w:tc>
        <w:tc>
          <w:tcPr>
            <w:tcW w:w="850"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Zdroj údajov</w:t>
            </w:r>
          </w:p>
        </w:tc>
        <w:tc>
          <w:tcPr>
            <w:tcW w:w="851" w:type="dxa"/>
            <w:tcBorders>
              <w:bottom w:val="single" w:sz="4" w:space="0" w:color="auto"/>
            </w:tcBorders>
            <w:shd w:val="clear" w:color="auto" w:fill="C6D9F1" w:themeFill="text2" w:themeFillTint="33"/>
          </w:tcPr>
          <w:p w:rsidR="00177922" w:rsidRPr="008246A5" w:rsidRDefault="001218A8" w:rsidP="00177922">
            <w:pPr>
              <w:ind w:left="0"/>
              <w:jc w:val="center"/>
              <w:rPr>
                <w:b/>
                <w:sz w:val="18"/>
                <w:szCs w:val="18"/>
                <w:highlight w:val="yellow"/>
              </w:rPr>
            </w:pPr>
            <w:r w:rsidRPr="001218A8">
              <w:rPr>
                <w:b/>
                <w:sz w:val="18"/>
                <w:szCs w:val="18"/>
              </w:rPr>
              <w:t>Frekvencia vykazovania</w:t>
            </w:r>
          </w:p>
        </w:tc>
      </w:tr>
      <w:tr w:rsidR="00177922" w:rsidRPr="00177922" w:rsidTr="00B83833">
        <w:trPr>
          <w:trHeight w:val="454"/>
          <w:jc w:val="center"/>
        </w:trPr>
        <w:tc>
          <w:tcPr>
            <w:tcW w:w="513" w:type="dxa"/>
            <w:shd w:val="clear" w:color="auto" w:fill="auto"/>
            <w:vAlign w:val="center"/>
          </w:tcPr>
          <w:p w:rsidR="00177922" w:rsidRPr="00177922" w:rsidRDefault="00177922" w:rsidP="00177922">
            <w:pPr>
              <w:ind w:left="0"/>
              <w:jc w:val="center"/>
              <w:rPr>
                <w:sz w:val="18"/>
                <w:szCs w:val="18"/>
              </w:rPr>
            </w:pPr>
            <w:r w:rsidRPr="00177922">
              <w:rPr>
                <w:sz w:val="18"/>
                <w:szCs w:val="18"/>
              </w:rPr>
              <w:t>11.</w:t>
            </w:r>
          </w:p>
        </w:tc>
        <w:tc>
          <w:tcPr>
            <w:tcW w:w="3628" w:type="dxa"/>
            <w:shd w:val="clear" w:color="auto" w:fill="auto"/>
            <w:vAlign w:val="center"/>
          </w:tcPr>
          <w:p w:rsidR="00177922" w:rsidRPr="00177922" w:rsidRDefault="00177922" w:rsidP="00AF5171">
            <w:pPr>
              <w:ind w:left="0"/>
              <w:rPr>
                <w:i/>
                <w:sz w:val="18"/>
                <w:szCs w:val="18"/>
              </w:rPr>
            </w:pPr>
            <w:r w:rsidRPr="00177922">
              <w:rPr>
                <w:sz w:val="18"/>
                <w:szCs w:val="18"/>
              </w:rPr>
              <w:t>Počet nových optimalizovaných úsekov verejnej správy</w:t>
            </w:r>
          </w:p>
        </w:tc>
        <w:tc>
          <w:tcPr>
            <w:tcW w:w="850" w:type="dxa"/>
            <w:shd w:val="clear" w:color="auto" w:fill="auto"/>
            <w:vAlign w:val="center"/>
          </w:tcPr>
          <w:p w:rsidR="00177922" w:rsidRPr="00177922" w:rsidRDefault="00177922" w:rsidP="00177922">
            <w:pPr>
              <w:ind w:left="0"/>
              <w:jc w:val="center"/>
              <w:rPr>
                <w:sz w:val="18"/>
                <w:szCs w:val="18"/>
              </w:rPr>
            </w:pPr>
            <w:r w:rsidRPr="00177922">
              <w:rPr>
                <w:sz w:val="18"/>
                <w:szCs w:val="18"/>
              </w:rPr>
              <w:t>Počet</w:t>
            </w:r>
          </w:p>
        </w:tc>
        <w:tc>
          <w:tcPr>
            <w:tcW w:w="709"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EFRR</w:t>
            </w:r>
          </w:p>
        </w:tc>
        <w:tc>
          <w:tcPr>
            <w:tcW w:w="908"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Menej rozvinuté </w:t>
            </w:r>
            <w:r w:rsidRPr="00177922">
              <w:rPr>
                <w:sz w:val="18"/>
                <w:szCs w:val="18"/>
              </w:rPr>
              <w:lastRenderedPageBreak/>
              <w:t>regióny</w:t>
            </w:r>
          </w:p>
        </w:tc>
        <w:tc>
          <w:tcPr>
            <w:tcW w:w="935" w:type="dxa"/>
            <w:shd w:val="clear" w:color="auto" w:fill="auto"/>
            <w:vAlign w:val="center"/>
          </w:tcPr>
          <w:p w:rsidR="00177922" w:rsidRPr="00177922" w:rsidRDefault="00177922" w:rsidP="00177922">
            <w:pPr>
              <w:ind w:left="0"/>
              <w:jc w:val="center"/>
              <w:rPr>
                <w:sz w:val="18"/>
                <w:szCs w:val="18"/>
              </w:rPr>
            </w:pPr>
            <w:r w:rsidRPr="00177922">
              <w:rPr>
                <w:sz w:val="18"/>
                <w:szCs w:val="18"/>
              </w:rPr>
              <w:lastRenderedPageBreak/>
              <w:t>60</w:t>
            </w:r>
          </w:p>
        </w:tc>
        <w:tc>
          <w:tcPr>
            <w:tcW w:w="850"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SORO</w:t>
            </w:r>
          </w:p>
        </w:tc>
        <w:tc>
          <w:tcPr>
            <w:tcW w:w="851"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Ročne počas </w:t>
            </w:r>
            <w:r w:rsidRPr="00177922">
              <w:rPr>
                <w:sz w:val="18"/>
                <w:szCs w:val="18"/>
              </w:rPr>
              <w:lastRenderedPageBreak/>
              <w:t>trvania projektov</w:t>
            </w:r>
          </w:p>
        </w:tc>
      </w:tr>
      <w:tr w:rsidR="00177922" w:rsidRPr="00177922" w:rsidTr="00B83833">
        <w:trPr>
          <w:trHeight w:val="454"/>
          <w:jc w:val="center"/>
        </w:trPr>
        <w:tc>
          <w:tcPr>
            <w:tcW w:w="513" w:type="dxa"/>
            <w:shd w:val="clear" w:color="auto" w:fill="auto"/>
            <w:vAlign w:val="center"/>
          </w:tcPr>
          <w:p w:rsidR="00177922" w:rsidRPr="00177922" w:rsidRDefault="00177922" w:rsidP="00177922">
            <w:pPr>
              <w:ind w:left="0"/>
              <w:jc w:val="center"/>
              <w:rPr>
                <w:sz w:val="18"/>
                <w:szCs w:val="18"/>
              </w:rPr>
            </w:pPr>
            <w:r w:rsidRPr="00177922">
              <w:rPr>
                <w:sz w:val="18"/>
                <w:szCs w:val="18"/>
              </w:rPr>
              <w:lastRenderedPageBreak/>
              <w:t>12.</w:t>
            </w:r>
          </w:p>
        </w:tc>
        <w:tc>
          <w:tcPr>
            <w:tcW w:w="3628" w:type="dxa"/>
            <w:shd w:val="clear" w:color="auto" w:fill="auto"/>
          </w:tcPr>
          <w:p w:rsidR="00177922" w:rsidRPr="00177922" w:rsidDel="000657D9" w:rsidRDefault="00177922" w:rsidP="00AF5171">
            <w:pPr>
              <w:ind w:left="0"/>
              <w:rPr>
                <w:sz w:val="18"/>
                <w:szCs w:val="18"/>
                <w:highlight w:val="yellow"/>
              </w:rPr>
            </w:pPr>
            <w:r w:rsidRPr="00177922">
              <w:rPr>
                <w:sz w:val="18"/>
                <w:szCs w:val="18"/>
              </w:rPr>
              <w:t>Dodatočný počet úsekov verejnej správy, v ktorých je rozhodovanie podporované analytickými systémami (napríklad pre analýzu rizík)</w:t>
            </w:r>
          </w:p>
        </w:tc>
        <w:tc>
          <w:tcPr>
            <w:tcW w:w="850" w:type="dxa"/>
            <w:shd w:val="clear" w:color="auto" w:fill="auto"/>
            <w:vAlign w:val="center"/>
          </w:tcPr>
          <w:p w:rsidR="00177922" w:rsidRPr="00177922" w:rsidDel="000657D9" w:rsidRDefault="00177922" w:rsidP="00177922">
            <w:pPr>
              <w:ind w:left="0"/>
              <w:jc w:val="center"/>
              <w:rPr>
                <w:sz w:val="18"/>
                <w:szCs w:val="18"/>
              </w:rPr>
            </w:pPr>
            <w:r w:rsidRPr="00177922">
              <w:rPr>
                <w:sz w:val="18"/>
                <w:szCs w:val="18"/>
              </w:rPr>
              <w:t>Počet</w:t>
            </w:r>
          </w:p>
        </w:tc>
        <w:tc>
          <w:tcPr>
            <w:tcW w:w="709"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EFRR</w:t>
            </w:r>
          </w:p>
        </w:tc>
        <w:tc>
          <w:tcPr>
            <w:tcW w:w="908"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Menej rozvinuté regióny</w:t>
            </w:r>
          </w:p>
        </w:tc>
        <w:tc>
          <w:tcPr>
            <w:tcW w:w="935" w:type="dxa"/>
            <w:shd w:val="clear" w:color="auto" w:fill="auto"/>
            <w:vAlign w:val="center"/>
          </w:tcPr>
          <w:p w:rsidR="00177922" w:rsidRPr="00177922" w:rsidRDefault="00177922" w:rsidP="00177922">
            <w:pPr>
              <w:ind w:left="0"/>
              <w:jc w:val="center"/>
              <w:rPr>
                <w:sz w:val="18"/>
                <w:szCs w:val="18"/>
              </w:rPr>
            </w:pPr>
            <w:r w:rsidRPr="00177922">
              <w:rPr>
                <w:sz w:val="18"/>
                <w:szCs w:val="18"/>
              </w:rPr>
              <w:t>77</w:t>
            </w:r>
          </w:p>
        </w:tc>
        <w:tc>
          <w:tcPr>
            <w:tcW w:w="850"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SORO</w:t>
            </w:r>
          </w:p>
        </w:tc>
        <w:tc>
          <w:tcPr>
            <w:tcW w:w="851"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Ročne počas trvania projektov</w:t>
            </w:r>
          </w:p>
        </w:tc>
      </w:tr>
      <w:tr w:rsidR="00177922" w:rsidRPr="00177922" w:rsidTr="00B83833">
        <w:trPr>
          <w:trHeight w:val="454"/>
          <w:jc w:val="center"/>
        </w:trPr>
        <w:tc>
          <w:tcPr>
            <w:tcW w:w="513" w:type="dxa"/>
            <w:shd w:val="clear" w:color="auto" w:fill="auto"/>
            <w:vAlign w:val="center"/>
          </w:tcPr>
          <w:p w:rsidR="00177922" w:rsidRPr="00177922" w:rsidRDefault="00177922" w:rsidP="00177922">
            <w:pPr>
              <w:ind w:left="0"/>
              <w:jc w:val="center"/>
              <w:rPr>
                <w:sz w:val="18"/>
                <w:szCs w:val="18"/>
              </w:rPr>
            </w:pPr>
            <w:r w:rsidRPr="00177922">
              <w:rPr>
                <w:sz w:val="18"/>
                <w:szCs w:val="18"/>
              </w:rPr>
              <w:t>13.</w:t>
            </w:r>
          </w:p>
        </w:tc>
        <w:tc>
          <w:tcPr>
            <w:tcW w:w="3628" w:type="dxa"/>
            <w:shd w:val="clear" w:color="auto" w:fill="auto"/>
          </w:tcPr>
          <w:p w:rsidR="00177922" w:rsidRPr="00177922" w:rsidDel="000657D9" w:rsidRDefault="00177922" w:rsidP="00AF5171">
            <w:pPr>
              <w:ind w:left="0"/>
              <w:rPr>
                <w:sz w:val="18"/>
                <w:szCs w:val="18"/>
                <w:highlight w:val="yellow"/>
              </w:rPr>
            </w:pPr>
            <w:r w:rsidRPr="00177922">
              <w:rPr>
                <w:sz w:val="18"/>
                <w:szCs w:val="18"/>
              </w:rPr>
              <w:t>Počet dodatočných centrálne využitých podporných systémov vnútornej správy v rámci ISVS (ako služieb v cloude SaaS)</w:t>
            </w:r>
            <w:r w:rsidRPr="00177922" w:rsidDel="007620FE">
              <w:rPr>
                <w:sz w:val="18"/>
                <w:szCs w:val="18"/>
              </w:rPr>
              <w:t xml:space="preserve"> </w:t>
            </w:r>
          </w:p>
        </w:tc>
        <w:tc>
          <w:tcPr>
            <w:tcW w:w="850" w:type="dxa"/>
            <w:shd w:val="clear" w:color="auto" w:fill="auto"/>
            <w:vAlign w:val="center"/>
          </w:tcPr>
          <w:p w:rsidR="00177922" w:rsidRPr="00177922" w:rsidDel="000657D9" w:rsidRDefault="00177922" w:rsidP="00177922">
            <w:pPr>
              <w:ind w:left="0"/>
              <w:jc w:val="center"/>
              <w:rPr>
                <w:sz w:val="18"/>
                <w:szCs w:val="18"/>
              </w:rPr>
            </w:pPr>
            <w:r w:rsidRPr="00177922">
              <w:rPr>
                <w:sz w:val="18"/>
                <w:szCs w:val="18"/>
              </w:rPr>
              <w:t>Počet</w:t>
            </w:r>
          </w:p>
        </w:tc>
        <w:tc>
          <w:tcPr>
            <w:tcW w:w="709"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EFRR</w:t>
            </w:r>
          </w:p>
        </w:tc>
        <w:tc>
          <w:tcPr>
            <w:tcW w:w="908"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Menej rozvinuté regióny</w:t>
            </w:r>
          </w:p>
        </w:tc>
        <w:tc>
          <w:tcPr>
            <w:tcW w:w="935" w:type="dxa"/>
            <w:shd w:val="clear" w:color="auto" w:fill="auto"/>
            <w:vAlign w:val="center"/>
          </w:tcPr>
          <w:p w:rsidR="00177922" w:rsidRPr="00177922" w:rsidRDefault="00177922" w:rsidP="00177922">
            <w:pPr>
              <w:ind w:left="0"/>
              <w:jc w:val="center"/>
              <w:rPr>
                <w:sz w:val="18"/>
                <w:szCs w:val="18"/>
              </w:rPr>
            </w:pPr>
            <w:r w:rsidRPr="00177922">
              <w:rPr>
                <w:sz w:val="18"/>
                <w:szCs w:val="18"/>
              </w:rPr>
              <w:t>7</w:t>
            </w:r>
          </w:p>
        </w:tc>
        <w:tc>
          <w:tcPr>
            <w:tcW w:w="850"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SORO</w:t>
            </w:r>
          </w:p>
        </w:tc>
        <w:tc>
          <w:tcPr>
            <w:tcW w:w="851"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Ročne počas trvania projektov</w:t>
            </w:r>
          </w:p>
        </w:tc>
      </w:tr>
    </w:tbl>
    <w:p w:rsidR="00E92F9B" w:rsidRDefault="008246A5">
      <w:pPr>
        <w:pStyle w:val="Tab"/>
        <w:jc w:val="both"/>
      </w:pPr>
      <w:r>
        <w:t xml:space="preserve"> </w:t>
      </w:r>
      <w:r w:rsidR="00177922" w:rsidRPr="00177922">
        <w:t xml:space="preserve">Špecifické ukazovatele výstupov pre investičnú prioritu 2c), ŠC </w:t>
      </w:r>
      <w:r>
        <w:t>7.</w:t>
      </w:r>
      <w:r w:rsidR="00177922" w:rsidRPr="00177922">
        <w:t>8 Racionalizácia prevádzky informačných systémov pomocou eGovernment cloudu</w:t>
      </w:r>
    </w:p>
    <w:tbl>
      <w:tblPr>
        <w:tblStyle w:val="Mriekatabuky"/>
        <w:tblW w:w="9244" w:type="dxa"/>
        <w:jc w:val="center"/>
        <w:tblLayout w:type="fixed"/>
        <w:tblLook w:val="04A0"/>
      </w:tblPr>
      <w:tblGrid>
        <w:gridCol w:w="513"/>
        <w:gridCol w:w="3628"/>
        <w:gridCol w:w="850"/>
        <w:gridCol w:w="709"/>
        <w:gridCol w:w="908"/>
        <w:gridCol w:w="935"/>
        <w:gridCol w:w="850"/>
        <w:gridCol w:w="851"/>
      </w:tblGrid>
      <w:tr w:rsidR="00177922" w:rsidRPr="00177922" w:rsidTr="00B83833">
        <w:trPr>
          <w:trHeight w:val="340"/>
          <w:jc w:val="center"/>
        </w:trPr>
        <w:tc>
          <w:tcPr>
            <w:tcW w:w="513"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P. č.</w:t>
            </w:r>
          </w:p>
        </w:tc>
        <w:tc>
          <w:tcPr>
            <w:tcW w:w="3628" w:type="dxa"/>
            <w:tcBorders>
              <w:bottom w:val="single" w:sz="4" w:space="0" w:color="auto"/>
            </w:tcBorders>
            <w:shd w:val="clear" w:color="auto" w:fill="C6D9F1" w:themeFill="text2" w:themeFillTint="33"/>
            <w:vAlign w:val="center"/>
          </w:tcPr>
          <w:p w:rsidR="00177922" w:rsidRPr="008246A5" w:rsidRDefault="001218A8" w:rsidP="00177922">
            <w:pPr>
              <w:ind w:left="0"/>
              <w:rPr>
                <w:b/>
                <w:sz w:val="18"/>
                <w:szCs w:val="18"/>
              </w:rPr>
            </w:pPr>
            <w:r w:rsidRPr="001218A8">
              <w:rPr>
                <w:b/>
                <w:sz w:val="18"/>
                <w:szCs w:val="18"/>
              </w:rPr>
              <w:t>Ukazovateľ (názov ukazovateľa)</w:t>
            </w:r>
          </w:p>
        </w:tc>
        <w:tc>
          <w:tcPr>
            <w:tcW w:w="850"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Merná jednotka</w:t>
            </w:r>
          </w:p>
        </w:tc>
        <w:tc>
          <w:tcPr>
            <w:tcW w:w="709"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Fond</w:t>
            </w:r>
          </w:p>
        </w:tc>
        <w:tc>
          <w:tcPr>
            <w:tcW w:w="908"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highlight w:val="yellow"/>
              </w:rPr>
            </w:pPr>
            <w:r w:rsidRPr="001218A8">
              <w:rPr>
                <w:b/>
                <w:sz w:val="18"/>
                <w:szCs w:val="18"/>
              </w:rPr>
              <w:t>Kategória regiónu</w:t>
            </w:r>
          </w:p>
        </w:tc>
        <w:tc>
          <w:tcPr>
            <w:tcW w:w="935"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Cieľová hodnota (2023)</w:t>
            </w:r>
          </w:p>
        </w:tc>
        <w:tc>
          <w:tcPr>
            <w:tcW w:w="850"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Zdroj údajov</w:t>
            </w:r>
          </w:p>
        </w:tc>
        <w:tc>
          <w:tcPr>
            <w:tcW w:w="851" w:type="dxa"/>
            <w:tcBorders>
              <w:bottom w:val="single" w:sz="4" w:space="0" w:color="auto"/>
            </w:tcBorders>
            <w:shd w:val="clear" w:color="auto" w:fill="C6D9F1" w:themeFill="text2" w:themeFillTint="33"/>
          </w:tcPr>
          <w:p w:rsidR="00177922" w:rsidRPr="008246A5" w:rsidRDefault="001218A8" w:rsidP="00177922">
            <w:pPr>
              <w:ind w:left="0"/>
              <w:jc w:val="center"/>
              <w:rPr>
                <w:b/>
                <w:sz w:val="18"/>
                <w:szCs w:val="18"/>
                <w:highlight w:val="yellow"/>
              </w:rPr>
            </w:pPr>
            <w:r w:rsidRPr="001218A8">
              <w:rPr>
                <w:b/>
                <w:sz w:val="18"/>
                <w:szCs w:val="18"/>
              </w:rPr>
              <w:t>Frekvencia vykazovania</w:t>
            </w:r>
          </w:p>
        </w:tc>
      </w:tr>
      <w:tr w:rsidR="00177922" w:rsidRPr="00177922" w:rsidTr="00B83833">
        <w:trPr>
          <w:trHeight w:val="454"/>
          <w:jc w:val="center"/>
        </w:trPr>
        <w:tc>
          <w:tcPr>
            <w:tcW w:w="513" w:type="dxa"/>
            <w:shd w:val="clear" w:color="auto" w:fill="auto"/>
            <w:vAlign w:val="center"/>
          </w:tcPr>
          <w:p w:rsidR="00177922" w:rsidRPr="00177922" w:rsidRDefault="00177922" w:rsidP="00177922">
            <w:pPr>
              <w:ind w:left="0"/>
              <w:jc w:val="center"/>
              <w:rPr>
                <w:sz w:val="18"/>
                <w:szCs w:val="18"/>
              </w:rPr>
            </w:pPr>
            <w:r w:rsidRPr="00177922">
              <w:rPr>
                <w:sz w:val="18"/>
                <w:szCs w:val="18"/>
              </w:rPr>
              <w:t>14.</w:t>
            </w:r>
          </w:p>
        </w:tc>
        <w:tc>
          <w:tcPr>
            <w:tcW w:w="3628" w:type="dxa"/>
            <w:shd w:val="clear" w:color="auto" w:fill="auto"/>
          </w:tcPr>
          <w:p w:rsidR="00177922" w:rsidRPr="00177922" w:rsidDel="000657D9" w:rsidRDefault="00177922" w:rsidP="00AF5171">
            <w:pPr>
              <w:ind w:left="-28" w:firstLine="28"/>
              <w:rPr>
                <w:sz w:val="18"/>
                <w:szCs w:val="18"/>
                <w:highlight w:val="yellow"/>
              </w:rPr>
            </w:pPr>
            <w:r w:rsidRPr="00177922">
              <w:rPr>
                <w:sz w:val="18"/>
                <w:szCs w:val="18"/>
              </w:rPr>
              <w:t>Dodatočný pomer inštitúcií štátnej správy zapojených do eGovernment cloudu</w:t>
            </w:r>
          </w:p>
        </w:tc>
        <w:tc>
          <w:tcPr>
            <w:tcW w:w="850" w:type="dxa"/>
            <w:shd w:val="clear" w:color="auto" w:fill="auto"/>
            <w:vAlign w:val="center"/>
          </w:tcPr>
          <w:p w:rsidR="00177922" w:rsidRPr="00177922" w:rsidDel="000657D9" w:rsidRDefault="00177922" w:rsidP="00177922">
            <w:pPr>
              <w:ind w:left="0"/>
              <w:jc w:val="center"/>
              <w:rPr>
                <w:sz w:val="18"/>
                <w:szCs w:val="18"/>
              </w:rPr>
            </w:pPr>
            <w:r w:rsidRPr="00177922">
              <w:rPr>
                <w:sz w:val="18"/>
                <w:szCs w:val="18"/>
                <w:lang w:val="en-US"/>
              </w:rPr>
              <w:t>%</w:t>
            </w:r>
          </w:p>
        </w:tc>
        <w:tc>
          <w:tcPr>
            <w:tcW w:w="709"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EFRR</w:t>
            </w:r>
          </w:p>
        </w:tc>
        <w:tc>
          <w:tcPr>
            <w:tcW w:w="908"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Menej rozvinuté regióny</w:t>
            </w:r>
          </w:p>
        </w:tc>
        <w:tc>
          <w:tcPr>
            <w:tcW w:w="935" w:type="dxa"/>
            <w:shd w:val="clear" w:color="auto" w:fill="auto"/>
            <w:vAlign w:val="center"/>
          </w:tcPr>
          <w:p w:rsidR="00177922" w:rsidRPr="00177922" w:rsidRDefault="00177922" w:rsidP="00177922">
            <w:pPr>
              <w:ind w:left="0"/>
              <w:jc w:val="center"/>
              <w:rPr>
                <w:sz w:val="18"/>
                <w:szCs w:val="18"/>
              </w:rPr>
            </w:pPr>
            <w:r w:rsidRPr="00177922">
              <w:rPr>
                <w:sz w:val="18"/>
                <w:szCs w:val="18"/>
              </w:rPr>
              <w:t>100</w:t>
            </w:r>
          </w:p>
        </w:tc>
        <w:tc>
          <w:tcPr>
            <w:tcW w:w="850"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SORO</w:t>
            </w:r>
          </w:p>
        </w:tc>
        <w:tc>
          <w:tcPr>
            <w:tcW w:w="851"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Ročne počas trvania projektov</w:t>
            </w:r>
          </w:p>
        </w:tc>
      </w:tr>
    </w:tbl>
    <w:p w:rsidR="00E92F9B" w:rsidRDefault="008246A5">
      <w:pPr>
        <w:pStyle w:val="Tab"/>
        <w:jc w:val="both"/>
      </w:pPr>
      <w:r>
        <w:t xml:space="preserve"> </w:t>
      </w:r>
      <w:r w:rsidR="00177922" w:rsidRPr="00177922">
        <w:t xml:space="preserve">Špecifické ukazovatele výstupov pre investičnú prioritu 2c), ŠC </w:t>
      </w:r>
      <w:r>
        <w:t>7.</w:t>
      </w:r>
      <w:r w:rsidR="00177922" w:rsidRPr="00177922">
        <w:t>9 Zvýšenie kybernetickej bezpečnosti v spoločnosti</w:t>
      </w:r>
    </w:p>
    <w:tbl>
      <w:tblPr>
        <w:tblStyle w:val="Mriekatabuky"/>
        <w:tblW w:w="9244" w:type="dxa"/>
        <w:jc w:val="center"/>
        <w:tblLayout w:type="fixed"/>
        <w:tblLook w:val="04A0"/>
      </w:tblPr>
      <w:tblGrid>
        <w:gridCol w:w="513"/>
        <w:gridCol w:w="3628"/>
        <w:gridCol w:w="850"/>
        <w:gridCol w:w="709"/>
        <w:gridCol w:w="908"/>
        <w:gridCol w:w="935"/>
        <w:gridCol w:w="850"/>
        <w:gridCol w:w="851"/>
      </w:tblGrid>
      <w:tr w:rsidR="00177922" w:rsidRPr="00177922" w:rsidTr="00B83833">
        <w:trPr>
          <w:trHeight w:val="340"/>
          <w:jc w:val="center"/>
        </w:trPr>
        <w:tc>
          <w:tcPr>
            <w:tcW w:w="513"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P. č.</w:t>
            </w:r>
          </w:p>
        </w:tc>
        <w:tc>
          <w:tcPr>
            <w:tcW w:w="3628" w:type="dxa"/>
            <w:tcBorders>
              <w:bottom w:val="single" w:sz="4" w:space="0" w:color="auto"/>
            </w:tcBorders>
            <w:shd w:val="clear" w:color="auto" w:fill="C6D9F1" w:themeFill="text2" w:themeFillTint="33"/>
            <w:vAlign w:val="center"/>
          </w:tcPr>
          <w:p w:rsidR="00177922" w:rsidRPr="008246A5" w:rsidRDefault="001218A8" w:rsidP="00177922">
            <w:pPr>
              <w:ind w:left="0"/>
              <w:rPr>
                <w:b/>
                <w:sz w:val="18"/>
                <w:szCs w:val="18"/>
              </w:rPr>
            </w:pPr>
            <w:r w:rsidRPr="001218A8">
              <w:rPr>
                <w:b/>
                <w:sz w:val="18"/>
                <w:szCs w:val="18"/>
              </w:rPr>
              <w:t>Ukazovateľ (názov ukazovateľa)</w:t>
            </w:r>
          </w:p>
        </w:tc>
        <w:tc>
          <w:tcPr>
            <w:tcW w:w="850"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Merná jednotka</w:t>
            </w:r>
          </w:p>
        </w:tc>
        <w:tc>
          <w:tcPr>
            <w:tcW w:w="709"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Fond</w:t>
            </w:r>
          </w:p>
        </w:tc>
        <w:tc>
          <w:tcPr>
            <w:tcW w:w="908"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highlight w:val="yellow"/>
              </w:rPr>
            </w:pPr>
            <w:r w:rsidRPr="001218A8">
              <w:rPr>
                <w:b/>
                <w:sz w:val="18"/>
                <w:szCs w:val="18"/>
              </w:rPr>
              <w:t>Kategória regiónu</w:t>
            </w:r>
          </w:p>
        </w:tc>
        <w:tc>
          <w:tcPr>
            <w:tcW w:w="935"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Cieľová hodnota (2023)</w:t>
            </w:r>
          </w:p>
        </w:tc>
        <w:tc>
          <w:tcPr>
            <w:tcW w:w="850" w:type="dxa"/>
            <w:tcBorders>
              <w:bottom w:val="single" w:sz="4" w:space="0" w:color="auto"/>
            </w:tcBorders>
            <w:shd w:val="clear" w:color="auto" w:fill="C6D9F1" w:themeFill="text2" w:themeFillTint="33"/>
            <w:vAlign w:val="center"/>
          </w:tcPr>
          <w:p w:rsidR="00177922" w:rsidRPr="008246A5" w:rsidRDefault="001218A8" w:rsidP="00177922">
            <w:pPr>
              <w:ind w:left="0"/>
              <w:jc w:val="center"/>
              <w:rPr>
                <w:b/>
                <w:sz w:val="18"/>
                <w:szCs w:val="18"/>
              </w:rPr>
            </w:pPr>
            <w:r w:rsidRPr="001218A8">
              <w:rPr>
                <w:b/>
                <w:sz w:val="18"/>
                <w:szCs w:val="18"/>
              </w:rPr>
              <w:t>Zdroj údajov</w:t>
            </w:r>
          </w:p>
        </w:tc>
        <w:tc>
          <w:tcPr>
            <w:tcW w:w="851" w:type="dxa"/>
            <w:tcBorders>
              <w:bottom w:val="single" w:sz="4" w:space="0" w:color="auto"/>
            </w:tcBorders>
            <w:shd w:val="clear" w:color="auto" w:fill="C6D9F1" w:themeFill="text2" w:themeFillTint="33"/>
          </w:tcPr>
          <w:p w:rsidR="00177922" w:rsidRPr="008246A5" w:rsidRDefault="001218A8" w:rsidP="00177922">
            <w:pPr>
              <w:ind w:left="0"/>
              <w:jc w:val="center"/>
              <w:rPr>
                <w:b/>
                <w:sz w:val="18"/>
                <w:szCs w:val="18"/>
                <w:highlight w:val="yellow"/>
              </w:rPr>
            </w:pPr>
            <w:r w:rsidRPr="001218A8">
              <w:rPr>
                <w:b/>
                <w:sz w:val="18"/>
                <w:szCs w:val="18"/>
              </w:rPr>
              <w:t>Frekvencia vykazovania</w:t>
            </w:r>
          </w:p>
        </w:tc>
      </w:tr>
      <w:tr w:rsidR="00177922" w:rsidRPr="00177922" w:rsidTr="00B83833">
        <w:trPr>
          <w:trHeight w:val="454"/>
          <w:jc w:val="center"/>
        </w:trPr>
        <w:tc>
          <w:tcPr>
            <w:tcW w:w="513" w:type="dxa"/>
            <w:shd w:val="clear" w:color="auto" w:fill="auto"/>
            <w:vAlign w:val="center"/>
          </w:tcPr>
          <w:p w:rsidR="00177922" w:rsidRPr="00177922" w:rsidRDefault="00177922" w:rsidP="00177922">
            <w:pPr>
              <w:ind w:left="0"/>
              <w:jc w:val="center"/>
              <w:rPr>
                <w:sz w:val="18"/>
                <w:szCs w:val="18"/>
              </w:rPr>
            </w:pPr>
            <w:r w:rsidRPr="00177922">
              <w:rPr>
                <w:sz w:val="18"/>
                <w:szCs w:val="18"/>
              </w:rPr>
              <w:t>15.</w:t>
            </w:r>
          </w:p>
        </w:tc>
        <w:tc>
          <w:tcPr>
            <w:tcW w:w="3628" w:type="dxa"/>
            <w:shd w:val="clear" w:color="auto" w:fill="auto"/>
          </w:tcPr>
          <w:p w:rsidR="00177922" w:rsidRPr="00177922" w:rsidDel="000657D9" w:rsidRDefault="00177922" w:rsidP="00AF5171">
            <w:pPr>
              <w:ind w:left="0"/>
              <w:rPr>
                <w:sz w:val="18"/>
                <w:szCs w:val="18"/>
              </w:rPr>
            </w:pPr>
            <w:r w:rsidRPr="00177922">
              <w:rPr>
                <w:sz w:val="18"/>
                <w:szCs w:val="18"/>
              </w:rPr>
              <w:t>Dodatočný pomer informačných systémov verejnej správy s implementovaným nástrojom na rozpoznávanie, monitorovanie a riadenie bezpečnostných incidentov</w:t>
            </w:r>
          </w:p>
        </w:tc>
        <w:tc>
          <w:tcPr>
            <w:tcW w:w="850" w:type="dxa"/>
            <w:shd w:val="clear" w:color="auto" w:fill="auto"/>
            <w:vAlign w:val="center"/>
          </w:tcPr>
          <w:p w:rsidR="00177922" w:rsidRPr="00177922" w:rsidDel="000657D9" w:rsidRDefault="00177922" w:rsidP="00177922">
            <w:pPr>
              <w:ind w:left="0"/>
              <w:jc w:val="center"/>
              <w:rPr>
                <w:sz w:val="18"/>
                <w:szCs w:val="18"/>
              </w:rPr>
            </w:pPr>
            <w:r w:rsidRPr="00177922">
              <w:rPr>
                <w:sz w:val="18"/>
                <w:szCs w:val="18"/>
              </w:rPr>
              <w:t>%</w:t>
            </w:r>
          </w:p>
        </w:tc>
        <w:tc>
          <w:tcPr>
            <w:tcW w:w="709"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EFRR</w:t>
            </w:r>
          </w:p>
        </w:tc>
        <w:tc>
          <w:tcPr>
            <w:tcW w:w="908"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Menej rozvinuté regióny</w:t>
            </w:r>
          </w:p>
        </w:tc>
        <w:tc>
          <w:tcPr>
            <w:tcW w:w="935" w:type="dxa"/>
            <w:shd w:val="clear" w:color="auto" w:fill="auto"/>
            <w:vAlign w:val="center"/>
          </w:tcPr>
          <w:p w:rsidR="00177922" w:rsidRPr="00177922" w:rsidRDefault="00177922" w:rsidP="00177922">
            <w:pPr>
              <w:ind w:left="0"/>
              <w:jc w:val="center"/>
              <w:rPr>
                <w:sz w:val="18"/>
                <w:szCs w:val="18"/>
              </w:rPr>
            </w:pPr>
            <w:r w:rsidRPr="00177922">
              <w:rPr>
                <w:sz w:val="18"/>
                <w:szCs w:val="18"/>
              </w:rPr>
              <w:t>80</w:t>
            </w:r>
          </w:p>
        </w:tc>
        <w:tc>
          <w:tcPr>
            <w:tcW w:w="850"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S               SORO</w:t>
            </w:r>
          </w:p>
        </w:tc>
        <w:tc>
          <w:tcPr>
            <w:tcW w:w="851" w:type="dxa"/>
            <w:shd w:val="clear" w:color="auto" w:fill="auto"/>
            <w:vAlign w:val="center"/>
          </w:tcPr>
          <w:p w:rsidR="00177922" w:rsidRPr="00177922" w:rsidRDefault="00177922" w:rsidP="00177922">
            <w:pPr>
              <w:tabs>
                <w:tab w:val="left" w:pos="567"/>
                <w:tab w:val="left" w:leader="dot" w:pos="9356"/>
              </w:tabs>
              <w:ind w:left="0" w:hanging="851"/>
              <w:jc w:val="center"/>
              <w:rPr>
                <w:sz w:val="18"/>
                <w:szCs w:val="18"/>
              </w:rPr>
            </w:pPr>
            <w:r w:rsidRPr="00177922">
              <w:rPr>
                <w:sz w:val="18"/>
                <w:szCs w:val="18"/>
              </w:rPr>
              <w:t xml:space="preserve">                  Ročne počas trvania projektov</w:t>
            </w:r>
          </w:p>
        </w:tc>
      </w:tr>
    </w:tbl>
    <w:p w:rsidR="007F1C63" w:rsidRDefault="007F1C63" w:rsidP="000767A2">
      <w:pPr>
        <w:pStyle w:val="Nadpis3"/>
      </w:pPr>
      <w:bookmarkStart w:id="81" w:name="_Toc385310730"/>
      <w:r w:rsidRPr="007F1C63">
        <w:t>Výkonnostný rámec prioritnej osi</w:t>
      </w:r>
      <w:bookmarkEnd w:id="81"/>
    </w:p>
    <w:p w:rsidR="00E92F9B" w:rsidRDefault="007F1C63">
      <w:pPr>
        <w:pStyle w:val="Tab"/>
        <w:jc w:val="both"/>
      </w:pPr>
      <w:r w:rsidRPr="007F1C63">
        <w:t xml:space="preserve">Výkonnostný rámec Prioritnej osi </w:t>
      </w:r>
      <w:r w:rsidR="008246A5">
        <w:t>7</w:t>
      </w:r>
    </w:p>
    <w:tbl>
      <w:tblPr>
        <w:tblStyle w:val="Mriekatabuky"/>
        <w:tblW w:w="5935" w:type="pct"/>
        <w:jc w:val="center"/>
        <w:tblLayout w:type="fixed"/>
        <w:tblLook w:val="04A0"/>
      </w:tblPr>
      <w:tblGrid>
        <w:gridCol w:w="712"/>
        <w:gridCol w:w="1967"/>
        <w:gridCol w:w="567"/>
        <w:gridCol w:w="1689"/>
        <w:gridCol w:w="851"/>
        <w:gridCol w:w="692"/>
        <w:gridCol w:w="772"/>
        <w:gridCol w:w="937"/>
        <w:gridCol w:w="937"/>
        <w:gridCol w:w="769"/>
        <w:gridCol w:w="1131"/>
      </w:tblGrid>
      <w:tr w:rsidR="008246A5" w:rsidTr="008246A5">
        <w:trPr>
          <w:trHeight w:val="1246"/>
          <w:tblHeader/>
          <w:jc w:val="center"/>
        </w:trPr>
        <w:tc>
          <w:tcPr>
            <w:tcW w:w="323" w:type="pct"/>
            <w:shd w:val="clear" w:color="auto" w:fill="C6D9F1" w:themeFill="text2" w:themeFillTint="33"/>
            <w:vAlign w:val="center"/>
          </w:tcPr>
          <w:p w:rsidR="00E92F9B" w:rsidRDefault="001218A8">
            <w:pPr>
              <w:ind w:left="0"/>
              <w:jc w:val="center"/>
              <w:rPr>
                <w:b/>
                <w:sz w:val="18"/>
                <w:szCs w:val="18"/>
              </w:rPr>
            </w:pPr>
            <w:r w:rsidRPr="001218A8">
              <w:rPr>
                <w:b/>
                <w:sz w:val="18"/>
                <w:szCs w:val="18"/>
              </w:rPr>
              <w:t>Prioritná os</w:t>
            </w:r>
          </w:p>
        </w:tc>
        <w:tc>
          <w:tcPr>
            <w:tcW w:w="892" w:type="pct"/>
            <w:shd w:val="clear" w:color="auto" w:fill="C6D9F1" w:themeFill="text2" w:themeFillTint="33"/>
            <w:vAlign w:val="center"/>
          </w:tcPr>
          <w:p w:rsidR="008246A5" w:rsidRPr="008246A5" w:rsidRDefault="001218A8" w:rsidP="00B83833">
            <w:pPr>
              <w:ind w:left="0"/>
              <w:jc w:val="center"/>
              <w:rPr>
                <w:b/>
                <w:sz w:val="18"/>
                <w:szCs w:val="18"/>
              </w:rPr>
            </w:pPr>
            <w:r w:rsidRPr="001218A8">
              <w:rPr>
                <w:b/>
                <w:sz w:val="18"/>
                <w:szCs w:val="18"/>
              </w:rPr>
              <w:t>Implementačný krok, finančný ukazovateľ, ukazovateľ výstupu alebo výsledku</w:t>
            </w:r>
          </w:p>
        </w:tc>
        <w:tc>
          <w:tcPr>
            <w:tcW w:w="257" w:type="pct"/>
            <w:shd w:val="clear" w:color="auto" w:fill="C6D9F1" w:themeFill="text2" w:themeFillTint="33"/>
            <w:vAlign w:val="center"/>
          </w:tcPr>
          <w:p w:rsidR="008246A5" w:rsidRPr="008246A5" w:rsidDel="0073354D" w:rsidRDefault="001218A8" w:rsidP="00B83833">
            <w:pPr>
              <w:ind w:left="0" w:right="-170"/>
              <w:rPr>
                <w:b/>
                <w:sz w:val="18"/>
                <w:szCs w:val="18"/>
              </w:rPr>
            </w:pPr>
            <w:r w:rsidRPr="001218A8">
              <w:rPr>
                <w:b/>
                <w:sz w:val="18"/>
                <w:szCs w:val="18"/>
              </w:rPr>
              <w:t>PČ</w:t>
            </w:r>
          </w:p>
        </w:tc>
        <w:tc>
          <w:tcPr>
            <w:tcW w:w="766" w:type="pct"/>
            <w:shd w:val="clear" w:color="auto" w:fill="C6D9F1" w:themeFill="text2" w:themeFillTint="33"/>
            <w:vAlign w:val="center"/>
          </w:tcPr>
          <w:p w:rsidR="008246A5" w:rsidRPr="008246A5" w:rsidRDefault="001218A8" w:rsidP="00B83833">
            <w:pPr>
              <w:ind w:left="0" w:right="-170"/>
              <w:jc w:val="center"/>
              <w:rPr>
                <w:b/>
                <w:sz w:val="18"/>
                <w:szCs w:val="18"/>
              </w:rPr>
            </w:pPr>
            <w:r w:rsidRPr="001218A8">
              <w:rPr>
                <w:b/>
                <w:sz w:val="18"/>
                <w:szCs w:val="18"/>
              </w:rPr>
              <w:t>Ukazovateľ alebo implementačný krok</w:t>
            </w:r>
          </w:p>
        </w:tc>
        <w:tc>
          <w:tcPr>
            <w:tcW w:w="386" w:type="pct"/>
            <w:shd w:val="clear" w:color="auto" w:fill="C6D9F1" w:themeFill="text2" w:themeFillTint="33"/>
            <w:vAlign w:val="center"/>
          </w:tcPr>
          <w:p w:rsidR="008246A5" w:rsidRPr="008246A5" w:rsidRDefault="001218A8" w:rsidP="00B83833">
            <w:pPr>
              <w:ind w:left="0"/>
              <w:jc w:val="center"/>
              <w:rPr>
                <w:b/>
                <w:sz w:val="18"/>
                <w:szCs w:val="18"/>
              </w:rPr>
            </w:pPr>
            <w:r w:rsidRPr="001218A8">
              <w:rPr>
                <w:b/>
                <w:sz w:val="18"/>
                <w:szCs w:val="18"/>
              </w:rPr>
              <w:t>Merná jednotka</w:t>
            </w:r>
          </w:p>
        </w:tc>
        <w:tc>
          <w:tcPr>
            <w:tcW w:w="314" w:type="pct"/>
            <w:shd w:val="clear" w:color="auto" w:fill="C6D9F1" w:themeFill="text2" w:themeFillTint="33"/>
            <w:vAlign w:val="center"/>
          </w:tcPr>
          <w:p w:rsidR="008246A5" w:rsidRPr="008246A5" w:rsidRDefault="001218A8" w:rsidP="00B83833">
            <w:pPr>
              <w:ind w:left="0"/>
              <w:jc w:val="center"/>
              <w:rPr>
                <w:b/>
                <w:sz w:val="18"/>
                <w:szCs w:val="18"/>
              </w:rPr>
            </w:pPr>
            <w:r w:rsidRPr="001218A8">
              <w:rPr>
                <w:b/>
                <w:sz w:val="18"/>
                <w:szCs w:val="18"/>
              </w:rPr>
              <w:t>Fond</w:t>
            </w:r>
          </w:p>
        </w:tc>
        <w:tc>
          <w:tcPr>
            <w:tcW w:w="350" w:type="pct"/>
            <w:shd w:val="clear" w:color="auto" w:fill="C6D9F1" w:themeFill="text2" w:themeFillTint="33"/>
            <w:vAlign w:val="center"/>
          </w:tcPr>
          <w:p w:rsidR="008246A5" w:rsidRPr="008246A5" w:rsidRDefault="001218A8" w:rsidP="00B83833">
            <w:pPr>
              <w:ind w:left="0"/>
              <w:jc w:val="center"/>
              <w:rPr>
                <w:b/>
                <w:sz w:val="18"/>
                <w:szCs w:val="18"/>
              </w:rPr>
            </w:pPr>
            <w:r w:rsidRPr="001218A8">
              <w:rPr>
                <w:b/>
                <w:sz w:val="18"/>
                <w:szCs w:val="18"/>
              </w:rPr>
              <w:t>Kategória regiónov</w:t>
            </w:r>
          </w:p>
        </w:tc>
        <w:tc>
          <w:tcPr>
            <w:tcW w:w="425" w:type="pct"/>
            <w:shd w:val="clear" w:color="auto" w:fill="C6D9F1" w:themeFill="text2" w:themeFillTint="33"/>
            <w:vAlign w:val="center"/>
          </w:tcPr>
          <w:p w:rsidR="008246A5" w:rsidRPr="008246A5" w:rsidRDefault="001218A8" w:rsidP="00B83833">
            <w:pPr>
              <w:ind w:left="0"/>
              <w:jc w:val="center"/>
              <w:rPr>
                <w:b/>
                <w:sz w:val="18"/>
                <w:szCs w:val="18"/>
              </w:rPr>
            </w:pPr>
            <w:r w:rsidRPr="001218A8">
              <w:rPr>
                <w:b/>
                <w:sz w:val="18"/>
                <w:szCs w:val="18"/>
              </w:rPr>
              <w:t>Čiastkový cieľ pre rok 2018</w:t>
            </w:r>
          </w:p>
        </w:tc>
        <w:tc>
          <w:tcPr>
            <w:tcW w:w="425" w:type="pct"/>
            <w:shd w:val="clear" w:color="auto" w:fill="C6D9F1" w:themeFill="text2" w:themeFillTint="33"/>
            <w:vAlign w:val="center"/>
          </w:tcPr>
          <w:p w:rsidR="008246A5" w:rsidRPr="008246A5" w:rsidRDefault="001218A8" w:rsidP="00B83833">
            <w:pPr>
              <w:ind w:left="0"/>
              <w:jc w:val="center"/>
              <w:rPr>
                <w:b/>
                <w:sz w:val="18"/>
                <w:szCs w:val="18"/>
              </w:rPr>
            </w:pPr>
            <w:r w:rsidRPr="001218A8">
              <w:rPr>
                <w:b/>
                <w:sz w:val="18"/>
                <w:szCs w:val="18"/>
              </w:rPr>
              <w:t>Konečný cieľ</w:t>
            </w:r>
          </w:p>
        </w:tc>
        <w:tc>
          <w:tcPr>
            <w:tcW w:w="349" w:type="pct"/>
            <w:shd w:val="clear" w:color="auto" w:fill="C6D9F1" w:themeFill="text2" w:themeFillTint="33"/>
            <w:vAlign w:val="center"/>
          </w:tcPr>
          <w:p w:rsidR="008246A5" w:rsidRPr="008246A5" w:rsidRDefault="001218A8" w:rsidP="00B83833">
            <w:pPr>
              <w:ind w:left="0"/>
              <w:jc w:val="center"/>
              <w:rPr>
                <w:b/>
                <w:sz w:val="18"/>
                <w:szCs w:val="18"/>
              </w:rPr>
            </w:pPr>
            <w:r w:rsidRPr="001218A8">
              <w:rPr>
                <w:b/>
                <w:sz w:val="18"/>
                <w:szCs w:val="18"/>
              </w:rPr>
              <w:t>Zdroj údajov</w:t>
            </w:r>
          </w:p>
        </w:tc>
        <w:tc>
          <w:tcPr>
            <w:tcW w:w="513" w:type="pct"/>
            <w:shd w:val="clear" w:color="auto" w:fill="C6D9F1" w:themeFill="text2" w:themeFillTint="33"/>
            <w:vAlign w:val="center"/>
          </w:tcPr>
          <w:p w:rsidR="008246A5" w:rsidRPr="008246A5" w:rsidRDefault="001218A8" w:rsidP="00B83833">
            <w:pPr>
              <w:ind w:left="0"/>
              <w:jc w:val="center"/>
              <w:rPr>
                <w:b/>
                <w:sz w:val="18"/>
                <w:szCs w:val="18"/>
              </w:rPr>
            </w:pPr>
            <w:r w:rsidRPr="001218A8">
              <w:rPr>
                <w:b/>
                <w:sz w:val="18"/>
                <w:szCs w:val="18"/>
              </w:rPr>
              <w:t>Zdôvodnenie výberu ukazovateľov</w:t>
            </w:r>
          </w:p>
        </w:tc>
      </w:tr>
      <w:tr w:rsidR="008246A5" w:rsidTr="00FB0F54">
        <w:trPr>
          <w:trHeight w:val="454"/>
          <w:jc w:val="center"/>
        </w:trPr>
        <w:tc>
          <w:tcPr>
            <w:tcW w:w="323" w:type="pct"/>
            <w:vAlign w:val="center"/>
          </w:tcPr>
          <w:p w:rsidR="00E92F9B" w:rsidRDefault="008246A5">
            <w:pPr>
              <w:ind w:left="39"/>
              <w:jc w:val="center"/>
              <w:rPr>
                <w:sz w:val="18"/>
                <w:szCs w:val="18"/>
              </w:rPr>
            </w:pPr>
            <w:r>
              <w:rPr>
                <w:sz w:val="18"/>
                <w:szCs w:val="18"/>
              </w:rPr>
              <w:t>PO7</w:t>
            </w:r>
          </w:p>
        </w:tc>
        <w:tc>
          <w:tcPr>
            <w:tcW w:w="892" w:type="pct"/>
            <w:shd w:val="clear" w:color="auto" w:fill="auto"/>
            <w:vAlign w:val="center"/>
          </w:tcPr>
          <w:p w:rsidR="008246A5" w:rsidRPr="00814360" w:rsidRDefault="008246A5" w:rsidP="00B83833">
            <w:pPr>
              <w:ind w:left="0"/>
              <w:jc w:val="both"/>
              <w:rPr>
                <w:sz w:val="18"/>
                <w:szCs w:val="18"/>
              </w:rPr>
            </w:pPr>
            <w:r>
              <w:rPr>
                <w:sz w:val="18"/>
                <w:szCs w:val="18"/>
              </w:rPr>
              <w:t>Finančný ukazovateľ</w:t>
            </w:r>
            <w:r w:rsidRPr="00180279" w:rsidDel="00711B41">
              <w:rPr>
                <w:sz w:val="18"/>
                <w:szCs w:val="18"/>
              </w:rPr>
              <w:t xml:space="preserve"> </w:t>
            </w:r>
          </w:p>
        </w:tc>
        <w:tc>
          <w:tcPr>
            <w:tcW w:w="257" w:type="pct"/>
            <w:vAlign w:val="center"/>
          </w:tcPr>
          <w:p w:rsidR="00E92F9B" w:rsidRDefault="008246A5">
            <w:pPr>
              <w:ind w:left="0"/>
              <w:jc w:val="center"/>
              <w:rPr>
                <w:sz w:val="18"/>
                <w:szCs w:val="18"/>
              </w:rPr>
            </w:pPr>
            <w:r>
              <w:rPr>
                <w:sz w:val="18"/>
                <w:szCs w:val="18"/>
              </w:rPr>
              <w:t>1.</w:t>
            </w:r>
          </w:p>
        </w:tc>
        <w:tc>
          <w:tcPr>
            <w:tcW w:w="766" w:type="pct"/>
            <w:vAlign w:val="center"/>
          </w:tcPr>
          <w:p w:rsidR="008246A5" w:rsidRDefault="008246A5" w:rsidP="00B83833">
            <w:pPr>
              <w:ind w:left="0"/>
              <w:jc w:val="both"/>
              <w:rPr>
                <w:sz w:val="18"/>
                <w:szCs w:val="18"/>
              </w:rPr>
            </w:pPr>
            <w:r w:rsidRPr="0073354D">
              <w:rPr>
                <w:sz w:val="18"/>
                <w:szCs w:val="18"/>
              </w:rPr>
              <w:t>Celková suma oprávnených výdavkov po ich</w:t>
            </w:r>
            <w:r>
              <w:rPr>
                <w:sz w:val="18"/>
                <w:szCs w:val="18"/>
              </w:rPr>
              <w:t xml:space="preserve"> </w:t>
            </w:r>
            <w:r w:rsidRPr="0073354D">
              <w:rPr>
                <w:sz w:val="18"/>
                <w:szCs w:val="18"/>
              </w:rPr>
              <w:t xml:space="preserve">certifikácii zo strany    </w:t>
            </w:r>
            <w:r>
              <w:rPr>
                <w:sz w:val="18"/>
                <w:szCs w:val="18"/>
              </w:rPr>
              <w:t>C</w:t>
            </w:r>
            <w:r w:rsidRPr="0073354D">
              <w:rPr>
                <w:sz w:val="18"/>
                <w:szCs w:val="18"/>
              </w:rPr>
              <w:t>ertifikačného  orgánu</w:t>
            </w:r>
            <w:r w:rsidRPr="0073354D" w:rsidDel="00E73C75">
              <w:rPr>
                <w:sz w:val="18"/>
                <w:szCs w:val="18"/>
              </w:rPr>
              <w:t xml:space="preserve"> </w:t>
            </w:r>
          </w:p>
        </w:tc>
        <w:tc>
          <w:tcPr>
            <w:tcW w:w="386" w:type="pct"/>
            <w:vAlign w:val="center"/>
          </w:tcPr>
          <w:p w:rsidR="008246A5" w:rsidRPr="00020818" w:rsidRDefault="00FB0F54" w:rsidP="00B83833">
            <w:pPr>
              <w:ind w:left="0"/>
              <w:jc w:val="center"/>
              <w:rPr>
                <w:sz w:val="18"/>
                <w:szCs w:val="18"/>
              </w:rPr>
            </w:pPr>
            <w:r>
              <w:rPr>
                <w:sz w:val="18"/>
                <w:szCs w:val="18"/>
              </w:rPr>
              <w:t>%</w:t>
            </w:r>
          </w:p>
        </w:tc>
        <w:tc>
          <w:tcPr>
            <w:tcW w:w="314" w:type="pct"/>
            <w:vAlign w:val="center"/>
          </w:tcPr>
          <w:p w:rsidR="008246A5" w:rsidRDefault="008246A5" w:rsidP="00B83833">
            <w:pPr>
              <w:ind w:left="0"/>
              <w:jc w:val="center"/>
              <w:rPr>
                <w:sz w:val="18"/>
                <w:szCs w:val="18"/>
              </w:rPr>
            </w:pPr>
            <w:r>
              <w:rPr>
                <w:sz w:val="18"/>
                <w:szCs w:val="18"/>
              </w:rPr>
              <w:t>EFRR</w:t>
            </w:r>
          </w:p>
        </w:tc>
        <w:tc>
          <w:tcPr>
            <w:tcW w:w="350" w:type="pct"/>
            <w:vAlign w:val="center"/>
          </w:tcPr>
          <w:p w:rsidR="008246A5" w:rsidRPr="00F82B4F" w:rsidRDefault="008246A5" w:rsidP="00B83833">
            <w:pPr>
              <w:ind w:left="0"/>
              <w:jc w:val="center"/>
              <w:rPr>
                <w:sz w:val="18"/>
                <w:szCs w:val="18"/>
              </w:rPr>
            </w:pPr>
            <w:r w:rsidRPr="00560E77">
              <w:rPr>
                <w:sz w:val="18"/>
                <w:szCs w:val="18"/>
              </w:rPr>
              <w:t>Menej rozvinuté regióny</w:t>
            </w:r>
          </w:p>
        </w:tc>
        <w:tc>
          <w:tcPr>
            <w:tcW w:w="425" w:type="pct"/>
            <w:vAlign w:val="center"/>
          </w:tcPr>
          <w:p w:rsidR="008246A5" w:rsidRDefault="008246A5" w:rsidP="00B83833">
            <w:pPr>
              <w:ind w:left="0"/>
              <w:jc w:val="center"/>
              <w:rPr>
                <w:sz w:val="18"/>
                <w:szCs w:val="18"/>
              </w:rPr>
            </w:pPr>
            <w:r>
              <w:rPr>
                <w:sz w:val="18"/>
                <w:szCs w:val="18"/>
              </w:rPr>
              <w:t>15</w:t>
            </w:r>
            <w:r w:rsidRPr="00020818">
              <w:rPr>
                <w:sz w:val="18"/>
                <w:szCs w:val="18"/>
              </w:rPr>
              <w:t xml:space="preserve"> % alokácie PO</w:t>
            </w:r>
          </w:p>
        </w:tc>
        <w:tc>
          <w:tcPr>
            <w:tcW w:w="425" w:type="pct"/>
            <w:vAlign w:val="center"/>
          </w:tcPr>
          <w:p w:rsidR="008246A5" w:rsidRPr="00020818" w:rsidRDefault="008246A5" w:rsidP="00B83833">
            <w:pPr>
              <w:ind w:left="0"/>
              <w:jc w:val="center"/>
              <w:rPr>
                <w:sz w:val="18"/>
                <w:szCs w:val="18"/>
              </w:rPr>
            </w:pPr>
            <w:r>
              <w:rPr>
                <w:sz w:val="18"/>
                <w:szCs w:val="18"/>
                <w:lang w:val="en-US"/>
              </w:rPr>
              <w:t>10</w:t>
            </w:r>
            <w:r w:rsidRPr="00020818">
              <w:rPr>
                <w:sz w:val="18"/>
                <w:szCs w:val="18"/>
              </w:rPr>
              <w:t>0 % alokácie PO</w:t>
            </w:r>
          </w:p>
        </w:tc>
        <w:tc>
          <w:tcPr>
            <w:tcW w:w="349" w:type="pct"/>
            <w:vAlign w:val="center"/>
          </w:tcPr>
          <w:p w:rsidR="008246A5" w:rsidRPr="00020818" w:rsidRDefault="008246A5" w:rsidP="00B83833">
            <w:pPr>
              <w:ind w:left="0"/>
              <w:jc w:val="center"/>
              <w:rPr>
                <w:sz w:val="18"/>
                <w:szCs w:val="18"/>
              </w:rPr>
            </w:pPr>
            <w:r w:rsidRPr="00020818">
              <w:rPr>
                <w:sz w:val="18"/>
                <w:szCs w:val="18"/>
              </w:rPr>
              <w:t xml:space="preserve">RO </w:t>
            </w:r>
            <w:r>
              <w:rPr>
                <w:sz w:val="18"/>
                <w:szCs w:val="18"/>
              </w:rPr>
              <w:t>OPII</w:t>
            </w:r>
          </w:p>
        </w:tc>
        <w:tc>
          <w:tcPr>
            <w:tcW w:w="513" w:type="pct"/>
            <w:vAlign w:val="center"/>
          </w:tcPr>
          <w:p w:rsidR="008246A5" w:rsidRPr="00020818" w:rsidRDefault="008246A5" w:rsidP="00B83833">
            <w:pPr>
              <w:ind w:left="0"/>
              <w:rPr>
                <w:sz w:val="18"/>
                <w:szCs w:val="18"/>
              </w:rPr>
            </w:pPr>
            <w:r w:rsidRPr="0052221D">
              <w:rPr>
                <w:sz w:val="18"/>
                <w:szCs w:val="18"/>
              </w:rPr>
              <w:t>Základný finančný ukazovateľ pokroku prioritnej osi.</w:t>
            </w:r>
          </w:p>
        </w:tc>
      </w:tr>
      <w:tr w:rsidR="008246A5" w:rsidTr="00FB0F54">
        <w:trPr>
          <w:trHeight w:val="454"/>
          <w:jc w:val="center"/>
        </w:trPr>
        <w:tc>
          <w:tcPr>
            <w:tcW w:w="323" w:type="pct"/>
            <w:vAlign w:val="center"/>
          </w:tcPr>
          <w:p w:rsidR="00E92F9B" w:rsidRDefault="008246A5">
            <w:pPr>
              <w:tabs>
                <w:tab w:val="left" w:pos="567"/>
                <w:tab w:val="left" w:leader="dot" w:pos="9356"/>
              </w:tabs>
              <w:ind w:hanging="1080"/>
              <w:jc w:val="center"/>
              <w:rPr>
                <w:sz w:val="18"/>
                <w:szCs w:val="18"/>
              </w:rPr>
            </w:pPr>
            <w:r>
              <w:rPr>
                <w:sz w:val="18"/>
                <w:szCs w:val="18"/>
              </w:rPr>
              <w:t>PO7</w:t>
            </w:r>
          </w:p>
        </w:tc>
        <w:tc>
          <w:tcPr>
            <w:tcW w:w="892" w:type="pct"/>
            <w:shd w:val="clear" w:color="auto" w:fill="auto"/>
            <w:vAlign w:val="center"/>
          </w:tcPr>
          <w:p w:rsidR="008246A5" w:rsidRPr="00814360" w:rsidRDefault="008246A5" w:rsidP="00B83833">
            <w:pPr>
              <w:tabs>
                <w:tab w:val="left" w:pos="567"/>
                <w:tab w:val="left" w:leader="dot" w:pos="9356"/>
              </w:tabs>
              <w:ind w:left="0"/>
              <w:rPr>
                <w:sz w:val="18"/>
                <w:szCs w:val="18"/>
              </w:rPr>
            </w:pPr>
            <w:r>
              <w:rPr>
                <w:sz w:val="18"/>
                <w:szCs w:val="18"/>
              </w:rPr>
              <w:t>Ukazovateľ výstupu</w:t>
            </w:r>
          </w:p>
        </w:tc>
        <w:tc>
          <w:tcPr>
            <w:tcW w:w="257" w:type="pct"/>
            <w:vAlign w:val="center"/>
          </w:tcPr>
          <w:p w:rsidR="00E92F9B" w:rsidRDefault="008246A5">
            <w:pPr>
              <w:ind w:left="0" w:right="-108"/>
              <w:jc w:val="center"/>
              <w:rPr>
                <w:sz w:val="18"/>
                <w:szCs w:val="18"/>
              </w:rPr>
            </w:pPr>
            <w:r>
              <w:rPr>
                <w:sz w:val="18"/>
                <w:szCs w:val="18"/>
              </w:rPr>
              <w:t>2.</w:t>
            </w:r>
          </w:p>
        </w:tc>
        <w:tc>
          <w:tcPr>
            <w:tcW w:w="766" w:type="pct"/>
          </w:tcPr>
          <w:p w:rsidR="008246A5" w:rsidRDefault="008246A5" w:rsidP="00B83833">
            <w:pPr>
              <w:ind w:left="0" w:right="-108"/>
              <w:rPr>
                <w:sz w:val="18"/>
                <w:szCs w:val="18"/>
              </w:rPr>
            </w:pPr>
            <w:r w:rsidRPr="009D4F46">
              <w:rPr>
                <w:sz w:val="18"/>
                <w:szCs w:val="18"/>
              </w:rPr>
              <w:t>Počet nových optimalizovaných úsekov verejnej správy</w:t>
            </w:r>
            <w:r w:rsidRPr="009D4F46" w:rsidDel="009D4F46">
              <w:rPr>
                <w:sz w:val="18"/>
                <w:szCs w:val="18"/>
              </w:rPr>
              <w:t xml:space="preserve"> </w:t>
            </w:r>
          </w:p>
        </w:tc>
        <w:tc>
          <w:tcPr>
            <w:tcW w:w="386" w:type="pct"/>
            <w:vAlign w:val="center"/>
          </w:tcPr>
          <w:p w:rsidR="008246A5" w:rsidRPr="00020818" w:rsidRDefault="008246A5" w:rsidP="00B83833">
            <w:pPr>
              <w:ind w:left="0"/>
              <w:rPr>
                <w:sz w:val="18"/>
                <w:szCs w:val="18"/>
              </w:rPr>
            </w:pPr>
            <w:r>
              <w:rPr>
                <w:sz w:val="18"/>
                <w:szCs w:val="18"/>
              </w:rPr>
              <w:t xml:space="preserve">  Počet</w:t>
            </w:r>
          </w:p>
        </w:tc>
        <w:tc>
          <w:tcPr>
            <w:tcW w:w="314" w:type="pct"/>
            <w:vAlign w:val="center"/>
          </w:tcPr>
          <w:p w:rsidR="008246A5" w:rsidRDefault="008246A5" w:rsidP="00B83833">
            <w:pPr>
              <w:ind w:left="0"/>
              <w:jc w:val="center"/>
              <w:rPr>
                <w:sz w:val="18"/>
                <w:szCs w:val="18"/>
              </w:rPr>
            </w:pPr>
            <w:r w:rsidRPr="009D4F46">
              <w:rPr>
                <w:sz w:val="18"/>
                <w:szCs w:val="18"/>
              </w:rPr>
              <w:t>EFRR</w:t>
            </w:r>
          </w:p>
        </w:tc>
        <w:tc>
          <w:tcPr>
            <w:tcW w:w="350" w:type="pct"/>
            <w:vAlign w:val="center"/>
          </w:tcPr>
          <w:p w:rsidR="008246A5" w:rsidRPr="00F82B4F" w:rsidRDefault="008246A5" w:rsidP="00B83833">
            <w:pPr>
              <w:ind w:left="0"/>
              <w:jc w:val="center"/>
              <w:rPr>
                <w:sz w:val="18"/>
                <w:szCs w:val="18"/>
              </w:rPr>
            </w:pPr>
            <w:r w:rsidRPr="00560E77">
              <w:rPr>
                <w:sz w:val="18"/>
                <w:szCs w:val="18"/>
              </w:rPr>
              <w:t>Menej rozvinuté regióny</w:t>
            </w:r>
          </w:p>
        </w:tc>
        <w:tc>
          <w:tcPr>
            <w:tcW w:w="425" w:type="pct"/>
            <w:vAlign w:val="center"/>
          </w:tcPr>
          <w:p w:rsidR="008246A5" w:rsidRPr="00020818" w:rsidRDefault="008246A5" w:rsidP="00B83833">
            <w:pPr>
              <w:ind w:left="0"/>
              <w:rPr>
                <w:sz w:val="18"/>
                <w:szCs w:val="18"/>
              </w:rPr>
            </w:pPr>
            <w:r>
              <w:rPr>
                <w:sz w:val="18"/>
                <w:szCs w:val="18"/>
              </w:rPr>
              <w:t xml:space="preserve">   20</w:t>
            </w:r>
            <w:r w:rsidRPr="00020818">
              <w:rPr>
                <w:sz w:val="18"/>
                <w:szCs w:val="18"/>
              </w:rPr>
              <w:t xml:space="preserve"> %</w:t>
            </w:r>
            <w:r>
              <w:rPr>
                <w:sz w:val="18"/>
                <w:szCs w:val="18"/>
              </w:rPr>
              <w:t xml:space="preserve"> plánovaného počtu</w:t>
            </w:r>
          </w:p>
        </w:tc>
        <w:tc>
          <w:tcPr>
            <w:tcW w:w="425" w:type="pct"/>
            <w:vAlign w:val="center"/>
          </w:tcPr>
          <w:p w:rsidR="008246A5" w:rsidRDefault="008246A5" w:rsidP="00B83833">
            <w:pPr>
              <w:ind w:left="0"/>
              <w:rPr>
                <w:sz w:val="18"/>
                <w:szCs w:val="18"/>
                <w:lang w:val="en-US"/>
              </w:rPr>
            </w:pPr>
            <w:r>
              <w:rPr>
                <w:sz w:val="18"/>
                <w:szCs w:val="18"/>
              </w:rPr>
              <w:t xml:space="preserve">  100</w:t>
            </w:r>
            <w:r w:rsidRPr="00020818">
              <w:rPr>
                <w:sz w:val="18"/>
                <w:szCs w:val="18"/>
              </w:rPr>
              <w:t xml:space="preserve"> %</w:t>
            </w:r>
            <w:r>
              <w:rPr>
                <w:sz w:val="18"/>
                <w:szCs w:val="18"/>
              </w:rPr>
              <w:t xml:space="preserve"> plánovaného počtu</w:t>
            </w:r>
          </w:p>
        </w:tc>
        <w:tc>
          <w:tcPr>
            <w:tcW w:w="349" w:type="pct"/>
            <w:vAlign w:val="center"/>
          </w:tcPr>
          <w:p w:rsidR="008246A5" w:rsidRPr="00020818" w:rsidRDefault="008246A5" w:rsidP="00B83833">
            <w:pPr>
              <w:ind w:left="0"/>
              <w:rPr>
                <w:sz w:val="18"/>
                <w:szCs w:val="18"/>
              </w:rPr>
            </w:pPr>
            <w:r>
              <w:rPr>
                <w:sz w:val="18"/>
                <w:szCs w:val="18"/>
              </w:rPr>
              <w:t>SORO</w:t>
            </w:r>
          </w:p>
        </w:tc>
        <w:tc>
          <w:tcPr>
            <w:tcW w:w="513" w:type="pct"/>
            <w:vAlign w:val="center"/>
          </w:tcPr>
          <w:p w:rsidR="008246A5" w:rsidRDefault="008246A5" w:rsidP="00B83833">
            <w:pPr>
              <w:pStyle w:val="09Table"/>
              <w:ind w:left="0"/>
              <w:jc w:val="left"/>
            </w:pPr>
            <w:r>
              <w:t>Ukazovateľ vyjadruje prepojenie na reformu verejnej správy .</w:t>
            </w:r>
          </w:p>
        </w:tc>
      </w:tr>
    </w:tbl>
    <w:p w:rsidR="00C3107B" w:rsidRDefault="00C3107B" w:rsidP="00C3107B">
      <w:pPr>
        <w:pStyle w:val="Nadpis3"/>
        <w:numPr>
          <w:ilvl w:val="0"/>
          <w:numId w:val="0"/>
        </w:numPr>
        <w:ind w:left="709" w:hanging="709"/>
      </w:pPr>
    </w:p>
    <w:p w:rsidR="00C3107B" w:rsidRPr="00C3107B" w:rsidRDefault="00C3107B" w:rsidP="00C3107B"/>
    <w:p w:rsidR="007F1C63" w:rsidRPr="007F1C63" w:rsidRDefault="007F1C63" w:rsidP="000767A2">
      <w:pPr>
        <w:pStyle w:val="Nadpis3"/>
      </w:pPr>
      <w:bookmarkStart w:id="82" w:name="_Toc385310731"/>
      <w:r w:rsidRPr="007F1C63">
        <w:lastRenderedPageBreak/>
        <w:t>Kategórie intervencií</w:t>
      </w:r>
      <w:bookmarkEnd w:id="82"/>
    </w:p>
    <w:p w:rsidR="00E92F9B" w:rsidRDefault="00E92F9B">
      <w:pPr>
        <w:pStyle w:val="Tab"/>
        <w:jc w:val="both"/>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7F1C63" w:rsidRPr="007F1C63" w:rsidTr="007F1C63">
        <w:trPr>
          <w:trHeight w:val="284"/>
          <w:jc w:val="center"/>
        </w:trPr>
        <w:tc>
          <w:tcPr>
            <w:tcW w:w="9072" w:type="dxa"/>
            <w:gridSpan w:val="3"/>
            <w:shd w:val="clear" w:color="auto" w:fill="DBE5F1" w:themeFill="accent1" w:themeFillTint="33"/>
            <w:vAlign w:val="center"/>
          </w:tcPr>
          <w:p w:rsidR="007F1C63" w:rsidRPr="007F1C63" w:rsidRDefault="007F1C63" w:rsidP="007F1C63">
            <w:pPr>
              <w:ind w:left="0"/>
              <w:rPr>
                <w:color w:val="000000"/>
                <w:sz w:val="20"/>
                <w:szCs w:val="20"/>
              </w:rPr>
            </w:pPr>
            <w:r w:rsidRPr="007F1C63">
              <w:rPr>
                <w:b/>
                <w:bCs/>
                <w:color w:val="000000"/>
                <w:sz w:val="20"/>
                <w:szCs w:val="20"/>
              </w:rPr>
              <w:t xml:space="preserve">Rozmer 1 – Oblasť intervencie </w:t>
            </w:r>
          </w:p>
        </w:tc>
      </w:tr>
      <w:tr w:rsidR="007F1C63" w:rsidRPr="007F1C63" w:rsidTr="007F1C63">
        <w:trPr>
          <w:trHeight w:val="284"/>
          <w:jc w:val="center"/>
        </w:trPr>
        <w:tc>
          <w:tcPr>
            <w:tcW w:w="4913" w:type="dxa"/>
            <w:shd w:val="clear" w:color="auto" w:fill="DBE5F1" w:themeFill="accent1" w:themeFillTint="33"/>
            <w:vAlign w:val="center"/>
          </w:tcPr>
          <w:p w:rsidR="007F1C63" w:rsidRPr="007F1C63" w:rsidRDefault="007F1C63" w:rsidP="007F1C63">
            <w:pPr>
              <w:ind w:left="0"/>
              <w:rPr>
                <w:b/>
                <w:bCs/>
                <w:color w:val="000000"/>
                <w:sz w:val="20"/>
                <w:szCs w:val="20"/>
              </w:rPr>
            </w:pPr>
            <w:r w:rsidRPr="007F1C63">
              <w:rPr>
                <w:b/>
                <w:bCs/>
                <w:color w:val="000000"/>
                <w:sz w:val="20"/>
                <w:szCs w:val="20"/>
              </w:rPr>
              <w:t>Fond</w:t>
            </w:r>
          </w:p>
        </w:tc>
        <w:tc>
          <w:tcPr>
            <w:tcW w:w="4159" w:type="dxa"/>
            <w:gridSpan w:val="2"/>
            <w:shd w:val="clear" w:color="auto" w:fill="DBE5F1" w:themeFill="accent1" w:themeFillTint="33"/>
            <w:vAlign w:val="center"/>
          </w:tcPr>
          <w:p w:rsidR="007F1C63" w:rsidRPr="007F1C63" w:rsidRDefault="007F1C63" w:rsidP="007F1C63">
            <w:pPr>
              <w:ind w:left="0"/>
              <w:rPr>
                <w:bCs/>
                <w:color w:val="000000"/>
                <w:sz w:val="20"/>
                <w:szCs w:val="20"/>
              </w:rPr>
            </w:pPr>
            <w:r w:rsidRPr="007F1C63">
              <w:rPr>
                <w:bCs/>
                <w:color w:val="000000"/>
                <w:sz w:val="20"/>
                <w:szCs w:val="20"/>
              </w:rPr>
              <w:t>EFRR</w:t>
            </w:r>
          </w:p>
        </w:tc>
      </w:tr>
      <w:tr w:rsidR="007F1C63" w:rsidRPr="007F1C63" w:rsidTr="007F1C63">
        <w:trPr>
          <w:trHeight w:val="284"/>
          <w:jc w:val="center"/>
        </w:trPr>
        <w:tc>
          <w:tcPr>
            <w:tcW w:w="4913" w:type="dxa"/>
            <w:shd w:val="clear" w:color="auto" w:fill="DBE5F1" w:themeFill="accent1" w:themeFillTint="33"/>
            <w:vAlign w:val="center"/>
          </w:tcPr>
          <w:p w:rsidR="007F1C63" w:rsidRPr="007F1C63" w:rsidRDefault="007F1C63" w:rsidP="007F1C63">
            <w:pPr>
              <w:ind w:left="0"/>
              <w:rPr>
                <w:sz w:val="20"/>
                <w:szCs w:val="20"/>
              </w:rPr>
            </w:pPr>
            <w:r w:rsidRPr="007F1C63">
              <w:rPr>
                <w:b/>
                <w:bCs/>
                <w:color w:val="000000"/>
                <w:sz w:val="20"/>
                <w:szCs w:val="20"/>
              </w:rPr>
              <w:t>Kategória regiónu</w:t>
            </w:r>
          </w:p>
        </w:tc>
        <w:tc>
          <w:tcPr>
            <w:tcW w:w="4159" w:type="dxa"/>
            <w:gridSpan w:val="2"/>
            <w:shd w:val="clear" w:color="auto" w:fill="DBE5F1" w:themeFill="accent1" w:themeFillTint="33"/>
            <w:vAlign w:val="center"/>
          </w:tcPr>
          <w:p w:rsidR="007F1C63" w:rsidRPr="007F1C63" w:rsidRDefault="007F1C63" w:rsidP="007F1C63">
            <w:pPr>
              <w:ind w:left="0"/>
              <w:rPr>
                <w:sz w:val="20"/>
                <w:szCs w:val="20"/>
              </w:rPr>
            </w:pPr>
            <w:r w:rsidRPr="007F1C63">
              <w:rPr>
                <w:sz w:val="20"/>
                <w:szCs w:val="20"/>
              </w:rPr>
              <w:t>Menej rozvinuté regióny</w:t>
            </w:r>
          </w:p>
        </w:tc>
      </w:tr>
      <w:tr w:rsidR="007F1C63" w:rsidRPr="007F1C63" w:rsidTr="007F1C63">
        <w:trPr>
          <w:trHeight w:val="284"/>
          <w:jc w:val="center"/>
        </w:trPr>
        <w:tc>
          <w:tcPr>
            <w:tcW w:w="4913" w:type="dxa"/>
            <w:vAlign w:val="center"/>
          </w:tcPr>
          <w:p w:rsidR="007F1C63" w:rsidRPr="007F1C63" w:rsidRDefault="007F1C63" w:rsidP="007F1C63">
            <w:pPr>
              <w:ind w:left="0"/>
              <w:jc w:val="center"/>
              <w:rPr>
                <w:b/>
                <w:sz w:val="20"/>
                <w:szCs w:val="20"/>
              </w:rPr>
            </w:pPr>
            <w:r w:rsidRPr="007F1C63">
              <w:rPr>
                <w:b/>
                <w:sz w:val="20"/>
                <w:szCs w:val="20"/>
              </w:rPr>
              <w:t>Prioritná os</w:t>
            </w:r>
          </w:p>
        </w:tc>
        <w:tc>
          <w:tcPr>
            <w:tcW w:w="2120" w:type="dxa"/>
            <w:vAlign w:val="center"/>
          </w:tcPr>
          <w:p w:rsidR="007F1C63" w:rsidRPr="007F1C63" w:rsidRDefault="007F1C63" w:rsidP="007F1C63">
            <w:pPr>
              <w:ind w:left="0"/>
              <w:jc w:val="center"/>
              <w:rPr>
                <w:b/>
                <w:sz w:val="20"/>
                <w:szCs w:val="20"/>
              </w:rPr>
            </w:pPr>
            <w:r w:rsidRPr="007F1C63">
              <w:rPr>
                <w:b/>
                <w:sz w:val="20"/>
                <w:szCs w:val="20"/>
              </w:rPr>
              <w:t>Kód</w:t>
            </w:r>
          </w:p>
        </w:tc>
        <w:tc>
          <w:tcPr>
            <w:tcW w:w="2039" w:type="dxa"/>
            <w:vAlign w:val="center"/>
          </w:tcPr>
          <w:p w:rsidR="007F1C63" w:rsidRPr="007F1C63" w:rsidRDefault="007F1C63" w:rsidP="007F1C63">
            <w:pPr>
              <w:ind w:left="0"/>
              <w:jc w:val="center"/>
              <w:rPr>
                <w:b/>
                <w:sz w:val="20"/>
                <w:szCs w:val="20"/>
              </w:rPr>
            </w:pPr>
            <w:r w:rsidRPr="007F1C63">
              <w:rPr>
                <w:b/>
                <w:sz w:val="20"/>
                <w:szCs w:val="20"/>
              </w:rPr>
              <w:t>Suma (v EUR)</w:t>
            </w:r>
          </w:p>
        </w:tc>
      </w:tr>
      <w:tr w:rsidR="00497902" w:rsidRPr="007F1C63" w:rsidTr="007F1C63">
        <w:trPr>
          <w:trHeight w:val="284"/>
          <w:jc w:val="center"/>
        </w:trPr>
        <w:tc>
          <w:tcPr>
            <w:tcW w:w="4913" w:type="dxa"/>
            <w:vMerge w:val="restart"/>
            <w:vAlign w:val="center"/>
          </w:tcPr>
          <w:p w:rsidR="00497902" w:rsidRPr="007F1C63" w:rsidRDefault="00497902" w:rsidP="00497902">
            <w:pPr>
              <w:ind w:left="0"/>
              <w:rPr>
                <w:sz w:val="20"/>
                <w:szCs w:val="20"/>
              </w:rPr>
            </w:pPr>
            <w:r w:rsidRPr="007F1C63">
              <w:rPr>
                <w:sz w:val="20"/>
                <w:szCs w:val="20"/>
              </w:rPr>
              <w:t xml:space="preserve">Prioritná os </w:t>
            </w:r>
            <w:r>
              <w:rPr>
                <w:sz w:val="20"/>
                <w:szCs w:val="20"/>
              </w:rPr>
              <w:t>7</w:t>
            </w:r>
            <w:r w:rsidRPr="007F1C63">
              <w:rPr>
                <w:sz w:val="20"/>
                <w:szCs w:val="20"/>
              </w:rPr>
              <w:t xml:space="preserve"> – </w:t>
            </w:r>
            <w:r>
              <w:rPr>
                <w:sz w:val="20"/>
                <w:szCs w:val="20"/>
              </w:rPr>
              <w:t>Informačná spoločnosť</w:t>
            </w:r>
          </w:p>
        </w:tc>
        <w:tc>
          <w:tcPr>
            <w:tcW w:w="2120" w:type="dxa"/>
            <w:vAlign w:val="center"/>
          </w:tcPr>
          <w:p w:rsidR="00497902" w:rsidRPr="007F1C63" w:rsidRDefault="00497902" w:rsidP="00497902">
            <w:pPr>
              <w:ind w:left="0"/>
              <w:jc w:val="center"/>
              <w:rPr>
                <w:sz w:val="20"/>
                <w:szCs w:val="20"/>
              </w:rPr>
            </w:pPr>
            <w:r>
              <w:rPr>
                <w:sz w:val="20"/>
                <w:szCs w:val="20"/>
              </w:rPr>
              <w:t>045</w:t>
            </w:r>
          </w:p>
        </w:tc>
        <w:tc>
          <w:tcPr>
            <w:tcW w:w="2039" w:type="dxa"/>
            <w:vAlign w:val="center"/>
          </w:tcPr>
          <w:p w:rsidR="00497902" w:rsidRPr="007F1C63" w:rsidRDefault="00497902" w:rsidP="007F1C63">
            <w:pPr>
              <w:ind w:left="0"/>
              <w:jc w:val="center"/>
              <w:rPr>
                <w:sz w:val="20"/>
                <w:szCs w:val="20"/>
              </w:rPr>
            </w:pPr>
            <w:r>
              <w:rPr>
                <w:sz w:val="18"/>
                <w:szCs w:val="18"/>
              </w:rPr>
              <w:t>89 250 000</w:t>
            </w:r>
          </w:p>
        </w:tc>
      </w:tr>
      <w:tr w:rsidR="00497902" w:rsidRPr="007F1C63" w:rsidTr="007F1C63">
        <w:trPr>
          <w:trHeight w:val="284"/>
          <w:jc w:val="center"/>
        </w:trPr>
        <w:tc>
          <w:tcPr>
            <w:tcW w:w="4913" w:type="dxa"/>
            <w:vMerge/>
            <w:vAlign w:val="center"/>
          </w:tcPr>
          <w:p w:rsidR="00497902" w:rsidRPr="007F1C63" w:rsidRDefault="00497902" w:rsidP="007F1C63">
            <w:pPr>
              <w:ind w:left="0"/>
              <w:rPr>
                <w:sz w:val="20"/>
                <w:szCs w:val="20"/>
              </w:rPr>
            </w:pPr>
          </w:p>
        </w:tc>
        <w:tc>
          <w:tcPr>
            <w:tcW w:w="2120" w:type="dxa"/>
            <w:vAlign w:val="center"/>
          </w:tcPr>
          <w:p w:rsidR="00497902" w:rsidRPr="007F1C63" w:rsidRDefault="00497902" w:rsidP="007F1C63">
            <w:pPr>
              <w:ind w:left="0"/>
              <w:jc w:val="center"/>
              <w:rPr>
                <w:sz w:val="20"/>
                <w:szCs w:val="20"/>
              </w:rPr>
            </w:pPr>
            <w:r>
              <w:rPr>
                <w:sz w:val="20"/>
                <w:szCs w:val="20"/>
              </w:rPr>
              <w:t>046</w:t>
            </w:r>
          </w:p>
        </w:tc>
        <w:tc>
          <w:tcPr>
            <w:tcW w:w="2039" w:type="dxa"/>
            <w:vAlign w:val="center"/>
          </w:tcPr>
          <w:p w:rsidR="00497902" w:rsidRPr="007F1C63" w:rsidRDefault="00497902" w:rsidP="007F1C63">
            <w:pPr>
              <w:ind w:left="0"/>
              <w:jc w:val="center"/>
              <w:rPr>
                <w:sz w:val="20"/>
                <w:szCs w:val="20"/>
              </w:rPr>
            </w:pPr>
            <w:r>
              <w:rPr>
                <w:sz w:val="18"/>
                <w:szCs w:val="18"/>
              </w:rPr>
              <w:t xml:space="preserve">   </w:t>
            </w:r>
            <w:r w:rsidRPr="00117C9D">
              <w:rPr>
                <w:sz w:val="18"/>
                <w:szCs w:val="18"/>
              </w:rPr>
              <w:t>8</w:t>
            </w:r>
            <w:r>
              <w:rPr>
                <w:sz w:val="18"/>
                <w:szCs w:val="18"/>
              </w:rPr>
              <w:t> </w:t>
            </w:r>
            <w:r w:rsidRPr="00117C9D">
              <w:rPr>
                <w:sz w:val="18"/>
                <w:szCs w:val="18"/>
              </w:rPr>
              <w:t>500</w:t>
            </w:r>
            <w:r>
              <w:rPr>
                <w:sz w:val="18"/>
                <w:szCs w:val="18"/>
              </w:rPr>
              <w:t> </w:t>
            </w:r>
            <w:r w:rsidRPr="00117C9D">
              <w:rPr>
                <w:sz w:val="18"/>
                <w:szCs w:val="18"/>
              </w:rPr>
              <w:t>000</w:t>
            </w:r>
          </w:p>
        </w:tc>
      </w:tr>
      <w:tr w:rsidR="00497902" w:rsidRPr="007F1C63" w:rsidTr="007F1C63">
        <w:trPr>
          <w:trHeight w:val="284"/>
          <w:jc w:val="center"/>
        </w:trPr>
        <w:tc>
          <w:tcPr>
            <w:tcW w:w="4913" w:type="dxa"/>
            <w:vMerge/>
            <w:vAlign w:val="center"/>
          </w:tcPr>
          <w:p w:rsidR="00497902" w:rsidRPr="007F1C63" w:rsidRDefault="00497902" w:rsidP="007F1C63">
            <w:pPr>
              <w:ind w:left="0"/>
              <w:rPr>
                <w:sz w:val="20"/>
                <w:szCs w:val="20"/>
              </w:rPr>
            </w:pPr>
          </w:p>
        </w:tc>
        <w:tc>
          <w:tcPr>
            <w:tcW w:w="2120" w:type="dxa"/>
            <w:vAlign w:val="center"/>
          </w:tcPr>
          <w:p w:rsidR="00497902" w:rsidRPr="007F1C63" w:rsidRDefault="00497902" w:rsidP="007F1C63">
            <w:pPr>
              <w:ind w:left="0"/>
              <w:jc w:val="center"/>
              <w:rPr>
                <w:sz w:val="20"/>
                <w:szCs w:val="20"/>
              </w:rPr>
            </w:pPr>
            <w:r w:rsidRPr="007F1C63">
              <w:rPr>
                <w:sz w:val="20"/>
                <w:szCs w:val="20"/>
              </w:rPr>
              <w:t>0</w:t>
            </w:r>
            <w:r>
              <w:rPr>
                <w:sz w:val="20"/>
                <w:szCs w:val="20"/>
              </w:rPr>
              <w:t>48</w:t>
            </w:r>
          </w:p>
        </w:tc>
        <w:tc>
          <w:tcPr>
            <w:tcW w:w="2039" w:type="dxa"/>
            <w:vAlign w:val="center"/>
          </w:tcPr>
          <w:p w:rsidR="00497902" w:rsidRPr="007F1C63" w:rsidRDefault="00497902" w:rsidP="007F1C63">
            <w:pPr>
              <w:ind w:left="0"/>
              <w:jc w:val="center"/>
              <w:rPr>
                <w:sz w:val="20"/>
                <w:szCs w:val="20"/>
              </w:rPr>
            </w:pPr>
            <w:r>
              <w:rPr>
                <w:sz w:val="18"/>
                <w:szCs w:val="18"/>
              </w:rPr>
              <w:t>230 004 581</w:t>
            </w:r>
          </w:p>
        </w:tc>
      </w:tr>
      <w:tr w:rsidR="00497902" w:rsidRPr="007F1C63" w:rsidTr="007F1C63">
        <w:trPr>
          <w:trHeight w:val="284"/>
          <w:jc w:val="center"/>
        </w:trPr>
        <w:tc>
          <w:tcPr>
            <w:tcW w:w="4913" w:type="dxa"/>
            <w:vMerge/>
            <w:vAlign w:val="center"/>
          </w:tcPr>
          <w:p w:rsidR="00497902" w:rsidRPr="007F1C63" w:rsidRDefault="00497902" w:rsidP="007F1C63">
            <w:pPr>
              <w:ind w:left="0"/>
              <w:rPr>
                <w:sz w:val="20"/>
                <w:szCs w:val="20"/>
              </w:rPr>
            </w:pPr>
          </w:p>
        </w:tc>
        <w:tc>
          <w:tcPr>
            <w:tcW w:w="2120" w:type="dxa"/>
            <w:vAlign w:val="center"/>
          </w:tcPr>
          <w:p w:rsidR="00497902" w:rsidRPr="007F1C63" w:rsidRDefault="00497902" w:rsidP="00F5520F">
            <w:pPr>
              <w:ind w:left="0"/>
              <w:jc w:val="center"/>
              <w:rPr>
                <w:sz w:val="20"/>
                <w:szCs w:val="20"/>
              </w:rPr>
            </w:pPr>
            <w:r>
              <w:rPr>
                <w:sz w:val="20"/>
                <w:szCs w:val="20"/>
              </w:rPr>
              <w:t>07</w:t>
            </w:r>
            <w:r w:rsidR="00F5520F">
              <w:rPr>
                <w:sz w:val="20"/>
                <w:szCs w:val="20"/>
              </w:rPr>
              <w:t>8</w:t>
            </w:r>
          </w:p>
        </w:tc>
        <w:tc>
          <w:tcPr>
            <w:tcW w:w="2039" w:type="dxa"/>
            <w:vAlign w:val="center"/>
          </w:tcPr>
          <w:p w:rsidR="00497902" w:rsidRPr="007F1C63" w:rsidRDefault="00497902" w:rsidP="007F1C63">
            <w:pPr>
              <w:ind w:left="0"/>
              <w:jc w:val="center"/>
              <w:rPr>
                <w:sz w:val="20"/>
                <w:szCs w:val="20"/>
              </w:rPr>
            </w:pPr>
            <w:r>
              <w:rPr>
                <w:sz w:val="18"/>
                <w:szCs w:val="18"/>
              </w:rPr>
              <w:t>379 959 516</w:t>
            </w:r>
          </w:p>
        </w:tc>
      </w:tr>
      <w:tr w:rsidR="00497902" w:rsidRPr="007F1C63" w:rsidTr="00F07429">
        <w:trPr>
          <w:trHeight w:val="284"/>
          <w:jc w:val="center"/>
        </w:trPr>
        <w:tc>
          <w:tcPr>
            <w:tcW w:w="4913" w:type="dxa"/>
            <w:vMerge/>
            <w:vAlign w:val="center"/>
          </w:tcPr>
          <w:p w:rsidR="00497902" w:rsidRPr="007F1C63" w:rsidRDefault="00497902" w:rsidP="007F1C63">
            <w:pPr>
              <w:rPr>
                <w:sz w:val="20"/>
                <w:szCs w:val="20"/>
              </w:rPr>
            </w:pPr>
          </w:p>
        </w:tc>
        <w:tc>
          <w:tcPr>
            <w:tcW w:w="2120" w:type="dxa"/>
            <w:vAlign w:val="center"/>
          </w:tcPr>
          <w:p w:rsidR="00E92F9B" w:rsidRDefault="00497902">
            <w:pPr>
              <w:ind w:left="0"/>
              <w:rPr>
                <w:sz w:val="20"/>
                <w:szCs w:val="20"/>
              </w:rPr>
            </w:pPr>
            <w:r>
              <w:rPr>
                <w:sz w:val="20"/>
                <w:szCs w:val="20"/>
              </w:rPr>
              <w:t xml:space="preserve">                </w:t>
            </w:r>
            <w:r w:rsidR="00F5520F">
              <w:rPr>
                <w:sz w:val="20"/>
                <w:szCs w:val="20"/>
              </w:rPr>
              <w:t>079</w:t>
            </w:r>
          </w:p>
        </w:tc>
        <w:tc>
          <w:tcPr>
            <w:tcW w:w="2039" w:type="dxa"/>
            <w:vAlign w:val="center"/>
          </w:tcPr>
          <w:p w:rsidR="00E92F9B" w:rsidRDefault="00497902">
            <w:pPr>
              <w:ind w:left="0"/>
              <w:rPr>
                <w:sz w:val="20"/>
                <w:szCs w:val="20"/>
              </w:rPr>
            </w:pPr>
            <w:r>
              <w:rPr>
                <w:sz w:val="18"/>
                <w:szCs w:val="18"/>
              </w:rPr>
              <w:t xml:space="preserve">             73 301 460</w:t>
            </w:r>
          </w:p>
        </w:tc>
      </w:tr>
      <w:tr w:rsidR="00497902" w:rsidRPr="007F1C63" w:rsidTr="00F07429">
        <w:trPr>
          <w:trHeight w:val="284"/>
          <w:jc w:val="center"/>
        </w:trPr>
        <w:tc>
          <w:tcPr>
            <w:tcW w:w="4913" w:type="dxa"/>
            <w:vMerge/>
            <w:vAlign w:val="center"/>
          </w:tcPr>
          <w:p w:rsidR="00497902" w:rsidRPr="007F1C63" w:rsidRDefault="00497902" w:rsidP="007F1C63">
            <w:pPr>
              <w:rPr>
                <w:sz w:val="20"/>
                <w:szCs w:val="20"/>
              </w:rPr>
            </w:pPr>
          </w:p>
        </w:tc>
        <w:tc>
          <w:tcPr>
            <w:tcW w:w="2120" w:type="dxa"/>
            <w:vAlign w:val="center"/>
          </w:tcPr>
          <w:p w:rsidR="00E92F9B" w:rsidRDefault="00497902">
            <w:pPr>
              <w:ind w:left="0"/>
              <w:rPr>
                <w:sz w:val="20"/>
                <w:szCs w:val="20"/>
              </w:rPr>
            </w:pPr>
            <w:r>
              <w:rPr>
                <w:sz w:val="20"/>
                <w:szCs w:val="20"/>
              </w:rPr>
              <w:t xml:space="preserve">                </w:t>
            </w:r>
            <w:r w:rsidR="00F5520F">
              <w:rPr>
                <w:sz w:val="20"/>
                <w:szCs w:val="20"/>
              </w:rPr>
              <w:t>080</w:t>
            </w:r>
          </w:p>
        </w:tc>
        <w:tc>
          <w:tcPr>
            <w:tcW w:w="2039" w:type="dxa"/>
            <w:vAlign w:val="center"/>
          </w:tcPr>
          <w:p w:rsidR="00E92F9B" w:rsidRDefault="00497902">
            <w:pPr>
              <w:ind w:left="0"/>
              <w:rPr>
                <w:sz w:val="20"/>
                <w:szCs w:val="20"/>
              </w:rPr>
            </w:pPr>
            <w:r>
              <w:rPr>
                <w:sz w:val="18"/>
                <w:szCs w:val="18"/>
              </w:rPr>
              <w:t xml:space="preserve">             20 000 398</w:t>
            </w:r>
          </w:p>
        </w:tc>
      </w:tr>
      <w:tr w:rsidR="00497902" w:rsidRPr="007F1C63" w:rsidTr="00F07429">
        <w:trPr>
          <w:trHeight w:val="284"/>
          <w:jc w:val="center"/>
        </w:trPr>
        <w:tc>
          <w:tcPr>
            <w:tcW w:w="4913" w:type="dxa"/>
            <w:vMerge/>
            <w:vAlign w:val="center"/>
          </w:tcPr>
          <w:p w:rsidR="00497902" w:rsidRPr="007F1C63" w:rsidRDefault="00497902" w:rsidP="007F1C63">
            <w:pPr>
              <w:rPr>
                <w:sz w:val="20"/>
                <w:szCs w:val="20"/>
              </w:rPr>
            </w:pPr>
          </w:p>
        </w:tc>
        <w:tc>
          <w:tcPr>
            <w:tcW w:w="2120" w:type="dxa"/>
            <w:vAlign w:val="center"/>
          </w:tcPr>
          <w:p w:rsidR="00E92F9B" w:rsidRDefault="00497902">
            <w:pPr>
              <w:ind w:left="0"/>
              <w:rPr>
                <w:sz w:val="20"/>
                <w:szCs w:val="20"/>
              </w:rPr>
            </w:pPr>
            <w:r>
              <w:rPr>
                <w:sz w:val="20"/>
                <w:szCs w:val="20"/>
              </w:rPr>
              <w:t xml:space="preserve">                </w:t>
            </w:r>
            <w:r w:rsidR="00F5520F">
              <w:rPr>
                <w:sz w:val="20"/>
                <w:szCs w:val="20"/>
              </w:rPr>
              <w:t>081</w:t>
            </w:r>
          </w:p>
        </w:tc>
        <w:tc>
          <w:tcPr>
            <w:tcW w:w="2039" w:type="dxa"/>
            <w:vAlign w:val="center"/>
          </w:tcPr>
          <w:p w:rsidR="00E92F9B" w:rsidRDefault="00497902">
            <w:pPr>
              <w:ind w:left="0"/>
              <w:rPr>
                <w:sz w:val="20"/>
                <w:szCs w:val="20"/>
              </w:rPr>
            </w:pPr>
            <w:r>
              <w:rPr>
                <w:sz w:val="18"/>
                <w:szCs w:val="18"/>
              </w:rPr>
              <w:t xml:space="preserve">             30 000 598</w:t>
            </w:r>
          </w:p>
        </w:tc>
      </w:tr>
      <w:tr w:rsidR="00497902" w:rsidRPr="007F1C63" w:rsidTr="00F07429">
        <w:trPr>
          <w:trHeight w:val="284"/>
          <w:jc w:val="center"/>
        </w:trPr>
        <w:tc>
          <w:tcPr>
            <w:tcW w:w="4913" w:type="dxa"/>
            <w:vMerge/>
            <w:vAlign w:val="center"/>
          </w:tcPr>
          <w:p w:rsidR="00497902" w:rsidRPr="007F1C63" w:rsidRDefault="00497902" w:rsidP="007F1C63">
            <w:pPr>
              <w:rPr>
                <w:sz w:val="20"/>
                <w:szCs w:val="20"/>
              </w:rPr>
            </w:pPr>
          </w:p>
        </w:tc>
        <w:tc>
          <w:tcPr>
            <w:tcW w:w="2120" w:type="dxa"/>
            <w:vAlign w:val="center"/>
          </w:tcPr>
          <w:p w:rsidR="00E92F9B" w:rsidRDefault="00497902">
            <w:pPr>
              <w:ind w:left="0"/>
              <w:rPr>
                <w:sz w:val="20"/>
                <w:szCs w:val="20"/>
              </w:rPr>
            </w:pPr>
            <w:r>
              <w:rPr>
                <w:sz w:val="20"/>
                <w:szCs w:val="20"/>
              </w:rPr>
              <w:t xml:space="preserve">                </w:t>
            </w:r>
            <w:r w:rsidR="00F5520F">
              <w:rPr>
                <w:sz w:val="20"/>
                <w:szCs w:val="20"/>
              </w:rPr>
              <w:t>082</w:t>
            </w:r>
          </w:p>
        </w:tc>
        <w:tc>
          <w:tcPr>
            <w:tcW w:w="2039" w:type="dxa"/>
            <w:vAlign w:val="center"/>
          </w:tcPr>
          <w:p w:rsidR="00E92F9B" w:rsidRDefault="00497902">
            <w:pPr>
              <w:ind w:left="0"/>
              <w:rPr>
                <w:sz w:val="20"/>
                <w:szCs w:val="20"/>
              </w:rPr>
            </w:pPr>
            <w:r>
              <w:rPr>
                <w:sz w:val="18"/>
                <w:szCs w:val="18"/>
              </w:rPr>
              <w:t xml:space="preserve">             10 000 199</w:t>
            </w:r>
          </w:p>
        </w:tc>
      </w:tr>
    </w:tbl>
    <w:p w:rsidR="00E92F9B" w:rsidRDefault="00E92F9B">
      <w:pPr>
        <w:pStyle w:val="Tab"/>
        <w:jc w:val="both"/>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7F1C63" w:rsidRPr="007F1C63" w:rsidTr="00497902">
        <w:trPr>
          <w:trHeight w:val="255"/>
          <w:jc w:val="center"/>
        </w:trPr>
        <w:tc>
          <w:tcPr>
            <w:tcW w:w="9072" w:type="dxa"/>
            <w:gridSpan w:val="3"/>
            <w:shd w:val="clear" w:color="auto" w:fill="DBE5F1" w:themeFill="accent1" w:themeFillTint="33"/>
            <w:vAlign w:val="center"/>
          </w:tcPr>
          <w:p w:rsidR="007F1C63" w:rsidRPr="007F1C63" w:rsidRDefault="007F1C63" w:rsidP="007F1C63">
            <w:pPr>
              <w:ind w:left="0"/>
              <w:rPr>
                <w:color w:val="000000"/>
                <w:sz w:val="20"/>
                <w:szCs w:val="20"/>
              </w:rPr>
            </w:pPr>
            <w:r w:rsidRPr="007F1C63">
              <w:rPr>
                <w:b/>
                <w:bCs/>
                <w:color w:val="000000"/>
                <w:sz w:val="20"/>
                <w:szCs w:val="20"/>
              </w:rPr>
              <w:t xml:space="preserve">Rozmer 2 – Forma financovania </w:t>
            </w:r>
          </w:p>
        </w:tc>
      </w:tr>
      <w:tr w:rsidR="007F1C63" w:rsidRPr="007F1C63" w:rsidTr="00497902">
        <w:trPr>
          <w:trHeight w:val="255"/>
          <w:jc w:val="center"/>
        </w:trPr>
        <w:tc>
          <w:tcPr>
            <w:tcW w:w="4913" w:type="dxa"/>
            <w:shd w:val="clear" w:color="auto" w:fill="DBE5F1" w:themeFill="accent1" w:themeFillTint="33"/>
            <w:vAlign w:val="center"/>
          </w:tcPr>
          <w:p w:rsidR="007F1C63" w:rsidRPr="007F1C63" w:rsidRDefault="007F1C63" w:rsidP="007F1C63">
            <w:pPr>
              <w:ind w:left="0"/>
              <w:rPr>
                <w:b/>
                <w:bCs/>
                <w:color w:val="000000"/>
                <w:sz w:val="20"/>
                <w:szCs w:val="20"/>
              </w:rPr>
            </w:pPr>
            <w:r w:rsidRPr="007F1C63">
              <w:rPr>
                <w:b/>
                <w:bCs/>
                <w:color w:val="000000"/>
                <w:sz w:val="20"/>
                <w:szCs w:val="20"/>
              </w:rPr>
              <w:t>Fond</w:t>
            </w:r>
          </w:p>
        </w:tc>
        <w:tc>
          <w:tcPr>
            <w:tcW w:w="4159" w:type="dxa"/>
            <w:gridSpan w:val="2"/>
            <w:shd w:val="clear" w:color="auto" w:fill="DBE5F1" w:themeFill="accent1" w:themeFillTint="33"/>
            <w:vAlign w:val="center"/>
          </w:tcPr>
          <w:p w:rsidR="007F1C63" w:rsidRPr="007F1C63" w:rsidRDefault="007F1C63" w:rsidP="007F1C63">
            <w:pPr>
              <w:ind w:left="0"/>
              <w:rPr>
                <w:bCs/>
                <w:color w:val="000000"/>
                <w:sz w:val="20"/>
                <w:szCs w:val="20"/>
              </w:rPr>
            </w:pPr>
            <w:r w:rsidRPr="007F1C63">
              <w:rPr>
                <w:bCs/>
                <w:color w:val="000000"/>
                <w:sz w:val="20"/>
                <w:szCs w:val="20"/>
              </w:rPr>
              <w:t>EFRR</w:t>
            </w:r>
          </w:p>
        </w:tc>
      </w:tr>
      <w:tr w:rsidR="007F1C63" w:rsidRPr="007F1C63" w:rsidTr="00497902">
        <w:trPr>
          <w:trHeight w:val="255"/>
          <w:jc w:val="center"/>
        </w:trPr>
        <w:tc>
          <w:tcPr>
            <w:tcW w:w="4913" w:type="dxa"/>
            <w:shd w:val="clear" w:color="auto" w:fill="DBE5F1" w:themeFill="accent1" w:themeFillTint="33"/>
            <w:vAlign w:val="center"/>
          </w:tcPr>
          <w:p w:rsidR="007F1C63" w:rsidRPr="007F1C63" w:rsidRDefault="007F1C63" w:rsidP="007F1C63">
            <w:pPr>
              <w:ind w:left="0"/>
              <w:rPr>
                <w:sz w:val="20"/>
                <w:szCs w:val="20"/>
              </w:rPr>
            </w:pPr>
            <w:r w:rsidRPr="007F1C63">
              <w:rPr>
                <w:b/>
                <w:bCs/>
                <w:color w:val="000000"/>
                <w:sz w:val="20"/>
                <w:szCs w:val="20"/>
              </w:rPr>
              <w:t>Kategória regiónu</w:t>
            </w:r>
          </w:p>
        </w:tc>
        <w:tc>
          <w:tcPr>
            <w:tcW w:w="4159" w:type="dxa"/>
            <w:gridSpan w:val="2"/>
            <w:shd w:val="clear" w:color="auto" w:fill="DBE5F1" w:themeFill="accent1" w:themeFillTint="33"/>
            <w:vAlign w:val="center"/>
          </w:tcPr>
          <w:p w:rsidR="007F1C63" w:rsidRPr="007F1C63" w:rsidRDefault="007F1C63" w:rsidP="007F1C63">
            <w:pPr>
              <w:ind w:left="0"/>
              <w:rPr>
                <w:sz w:val="20"/>
                <w:szCs w:val="20"/>
              </w:rPr>
            </w:pPr>
            <w:r w:rsidRPr="007F1C63">
              <w:rPr>
                <w:sz w:val="20"/>
                <w:szCs w:val="20"/>
              </w:rPr>
              <w:t>Menej rozvinuté regióny</w:t>
            </w:r>
          </w:p>
        </w:tc>
      </w:tr>
      <w:tr w:rsidR="007F1C63" w:rsidRPr="007F1C63" w:rsidTr="00497902">
        <w:trPr>
          <w:trHeight w:val="255"/>
          <w:jc w:val="center"/>
        </w:trPr>
        <w:tc>
          <w:tcPr>
            <w:tcW w:w="4913" w:type="dxa"/>
            <w:vAlign w:val="center"/>
          </w:tcPr>
          <w:p w:rsidR="007F1C63" w:rsidRPr="007F1C63" w:rsidRDefault="007F1C63" w:rsidP="007F1C63">
            <w:pPr>
              <w:ind w:left="0"/>
              <w:jc w:val="center"/>
              <w:rPr>
                <w:b/>
                <w:sz w:val="20"/>
                <w:szCs w:val="20"/>
              </w:rPr>
            </w:pPr>
            <w:r w:rsidRPr="007F1C63">
              <w:rPr>
                <w:b/>
                <w:sz w:val="20"/>
                <w:szCs w:val="20"/>
              </w:rPr>
              <w:t>Prioritná os</w:t>
            </w:r>
          </w:p>
        </w:tc>
        <w:tc>
          <w:tcPr>
            <w:tcW w:w="2120" w:type="dxa"/>
            <w:vAlign w:val="center"/>
          </w:tcPr>
          <w:p w:rsidR="007F1C63" w:rsidRPr="007F1C63" w:rsidRDefault="007F1C63" w:rsidP="007F1C63">
            <w:pPr>
              <w:ind w:left="0"/>
              <w:jc w:val="center"/>
              <w:rPr>
                <w:b/>
                <w:sz w:val="20"/>
                <w:szCs w:val="20"/>
              </w:rPr>
            </w:pPr>
            <w:r w:rsidRPr="007F1C63">
              <w:rPr>
                <w:b/>
                <w:sz w:val="20"/>
                <w:szCs w:val="20"/>
              </w:rPr>
              <w:t>Kód</w:t>
            </w:r>
          </w:p>
        </w:tc>
        <w:tc>
          <w:tcPr>
            <w:tcW w:w="2039" w:type="dxa"/>
            <w:vAlign w:val="center"/>
          </w:tcPr>
          <w:p w:rsidR="007F1C63" w:rsidRPr="007F1C63" w:rsidRDefault="007F1C63" w:rsidP="007F1C63">
            <w:pPr>
              <w:ind w:left="0"/>
              <w:jc w:val="center"/>
              <w:rPr>
                <w:b/>
                <w:sz w:val="20"/>
                <w:szCs w:val="20"/>
              </w:rPr>
            </w:pPr>
            <w:r w:rsidRPr="007F1C63">
              <w:rPr>
                <w:b/>
                <w:sz w:val="20"/>
                <w:szCs w:val="20"/>
              </w:rPr>
              <w:t>Suma (v EUR)</w:t>
            </w:r>
          </w:p>
        </w:tc>
      </w:tr>
      <w:tr w:rsidR="00497902" w:rsidRPr="007F1C63" w:rsidTr="00497902">
        <w:trPr>
          <w:trHeight w:val="255"/>
          <w:jc w:val="center"/>
        </w:trPr>
        <w:tc>
          <w:tcPr>
            <w:tcW w:w="4913" w:type="dxa"/>
            <w:vMerge w:val="restart"/>
            <w:vAlign w:val="center"/>
          </w:tcPr>
          <w:p w:rsidR="00497902" w:rsidRPr="007F1C63" w:rsidRDefault="00497902" w:rsidP="00497902">
            <w:pPr>
              <w:ind w:left="0"/>
              <w:rPr>
                <w:sz w:val="20"/>
                <w:szCs w:val="20"/>
              </w:rPr>
            </w:pPr>
            <w:r w:rsidRPr="007F1C63">
              <w:rPr>
                <w:sz w:val="20"/>
                <w:szCs w:val="20"/>
              </w:rPr>
              <w:t xml:space="preserve">Prioritná os </w:t>
            </w:r>
            <w:r>
              <w:rPr>
                <w:sz w:val="20"/>
                <w:szCs w:val="20"/>
              </w:rPr>
              <w:t>7</w:t>
            </w:r>
            <w:r w:rsidRPr="007F1C63">
              <w:rPr>
                <w:sz w:val="20"/>
                <w:szCs w:val="20"/>
              </w:rPr>
              <w:t xml:space="preserve"> – </w:t>
            </w:r>
            <w:r>
              <w:rPr>
                <w:sz w:val="20"/>
                <w:szCs w:val="20"/>
              </w:rPr>
              <w:t>Informačná spoločnosť</w:t>
            </w:r>
          </w:p>
        </w:tc>
        <w:tc>
          <w:tcPr>
            <w:tcW w:w="2120" w:type="dxa"/>
            <w:vAlign w:val="center"/>
          </w:tcPr>
          <w:p w:rsidR="00497902" w:rsidRPr="007F1C63" w:rsidRDefault="00497902" w:rsidP="007F1C63">
            <w:pPr>
              <w:ind w:left="0"/>
              <w:jc w:val="center"/>
              <w:rPr>
                <w:sz w:val="20"/>
                <w:szCs w:val="20"/>
              </w:rPr>
            </w:pPr>
            <w:r w:rsidRPr="007F1C63">
              <w:rPr>
                <w:sz w:val="20"/>
                <w:szCs w:val="20"/>
              </w:rPr>
              <w:t>01</w:t>
            </w:r>
          </w:p>
        </w:tc>
        <w:tc>
          <w:tcPr>
            <w:tcW w:w="2039" w:type="dxa"/>
            <w:vAlign w:val="center"/>
          </w:tcPr>
          <w:p w:rsidR="00497902" w:rsidRPr="007F1C63" w:rsidRDefault="00497902" w:rsidP="007F1C63">
            <w:pPr>
              <w:ind w:left="0"/>
              <w:jc w:val="center"/>
              <w:rPr>
                <w:sz w:val="20"/>
                <w:szCs w:val="20"/>
              </w:rPr>
            </w:pPr>
            <w:r>
              <w:rPr>
                <w:sz w:val="18"/>
                <w:szCs w:val="18"/>
              </w:rPr>
              <w:t>815 786 249,44</w:t>
            </w:r>
          </w:p>
        </w:tc>
      </w:tr>
      <w:tr w:rsidR="00497902" w:rsidRPr="007F1C63" w:rsidTr="00497902">
        <w:trPr>
          <w:trHeight w:val="255"/>
          <w:jc w:val="center"/>
        </w:trPr>
        <w:tc>
          <w:tcPr>
            <w:tcW w:w="4913" w:type="dxa"/>
            <w:vMerge/>
            <w:vAlign w:val="center"/>
          </w:tcPr>
          <w:p w:rsidR="00497902" w:rsidRPr="007F1C63" w:rsidRDefault="00497902" w:rsidP="007F1C63">
            <w:pPr>
              <w:ind w:left="0"/>
              <w:rPr>
                <w:sz w:val="20"/>
                <w:szCs w:val="20"/>
              </w:rPr>
            </w:pPr>
          </w:p>
        </w:tc>
        <w:tc>
          <w:tcPr>
            <w:tcW w:w="2120" w:type="dxa"/>
            <w:vAlign w:val="center"/>
          </w:tcPr>
          <w:p w:rsidR="00497902" w:rsidRPr="00F5520F" w:rsidRDefault="002B39CB" w:rsidP="00497902">
            <w:pPr>
              <w:tabs>
                <w:tab w:val="left" w:pos="567"/>
                <w:tab w:val="left" w:leader="dot" w:pos="9356"/>
              </w:tabs>
              <w:ind w:left="0" w:hanging="851"/>
              <w:jc w:val="center"/>
              <w:rPr>
                <w:sz w:val="20"/>
                <w:szCs w:val="20"/>
                <w:highlight w:val="yellow"/>
              </w:rPr>
            </w:pPr>
            <w:r>
              <w:rPr>
                <w:sz w:val="20"/>
                <w:szCs w:val="20"/>
              </w:rPr>
              <w:t xml:space="preserve">                </w:t>
            </w:r>
            <w:r w:rsidR="00497902" w:rsidRPr="002B39CB">
              <w:rPr>
                <w:sz w:val="20"/>
                <w:szCs w:val="20"/>
              </w:rPr>
              <w:t>04</w:t>
            </w:r>
          </w:p>
        </w:tc>
        <w:tc>
          <w:tcPr>
            <w:tcW w:w="2039" w:type="dxa"/>
            <w:vAlign w:val="center"/>
          </w:tcPr>
          <w:p w:rsidR="00497902" w:rsidRPr="00F5520F" w:rsidRDefault="00497902" w:rsidP="007F1C63">
            <w:pPr>
              <w:tabs>
                <w:tab w:val="left" w:pos="567"/>
                <w:tab w:val="left" w:leader="dot" w:pos="9356"/>
              </w:tabs>
              <w:ind w:left="0" w:hanging="851"/>
              <w:jc w:val="center"/>
              <w:rPr>
                <w:sz w:val="20"/>
                <w:szCs w:val="20"/>
                <w:highlight w:val="yellow"/>
              </w:rPr>
            </w:pPr>
            <w:r w:rsidRPr="002B39CB">
              <w:rPr>
                <w:sz w:val="18"/>
                <w:szCs w:val="18"/>
              </w:rPr>
              <w:t xml:space="preserve">  </w:t>
            </w:r>
            <w:r w:rsidR="002B39CB">
              <w:rPr>
                <w:sz w:val="18"/>
                <w:szCs w:val="18"/>
              </w:rPr>
              <w:t xml:space="preserve">                   </w:t>
            </w:r>
            <w:r w:rsidRPr="002B39CB">
              <w:rPr>
                <w:sz w:val="18"/>
                <w:szCs w:val="18"/>
              </w:rPr>
              <w:t>25 230 502,56</w:t>
            </w:r>
          </w:p>
        </w:tc>
      </w:tr>
    </w:tbl>
    <w:p w:rsidR="00E92F9B" w:rsidRDefault="00E92F9B">
      <w:pPr>
        <w:pStyle w:val="Tab"/>
        <w:jc w:val="both"/>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7F1C63" w:rsidRPr="007F1C63" w:rsidTr="007F1C63">
        <w:trPr>
          <w:trHeight w:val="255"/>
          <w:jc w:val="center"/>
        </w:trPr>
        <w:tc>
          <w:tcPr>
            <w:tcW w:w="9072" w:type="dxa"/>
            <w:gridSpan w:val="3"/>
            <w:shd w:val="clear" w:color="auto" w:fill="DBE5F1" w:themeFill="accent1" w:themeFillTint="33"/>
            <w:vAlign w:val="center"/>
          </w:tcPr>
          <w:p w:rsidR="007F1C63" w:rsidRPr="007F1C63" w:rsidRDefault="007F1C63" w:rsidP="007F1C63">
            <w:pPr>
              <w:ind w:left="0"/>
              <w:rPr>
                <w:color w:val="000000"/>
                <w:sz w:val="20"/>
                <w:szCs w:val="20"/>
              </w:rPr>
            </w:pPr>
            <w:r w:rsidRPr="007F1C63">
              <w:rPr>
                <w:b/>
                <w:bCs/>
                <w:color w:val="000000"/>
                <w:sz w:val="20"/>
                <w:szCs w:val="20"/>
              </w:rPr>
              <w:t xml:space="preserve">Rozmer 3 – Druh územia </w:t>
            </w:r>
          </w:p>
        </w:tc>
      </w:tr>
      <w:tr w:rsidR="007F1C63" w:rsidRPr="007F1C63" w:rsidTr="007F1C63">
        <w:trPr>
          <w:trHeight w:val="255"/>
          <w:jc w:val="center"/>
        </w:trPr>
        <w:tc>
          <w:tcPr>
            <w:tcW w:w="4913" w:type="dxa"/>
            <w:shd w:val="clear" w:color="auto" w:fill="DBE5F1" w:themeFill="accent1" w:themeFillTint="33"/>
            <w:vAlign w:val="center"/>
          </w:tcPr>
          <w:p w:rsidR="007F1C63" w:rsidRPr="007F1C63" w:rsidRDefault="007F1C63" w:rsidP="007F1C63">
            <w:pPr>
              <w:ind w:left="0"/>
              <w:rPr>
                <w:b/>
                <w:bCs/>
                <w:color w:val="000000"/>
                <w:sz w:val="20"/>
                <w:szCs w:val="20"/>
              </w:rPr>
            </w:pPr>
            <w:r w:rsidRPr="007F1C63">
              <w:rPr>
                <w:b/>
                <w:bCs/>
                <w:color w:val="000000"/>
                <w:sz w:val="20"/>
                <w:szCs w:val="20"/>
              </w:rPr>
              <w:t>Fond</w:t>
            </w:r>
          </w:p>
        </w:tc>
        <w:tc>
          <w:tcPr>
            <w:tcW w:w="4159" w:type="dxa"/>
            <w:gridSpan w:val="2"/>
            <w:shd w:val="clear" w:color="auto" w:fill="DBE5F1" w:themeFill="accent1" w:themeFillTint="33"/>
            <w:vAlign w:val="center"/>
          </w:tcPr>
          <w:p w:rsidR="007F1C63" w:rsidRPr="007F1C63" w:rsidRDefault="007F1C63" w:rsidP="007F1C63">
            <w:pPr>
              <w:ind w:left="0"/>
              <w:rPr>
                <w:bCs/>
                <w:color w:val="000000"/>
                <w:sz w:val="20"/>
                <w:szCs w:val="20"/>
              </w:rPr>
            </w:pPr>
            <w:r w:rsidRPr="007F1C63">
              <w:rPr>
                <w:bCs/>
                <w:color w:val="000000"/>
                <w:sz w:val="20"/>
                <w:szCs w:val="20"/>
              </w:rPr>
              <w:t>EFRR</w:t>
            </w:r>
          </w:p>
        </w:tc>
      </w:tr>
      <w:tr w:rsidR="007F1C63" w:rsidRPr="007F1C63" w:rsidTr="007F1C63">
        <w:trPr>
          <w:trHeight w:val="255"/>
          <w:jc w:val="center"/>
        </w:trPr>
        <w:tc>
          <w:tcPr>
            <w:tcW w:w="4913" w:type="dxa"/>
            <w:shd w:val="clear" w:color="auto" w:fill="DBE5F1" w:themeFill="accent1" w:themeFillTint="33"/>
            <w:vAlign w:val="center"/>
          </w:tcPr>
          <w:p w:rsidR="007F1C63" w:rsidRPr="007F1C63" w:rsidRDefault="007F1C63" w:rsidP="007F1C63">
            <w:pPr>
              <w:ind w:left="0"/>
              <w:rPr>
                <w:sz w:val="20"/>
                <w:szCs w:val="20"/>
              </w:rPr>
            </w:pPr>
            <w:r w:rsidRPr="007F1C63">
              <w:rPr>
                <w:b/>
                <w:bCs/>
                <w:color w:val="000000"/>
                <w:sz w:val="20"/>
                <w:szCs w:val="20"/>
              </w:rPr>
              <w:t>Kategória regiónu</w:t>
            </w:r>
          </w:p>
        </w:tc>
        <w:tc>
          <w:tcPr>
            <w:tcW w:w="4159" w:type="dxa"/>
            <w:gridSpan w:val="2"/>
            <w:shd w:val="clear" w:color="auto" w:fill="DBE5F1" w:themeFill="accent1" w:themeFillTint="33"/>
            <w:vAlign w:val="center"/>
          </w:tcPr>
          <w:p w:rsidR="007F1C63" w:rsidRPr="007F1C63" w:rsidRDefault="007F1C63" w:rsidP="007F1C63">
            <w:pPr>
              <w:ind w:left="0"/>
              <w:rPr>
                <w:sz w:val="20"/>
                <w:szCs w:val="20"/>
              </w:rPr>
            </w:pPr>
            <w:r w:rsidRPr="007F1C63">
              <w:rPr>
                <w:sz w:val="20"/>
                <w:szCs w:val="20"/>
              </w:rPr>
              <w:t>Menej rozvinuté regióny</w:t>
            </w:r>
          </w:p>
        </w:tc>
      </w:tr>
      <w:tr w:rsidR="007F1C63" w:rsidRPr="007F1C63" w:rsidTr="007F1C63">
        <w:trPr>
          <w:trHeight w:val="255"/>
          <w:jc w:val="center"/>
        </w:trPr>
        <w:tc>
          <w:tcPr>
            <w:tcW w:w="4913" w:type="dxa"/>
            <w:vAlign w:val="center"/>
          </w:tcPr>
          <w:p w:rsidR="007F1C63" w:rsidRPr="007F1C63" w:rsidRDefault="007F1C63" w:rsidP="007F1C63">
            <w:pPr>
              <w:ind w:left="0"/>
              <w:jc w:val="center"/>
              <w:rPr>
                <w:b/>
                <w:sz w:val="20"/>
                <w:szCs w:val="20"/>
              </w:rPr>
            </w:pPr>
            <w:r w:rsidRPr="007F1C63">
              <w:rPr>
                <w:b/>
                <w:sz w:val="20"/>
                <w:szCs w:val="20"/>
              </w:rPr>
              <w:t>Prioritná os</w:t>
            </w:r>
          </w:p>
        </w:tc>
        <w:tc>
          <w:tcPr>
            <w:tcW w:w="2120" w:type="dxa"/>
            <w:vAlign w:val="center"/>
          </w:tcPr>
          <w:p w:rsidR="007F1C63" w:rsidRPr="007F1C63" w:rsidRDefault="007F1C63" w:rsidP="007F1C63">
            <w:pPr>
              <w:ind w:left="0"/>
              <w:jc w:val="center"/>
              <w:rPr>
                <w:b/>
                <w:sz w:val="20"/>
                <w:szCs w:val="20"/>
              </w:rPr>
            </w:pPr>
            <w:r w:rsidRPr="007F1C63">
              <w:rPr>
                <w:b/>
                <w:sz w:val="20"/>
                <w:szCs w:val="20"/>
              </w:rPr>
              <w:t>Kód</w:t>
            </w:r>
          </w:p>
        </w:tc>
        <w:tc>
          <w:tcPr>
            <w:tcW w:w="2039" w:type="dxa"/>
            <w:vAlign w:val="center"/>
          </w:tcPr>
          <w:p w:rsidR="007F1C63" w:rsidRPr="007F1C63" w:rsidRDefault="007F1C63" w:rsidP="007F1C63">
            <w:pPr>
              <w:ind w:left="0"/>
              <w:jc w:val="center"/>
              <w:rPr>
                <w:b/>
                <w:sz w:val="20"/>
                <w:szCs w:val="20"/>
              </w:rPr>
            </w:pPr>
            <w:r w:rsidRPr="007F1C63">
              <w:rPr>
                <w:b/>
                <w:sz w:val="20"/>
                <w:szCs w:val="20"/>
              </w:rPr>
              <w:t>Suma (v EUR)</w:t>
            </w:r>
          </w:p>
        </w:tc>
      </w:tr>
      <w:tr w:rsidR="00497902" w:rsidRPr="007F1C63" w:rsidTr="007F1C63">
        <w:trPr>
          <w:trHeight w:val="255"/>
          <w:jc w:val="center"/>
        </w:trPr>
        <w:tc>
          <w:tcPr>
            <w:tcW w:w="4913" w:type="dxa"/>
            <w:vMerge w:val="restart"/>
            <w:vAlign w:val="center"/>
          </w:tcPr>
          <w:p w:rsidR="00497902" w:rsidRPr="007F1C63" w:rsidRDefault="00497902" w:rsidP="00497902">
            <w:pPr>
              <w:ind w:left="0"/>
              <w:rPr>
                <w:sz w:val="20"/>
                <w:szCs w:val="20"/>
              </w:rPr>
            </w:pPr>
            <w:r w:rsidRPr="007F1C63">
              <w:rPr>
                <w:sz w:val="20"/>
                <w:szCs w:val="20"/>
              </w:rPr>
              <w:t xml:space="preserve">Prioritná os </w:t>
            </w:r>
            <w:r>
              <w:rPr>
                <w:sz w:val="20"/>
                <w:szCs w:val="20"/>
              </w:rPr>
              <w:t>7</w:t>
            </w:r>
            <w:r w:rsidRPr="007F1C63">
              <w:rPr>
                <w:sz w:val="20"/>
                <w:szCs w:val="20"/>
              </w:rPr>
              <w:t xml:space="preserve"> – </w:t>
            </w:r>
            <w:r>
              <w:rPr>
                <w:sz w:val="20"/>
                <w:szCs w:val="20"/>
              </w:rPr>
              <w:t>Informačná spoločnosť</w:t>
            </w:r>
          </w:p>
        </w:tc>
        <w:tc>
          <w:tcPr>
            <w:tcW w:w="2120" w:type="dxa"/>
            <w:vAlign w:val="center"/>
          </w:tcPr>
          <w:p w:rsidR="00497902" w:rsidRPr="007F1C63" w:rsidRDefault="00497902" w:rsidP="007F1C63">
            <w:pPr>
              <w:ind w:left="0"/>
              <w:jc w:val="center"/>
              <w:rPr>
                <w:sz w:val="20"/>
                <w:szCs w:val="20"/>
              </w:rPr>
            </w:pPr>
            <w:r>
              <w:rPr>
                <w:sz w:val="20"/>
                <w:szCs w:val="20"/>
              </w:rPr>
              <w:t>0</w:t>
            </w:r>
            <w:r w:rsidR="00283128">
              <w:rPr>
                <w:sz w:val="20"/>
                <w:szCs w:val="20"/>
              </w:rPr>
              <w:t>7</w:t>
            </w:r>
          </w:p>
        </w:tc>
        <w:tc>
          <w:tcPr>
            <w:tcW w:w="2039" w:type="dxa"/>
            <w:vAlign w:val="center"/>
          </w:tcPr>
          <w:p w:rsidR="00497902" w:rsidRPr="007F1C63" w:rsidRDefault="00497902" w:rsidP="007F1C63">
            <w:pPr>
              <w:ind w:left="0"/>
              <w:jc w:val="center"/>
              <w:rPr>
                <w:sz w:val="20"/>
                <w:szCs w:val="20"/>
                <w:lang w:val="en-US"/>
              </w:rPr>
            </w:pPr>
            <w:r>
              <w:rPr>
                <w:sz w:val="18"/>
                <w:szCs w:val="18"/>
              </w:rPr>
              <w:t>743 266 752</w:t>
            </w:r>
          </w:p>
        </w:tc>
      </w:tr>
      <w:tr w:rsidR="00497902" w:rsidRPr="007F1C63" w:rsidTr="007F1C63">
        <w:trPr>
          <w:trHeight w:val="255"/>
          <w:jc w:val="center"/>
        </w:trPr>
        <w:tc>
          <w:tcPr>
            <w:tcW w:w="4913" w:type="dxa"/>
            <w:vMerge/>
            <w:vAlign w:val="center"/>
          </w:tcPr>
          <w:p w:rsidR="00497902" w:rsidRPr="007F1C63" w:rsidRDefault="00497902" w:rsidP="00497902">
            <w:pPr>
              <w:rPr>
                <w:sz w:val="20"/>
                <w:szCs w:val="20"/>
              </w:rPr>
            </w:pPr>
          </w:p>
        </w:tc>
        <w:tc>
          <w:tcPr>
            <w:tcW w:w="2120" w:type="dxa"/>
            <w:vAlign w:val="center"/>
          </w:tcPr>
          <w:p w:rsidR="00E92F9B" w:rsidRDefault="00497902">
            <w:pPr>
              <w:ind w:left="0"/>
              <w:rPr>
                <w:sz w:val="20"/>
                <w:szCs w:val="20"/>
              </w:rPr>
            </w:pPr>
            <w:r>
              <w:rPr>
                <w:sz w:val="20"/>
                <w:szCs w:val="20"/>
              </w:rPr>
              <w:t xml:space="preserve">                 </w:t>
            </w:r>
            <w:r w:rsidR="00283128" w:rsidRPr="002B39CB">
              <w:rPr>
                <w:sz w:val="20"/>
                <w:szCs w:val="20"/>
              </w:rPr>
              <w:t>0</w:t>
            </w:r>
            <w:r w:rsidR="006F04CA" w:rsidRPr="002B39CB">
              <w:rPr>
                <w:sz w:val="20"/>
                <w:szCs w:val="20"/>
              </w:rPr>
              <w:t>3</w:t>
            </w:r>
          </w:p>
        </w:tc>
        <w:tc>
          <w:tcPr>
            <w:tcW w:w="2039" w:type="dxa"/>
            <w:vAlign w:val="center"/>
          </w:tcPr>
          <w:p w:rsidR="00E92F9B" w:rsidRDefault="00497902">
            <w:pPr>
              <w:ind w:left="0"/>
              <w:rPr>
                <w:sz w:val="18"/>
                <w:szCs w:val="18"/>
              </w:rPr>
            </w:pPr>
            <w:r>
              <w:rPr>
                <w:sz w:val="18"/>
                <w:szCs w:val="18"/>
              </w:rPr>
              <w:t xml:space="preserve">             97 750 000</w:t>
            </w:r>
          </w:p>
        </w:tc>
      </w:tr>
    </w:tbl>
    <w:p w:rsidR="00E92F9B" w:rsidRDefault="00E92F9B">
      <w:pPr>
        <w:pStyle w:val="Tab"/>
        <w:jc w:val="both"/>
      </w:pP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2"/>
        <w:gridCol w:w="2120"/>
        <w:gridCol w:w="2040"/>
      </w:tblGrid>
      <w:tr w:rsidR="007F1C63" w:rsidRPr="007F1C63" w:rsidTr="007F1C63">
        <w:trPr>
          <w:trHeight w:val="255"/>
          <w:jc w:val="center"/>
        </w:trPr>
        <w:tc>
          <w:tcPr>
            <w:tcW w:w="9098" w:type="dxa"/>
            <w:gridSpan w:val="3"/>
            <w:shd w:val="clear" w:color="auto" w:fill="DBE5F1" w:themeFill="accent1" w:themeFillTint="33"/>
            <w:vAlign w:val="center"/>
          </w:tcPr>
          <w:p w:rsidR="007F1C63" w:rsidRPr="007F1C63" w:rsidRDefault="007F1C63" w:rsidP="007F1C63">
            <w:pPr>
              <w:ind w:left="0"/>
              <w:rPr>
                <w:b/>
                <w:bCs/>
                <w:color w:val="000000"/>
                <w:sz w:val="20"/>
                <w:szCs w:val="20"/>
              </w:rPr>
            </w:pPr>
            <w:r w:rsidRPr="007F1C63">
              <w:rPr>
                <w:b/>
                <w:bCs/>
                <w:color w:val="000000"/>
                <w:sz w:val="20"/>
                <w:szCs w:val="20"/>
              </w:rPr>
              <w:t>Rozmer 4 – Územné mechanizmy realizácie</w:t>
            </w:r>
          </w:p>
        </w:tc>
      </w:tr>
      <w:tr w:rsidR="007F1C63" w:rsidRPr="007F1C63" w:rsidTr="007F1C63">
        <w:trPr>
          <w:trHeight w:val="255"/>
          <w:jc w:val="center"/>
        </w:trPr>
        <w:tc>
          <w:tcPr>
            <w:tcW w:w="4928" w:type="dxa"/>
            <w:shd w:val="clear" w:color="auto" w:fill="DBE5F1" w:themeFill="accent1" w:themeFillTint="33"/>
            <w:vAlign w:val="center"/>
          </w:tcPr>
          <w:p w:rsidR="007F1C63" w:rsidRPr="007F1C63" w:rsidRDefault="007F1C63" w:rsidP="007F1C63">
            <w:pPr>
              <w:ind w:left="0"/>
              <w:rPr>
                <w:b/>
                <w:bCs/>
                <w:color w:val="000000"/>
                <w:sz w:val="20"/>
                <w:szCs w:val="20"/>
              </w:rPr>
            </w:pPr>
            <w:r w:rsidRPr="007F1C63">
              <w:rPr>
                <w:b/>
                <w:bCs/>
                <w:color w:val="000000"/>
                <w:sz w:val="20"/>
                <w:szCs w:val="20"/>
              </w:rPr>
              <w:t>Fond</w:t>
            </w:r>
          </w:p>
        </w:tc>
        <w:tc>
          <w:tcPr>
            <w:tcW w:w="4170" w:type="dxa"/>
            <w:gridSpan w:val="2"/>
            <w:shd w:val="clear" w:color="auto" w:fill="DBE5F1" w:themeFill="accent1" w:themeFillTint="33"/>
            <w:vAlign w:val="center"/>
          </w:tcPr>
          <w:p w:rsidR="007F1C63" w:rsidRPr="007F1C63" w:rsidRDefault="007F1C63" w:rsidP="007F1C63">
            <w:pPr>
              <w:ind w:left="0"/>
              <w:rPr>
                <w:bCs/>
                <w:color w:val="000000"/>
                <w:sz w:val="20"/>
                <w:szCs w:val="20"/>
              </w:rPr>
            </w:pPr>
            <w:r w:rsidRPr="007F1C63">
              <w:rPr>
                <w:bCs/>
                <w:color w:val="000000"/>
                <w:sz w:val="20"/>
                <w:szCs w:val="20"/>
              </w:rPr>
              <w:t>EFRR</w:t>
            </w:r>
          </w:p>
        </w:tc>
      </w:tr>
      <w:tr w:rsidR="007F1C63" w:rsidRPr="007F1C63" w:rsidTr="007F1C63">
        <w:trPr>
          <w:trHeight w:val="255"/>
          <w:jc w:val="center"/>
        </w:trPr>
        <w:tc>
          <w:tcPr>
            <w:tcW w:w="4928" w:type="dxa"/>
            <w:shd w:val="clear" w:color="auto" w:fill="DBE5F1" w:themeFill="accent1" w:themeFillTint="33"/>
            <w:vAlign w:val="center"/>
          </w:tcPr>
          <w:p w:rsidR="007F1C63" w:rsidRPr="007F1C63" w:rsidRDefault="007F1C63" w:rsidP="007F1C63">
            <w:pPr>
              <w:ind w:left="0"/>
              <w:rPr>
                <w:sz w:val="20"/>
                <w:szCs w:val="20"/>
              </w:rPr>
            </w:pPr>
            <w:r w:rsidRPr="007F1C63">
              <w:rPr>
                <w:b/>
                <w:bCs/>
                <w:color w:val="000000"/>
                <w:sz w:val="20"/>
                <w:szCs w:val="20"/>
              </w:rPr>
              <w:t>Kategória regiónu</w:t>
            </w:r>
          </w:p>
        </w:tc>
        <w:tc>
          <w:tcPr>
            <w:tcW w:w="4170" w:type="dxa"/>
            <w:gridSpan w:val="2"/>
            <w:shd w:val="clear" w:color="auto" w:fill="DBE5F1" w:themeFill="accent1" w:themeFillTint="33"/>
            <w:vAlign w:val="center"/>
          </w:tcPr>
          <w:p w:rsidR="007F1C63" w:rsidRPr="007F1C63" w:rsidRDefault="007F1C63" w:rsidP="007F1C63">
            <w:pPr>
              <w:ind w:left="0"/>
              <w:rPr>
                <w:sz w:val="20"/>
                <w:szCs w:val="20"/>
              </w:rPr>
            </w:pPr>
            <w:r w:rsidRPr="007F1C63">
              <w:rPr>
                <w:sz w:val="20"/>
                <w:szCs w:val="20"/>
              </w:rPr>
              <w:t>Menej rozvinuté regióny</w:t>
            </w:r>
          </w:p>
        </w:tc>
      </w:tr>
      <w:tr w:rsidR="007F1C63" w:rsidRPr="007F1C63" w:rsidTr="007F1C63">
        <w:trPr>
          <w:trHeight w:val="255"/>
          <w:jc w:val="center"/>
        </w:trPr>
        <w:tc>
          <w:tcPr>
            <w:tcW w:w="4928" w:type="dxa"/>
            <w:vAlign w:val="center"/>
          </w:tcPr>
          <w:p w:rsidR="007F1C63" w:rsidRPr="007F1C63" w:rsidRDefault="007F1C63" w:rsidP="007F1C63">
            <w:pPr>
              <w:ind w:left="0"/>
              <w:jc w:val="center"/>
              <w:rPr>
                <w:b/>
                <w:sz w:val="20"/>
                <w:szCs w:val="20"/>
              </w:rPr>
            </w:pPr>
            <w:r w:rsidRPr="007F1C63">
              <w:rPr>
                <w:b/>
                <w:sz w:val="20"/>
                <w:szCs w:val="20"/>
              </w:rPr>
              <w:t>Prioritná os</w:t>
            </w:r>
          </w:p>
        </w:tc>
        <w:tc>
          <w:tcPr>
            <w:tcW w:w="2126" w:type="dxa"/>
            <w:vAlign w:val="center"/>
          </w:tcPr>
          <w:p w:rsidR="007F1C63" w:rsidRPr="007F1C63" w:rsidRDefault="007F1C63" w:rsidP="007F1C63">
            <w:pPr>
              <w:ind w:left="0"/>
              <w:jc w:val="center"/>
              <w:rPr>
                <w:b/>
                <w:sz w:val="20"/>
                <w:szCs w:val="20"/>
              </w:rPr>
            </w:pPr>
            <w:r w:rsidRPr="007F1C63">
              <w:rPr>
                <w:b/>
                <w:sz w:val="20"/>
                <w:szCs w:val="20"/>
              </w:rPr>
              <w:t>Kód</w:t>
            </w:r>
          </w:p>
        </w:tc>
        <w:tc>
          <w:tcPr>
            <w:tcW w:w="2044" w:type="dxa"/>
            <w:vAlign w:val="center"/>
          </w:tcPr>
          <w:p w:rsidR="007F1C63" w:rsidRPr="007F1C63" w:rsidRDefault="007F1C63" w:rsidP="007F1C63">
            <w:pPr>
              <w:ind w:left="0"/>
              <w:jc w:val="center"/>
              <w:rPr>
                <w:b/>
                <w:sz w:val="20"/>
                <w:szCs w:val="20"/>
              </w:rPr>
            </w:pPr>
            <w:r w:rsidRPr="007F1C63">
              <w:rPr>
                <w:b/>
                <w:sz w:val="20"/>
                <w:szCs w:val="20"/>
              </w:rPr>
              <w:t>Suma (v EUR)</w:t>
            </w:r>
          </w:p>
        </w:tc>
      </w:tr>
      <w:tr w:rsidR="007F1C63" w:rsidRPr="007F1C63" w:rsidTr="007F1C63">
        <w:trPr>
          <w:trHeight w:val="255"/>
          <w:jc w:val="center"/>
        </w:trPr>
        <w:tc>
          <w:tcPr>
            <w:tcW w:w="4928" w:type="dxa"/>
            <w:vAlign w:val="center"/>
          </w:tcPr>
          <w:p w:rsidR="007F1C63" w:rsidRPr="007F1C63" w:rsidRDefault="007F1C63" w:rsidP="00497902">
            <w:pPr>
              <w:ind w:left="0"/>
              <w:rPr>
                <w:sz w:val="20"/>
                <w:szCs w:val="20"/>
              </w:rPr>
            </w:pPr>
            <w:r w:rsidRPr="007F1C63">
              <w:rPr>
                <w:sz w:val="20"/>
                <w:szCs w:val="20"/>
              </w:rPr>
              <w:t xml:space="preserve">Prioritná os </w:t>
            </w:r>
            <w:r w:rsidR="00497902">
              <w:rPr>
                <w:sz w:val="20"/>
                <w:szCs w:val="20"/>
              </w:rPr>
              <w:t>7</w:t>
            </w:r>
            <w:r w:rsidR="00497902" w:rsidRPr="007F1C63">
              <w:rPr>
                <w:sz w:val="20"/>
                <w:szCs w:val="20"/>
              </w:rPr>
              <w:t xml:space="preserve"> – </w:t>
            </w:r>
            <w:r w:rsidR="00497902">
              <w:rPr>
                <w:sz w:val="20"/>
                <w:szCs w:val="20"/>
              </w:rPr>
              <w:t>Informačná spoločnosť</w:t>
            </w:r>
          </w:p>
        </w:tc>
        <w:tc>
          <w:tcPr>
            <w:tcW w:w="2126" w:type="dxa"/>
            <w:vAlign w:val="center"/>
          </w:tcPr>
          <w:p w:rsidR="007F1C63" w:rsidRPr="007F1C63" w:rsidRDefault="00497902" w:rsidP="007F1C63">
            <w:pPr>
              <w:ind w:left="0"/>
              <w:jc w:val="center"/>
              <w:rPr>
                <w:sz w:val="20"/>
                <w:szCs w:val="20"/>
              </w:rPr>
            </w:pPr>
            <w:r>
              <w:rPr>
                <w:sz w:val="20"/>
                <w:szCs w:val="20"/>
              </w:rPr>
              <w:t>0</w:t>
            </w:r>
            <w:r w:rsidR="00283128">
              <w:rPr>
                <w:sz w:val="20"/>
                <w:szCs w:val="20"/>
              </w:rPr>
              <w:t>7</w:t>
            </w:r>
          </w:p>
        </w:tc>
        <w:tc>
          <w:tcPr>
            <w:tcW w:w="2044" w:type="dxa"/>
            <w:vAlign w:val="center"/>
          </w:tcPr>
          <w:p w:rsidR="007F1C63" w:rsidRPr="007F1C63" w:rsidRDefault="00497902" w:rsidP="007F1C63">
            <w:pPr>
              <w:ind w:left="0"/>
              <w:jc w:val="center"/>
              <w:rPr>
                <w:sz w:val="20"/>
                <w:szCs w:val="20"/>
                <w:lang w:val="en-US"/>
              </w:rPr>
            </w:pPr>
            <w:r>
              <w:rPr>
                <w:sz w:val="18"/>
                <w:szCs w:val="18"/>
              </w:rPr>
              <w:t>841 016 752</w:t>
            </w:r>
          </w:p>
        </w:tc>
      </w:tr>
    </w:tbl>
    <w:p w:rsidR="007F1C63" w:rsidRPr="007F1C63" w:rsidRDefault="007F1C63" w:rsidP="000767A2">
      <w:pPr>
        <w:pStyle w:val="Nadpis3"/>
        <w:jc w:val="both"/>
      </w:pPr>
      <w:bookmarkStart w:id="83" w:name="_Toc385310732"/>
      <w:r w:rsidRPr="007F1C63">
        <w:t>Súhrn plánovaného využitia technickej pomoci vrátane, ak je to vhodné, akcií na posilnenie administratívnej kapacity orgánov zapojených do riadenia a kontroly programu a prijímateľov (ak je to vhodné)</w:t>
      </w:r>
      <w:bookmarkEnd w:id="83"/>
    </w:p>
    <w:p w:rsidR="007F1C63" w:rsidRDefault="007F1C63" w:rsidP="007F1C63">
      <w:pPr>
        <w:rPr>
          <w:sz w:val="22"/>
          <w:szCs w:val="22"/>
        </w:rPr>
      </w:pPr>
      <w:r w:rsidRPr="007F1C63">
        <w:rPr>
          <w:sz w:val="22"/>
          <w:szCs w:val="22"/>
        </w:rPr>
        <w:t>N/A</w:t>
      </w:r>
    </w:p>
    <w:p w:rsidR="0022234B" w:rsidRDefault="0022234B" w:rsidP="007F1C63">
      <w:pPr>
        <w:rPr>
          <w:sz w:val="22"/>
          <w:szCs w:val="22"/>
        </w:rPr>
      </w:pPr>
    </w:p>
    <w:p w:rsidR="0022234B" w:rsidRDefault="0022234B" w:rsidP="0022234B">
      <w:pPr>
        <w:pStyle w:val="PRIORITNA"/>
        <w:numPr>
          <w:ilvl w:val="0"/>
          <w:numId w:val="0"/>
        </w:numPr>
        <w:rPr>
          <w:iCs w:val="0"/>
          <w:color w:val="1F497D" w:themeColor="text2"/>
          <w:sz w:val="22"/>
          <w:szCs w:val="26"/>
        </w:rPr>
        <w:sectPr w:rsidR="0022234B" w:rsidSect="00D1658B">
          <w:headerReference w:type="default" r:id="rId27"/>
          <w:pgSz w:w="11906" w:h="16838"/>
          <w:pgMar w:top="1418" w:right="1361" w:bottom="1304" w:left="1474" w:header="709" w:footer="709" w:gutter="0"/>
          <w:cols w:space="708"/>
          <w:docGrid w:linePitch="360"/>
        </w:sectPr>
      </w:pPr>
    </w:p>
    <w:p w:rsidR="0022234B" w:rsidRPr="008E22E0" w:rsidRDefault="0022234B" w:rsidP="0022234B">
      <w:pPr>
        <w:pStyle w:val="PRIORITNA"/>
        <w:numPr>
          <w:ilvl w:val="0"/>
          <w:numId w:val="0"/>
        </w:numPr>
        <w:rPr>
          <w:iCs w:val="0"/>
          <w:color w:val="1F497D" w:themeColor="text2"/>
          <w:sz w:val="22"/>
          <w:szCs w:val="26"/>
        </w:rPr>
      </w:pPr>
      <w:bookmarkStart w:id="84" w:name="_Toc385310733"/>
      <w:r w:rsidRPr="008E22E0">
        <w:rPr>
          <w:iCs w:val="0"/>
          <w:color w:val="1F497D" w:themeColor="text2"/>
          <w:sz w:val="22"/>
          <w:szCs w:val="26"/>
        </w:rPr>
        <w:lastRenderedPageBreak/>
        <w:t xml:space="preserve">Popis prioritných osí </w:t>
      </w:r>
      <w:r w:rsidR="00262A8A">
        <w:rPr>
          <w:iCs w:val="0"/>
          <w:color w:val="1F497D" w:themeColor="text2"/>
          <w:sz w:val="22"/>
          <w:szCs w:val="26"/>
        </w:rPr>
        <w:t>pre technickú pomoc</w:t>
      </w:r>
      <w:bookmarkEnd w:id="84"/>
    </w:p>
    <w:p w:rsidR="0022234B" w:rsidRDefault="0022234B" w:rsidP="0022234B">
      <w:pPr>
        <w:pStyle w:val="Nadpis2"/>
      </w:pPr>
      <w:bookmarkStart w:id="85" w:name="_Toc385310734"/>
      <w:r>
        <w:t xml:space="preserve">Prioritná os </w:t>
      </w:r>
      <w:r w:rsidR="00441642">
        <w:t>8</w:t>
      </w:r>
      <w:r>
        <w:t xml:space="preserve"> – </w:t>
      </w:r>
      <w:r w:rsidR="00441642">
        <w:t>Technická pomoc</w:t>
      </w:r>
      <w:bookmarkEnd w:id="85"/>
    </w:p>
    <w:tbl>
      <w:tblPr>
        <w:tblW w:w="793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396"/>
        <w:gridCol w:w="3542"/>
      </w:tblGrid>
      <w:tr w:rsidR="00960BB9" w:rsidRPr="00B0529F" w:rsidTr="00EF2741">
        <w:trPr>
          <w:trHeight w:val="284"/>
          <w:jc w:val="center"/>
        </w:trPr>
        <w:tc>
          <w:tcPr>
            <w:tcW w:w="4396" w:type="dxa"/>
            <w:shd w:val="clear" w:color="auto" w:fill="DBE5F1"/>
            <w:vAlign w:val="center"/>
          </w:tcPr>
          <w:p w:rsidR="00960BB9" w:rsidRPr="00B0529F" w:rsidRDefault="00960BB9" w:rsidP="00EF2741">
            <w:pPr>
              <w:jc w:val="both"/>
            </w:pPr>
            <w:r w:rsidRPr="00B0529F">
              <w:rPr>
                <w:b/>
                <w:i/>
              </w:rPr>
              <w:t>ID prioritnej osi</w:t>
            </w:r>
          </w:p>
        </w:tc>
        <w:tc>
          <w:tcPr>
            <w:tcW w:w="3542" w:type="dxa"/>
            <w:shd w:val="clear" w:color="auto" w:fill="auto"/>
            <w:vAlign w:val="center"/>
          </w:tcPr>
          <w:p w:rsidR="00960BB9" w:rsidRPr="00B0529F" w:rsidRDefault="00960BB9" w:rsidP="00EF2741">
            <w:pPr>
              <w:jc w:val="both"/>
              <w:rPr>
                <w:b/>
                <w:bCs/>
                <w:iCs/>
              </w:rPr>
            </w:pPr>
          </w:p>
        </w:tc>
      </w:tr>
      <w:tr w:rsidR="00960BB9" w:rsidRPr="00B0529F" w:rsidTr="00EF2741">
        <w:trPr>
          <w:trHeight w:val="284"/>
          <w:jc w:val="center"/>
        </w:trPr>
        <w:tc>
          <w:tcPr>
            <w:tcW w:w="4396" w:type="dxa"/>
            <w:shd w:val="clear" w:color="auto" w:fill="DBE5F1"/>
            <w:vAlign w:val="center"/>
          </w:tcPr>
          <w:p w:rsidR="00960BB9" w:rsidRPr="00B0529F" w:rsidRDefault="00960BB9" w:rsidP="00EF2741">
            <w:pPr>
              <w:jc w:val="both"/>
              <w:rPr>
                <w:b/>
                <w:i/>
              </w:rPr>
            </w:pPr>
            <w:r w:rsidRPr="00B0529F">
              <w:rPr>
                <w:b/>
                <w:i/>
              </w:rPr>
              <w:t>Názov prioritnej osi</w:t>
            </w:r>
          </w:p>
        </w:tc>
        <w:tc>
          <w:tcPr>
            <w:tcW w:w="3542" w:type="dxa"/>
            <w:shd w:val="clear" w:color="auto" w:fill="auto"/>
            <w:vAlign w:val="center"/>
          </w:tcPr>
          <w:p w:rsidR="00960BB9" w:rsidRPr="00B0529F" w:rsidRDefault="00960BB9" w:rsidP="00EF2741">
            <w:pPr>
              <w:jc w:val="both"/>
            </w:pPr>
            <w:r w:rsidRPr="00B0529F">
              <w:t>Technická pomoc</w:t>
            </w:r>
          </w:p>
        </w:tc>
      </w:tr>
    </w:tbl>
    <w:p w:rsidR="00960BB9" w:rsidRDefault="00960BB9" w:rsidP="00960BB9">
      <w:pPr>
        <w:jc w:val="both"/>
      </w:pPr>
    </w:p>
    <w:p w:rsidR="00960BB9" w:rsidRPr="004D0123" w:rsidRDefault="00960BB9" w:rsidP="00960BB9">
      <w:pPr>
        <w:jc w:val="both"/>
        <w:rPr>
          <w:sz w:val="22"/>
          <w:szCs w:val="22"/>
        </w:rPr>
      </w:pPr>
      <w:r w:rsidRPr="004D0123">
        <w:rPr>
          <w:sz w:val="22"/>
          <w:szCs w:val="22"/>
        </w:rPr>
        <w:t>Cieľom prioritnej osi č. 8 Technická pomoc je podporiť kvalitu implementácie OP II tak, aby boli dosiahnuté všetky ciele OP II, ktoré predstavujú priority SR v oblasti budovania a modernizácie dopravnej infraštruktúry, rozvoja verejnej osobnej dopravy a rozvoja informačnej spoločnosti.</w:t>
      </w:r>
    </w:p>
    <w:p w:rsidR="00960BB9" w:rsidRPr="004D0123" w:rsidRDefault="00960BB9" w:rsidP="00960BB9">
      <w:pPr>
        <w:spacing w:before="180"/>
        <w:jc w:val="both"/>
        <w:rPr>
          <w:sz w:val="22"/>
          <w:szCs w:val="22"/>
        </w:rPr>
      </w:pPr>
      <w:r w:rsidRPr="004D0123">
        <w:rPr>
          <w:sz w:val="22"/>
          <w:szCs w:val="22"/>
        </w:rPr>
        <w:t>Naplnenie špecifických cieľov jednotlivých prioritných osí bude podporené zabezpečením procesov na všet</w:t>
      </w:r>
      <w:r>
        <w:rPr>
          <w:sz w:val="22"/>
          <w:szCs w:val="22"/>
        </w:rPr>
        <w:t>kých úrovniach implementácie OP</w:t>
      </w:r>
      <w:r w:rsidRPr="004D0123">
        <w:rPr>
          <w:sz w:val="22"/>
          <w:szCs w:val="22"/>
        </w:rPr>
        <w:t>II (príprava, riadenie, monitorovanie, hodnotenie, informovanie a komunikácia, budovanie sietí, riešenie sťažností, kontrola a audit) a to podporou útvarov</w:t>
      </w:r>
      <w:r>
        <w:rPr>
          <w:sz w:val="22"/>
          <w:szCs w:val="22"/>
        </w:rPr>
        <w:t xml:space="preserve"> zapojených do implementácie OP</w:t>
      </w:r>
      <w:r w:rsidRPr="004D0123">
        <w:rPr>
          <w:sz w:val="22"/>
          <w:szCs w:val="22"/>
        </w:rPr>
        <w:t>II na úrovni riadiacich a kontrolných</w:t>
      </w:r>
      <w:r>
        <w:rPr>
          <w:sz w:val="22"/>
          <w:szCs w:val="22"/>
        </w:rPr>
        <w:t xml:space="preserve"> orgánov (Riadiaci orgán pre OP</w:t>
      </w:r>
      <w:r w:rsidRPr="004D0123">
        <w:rPr>
          <w:sz w:val="22"/>
          <w:szCs w:val="22"/>
        </w:rPr>
        <w:t>II, SORO, Platobná jednotka, kontrola a audit), ako aj podporou na úrovni oprávnených prijímateľov.</w:t>
      </w:r>
    </w:p>
    <w:p w:rsidR="00960BB9" w:rsidRPr="004D0123" w:rsidRDefault="00960BB9" w:rsidP="00960BB9">
      <w:pPr>
        <w:spacing w:before="180"/>
        <w:jc w:val="both"/>
        <w:rPr>
          <w:sz w:val="22"/>
          <w:szCs w:val="22"/>
        </w:rPr>
      </w:pPr>
      <w:r w:rsidRPr="004D0123">
        <w:rPr>
          <w:sz w:val="22"/>
          <w:szCs w:val="22"/>
        </w:rPr>
        <w:t>Ďalším cieľom technickej pomoci je zabezpečenie efektívnej komunikácie OPII, t. j. prostriedky technickej pomoci budú taktiež vynakladané na šírenie povedomia o podpore EÚ, s pomocou ktorej SR implementuje projekty zamerané na rozvoj dopravy a informačnej spoločnosti.</w:t>
      </w:r>
    </w:p>
    <w:p w:rsidR="00960BB9" w:rsidRPr="004D0123" w:rsidRDefault="00960BB9" w:rsidP="00960BB9">
      <w:pPr>
        <w:spacing w:before="180"/>
        <w:jc w:val="both"/>
        <w:rPr>
          <w:sz w:val="22"/>
          <w:szCs w:val="22"/>
        </w:rPr>
      </w:pPr>
      <w:r w:rsidRPr="004D0123">
        <w:rPr>
          <w:sz w:val="22"/>
          <w:szCs w:val="22"/>
        </w:rPr>
        <w:t>Aktivity spojené s dosahovaním špecifických cieľov prioritnej osi 8 a s nimi súvisiace typy výdavkov budú oprávnené aj pre prípravu budúceho programového obdobia a ukončovanie pomoci programového obdobia 2007 - 2013.</w:t>
      </w:r>
    </w:p>
    <w:p w:rsidR="00960BB9" w:rsidRDefault="00960BB9" w:rsidP="00960BB9">
      <w:pPr>
        <w:pStyle w:val="Nadpis3"/>
      </w:pPr>
      <w:bookmarkStart w:id="86" w:name="_Toc383719715"/>
      <w:bookmarkStart w:id="87" w:name="_Toc385310735"/>
      <w:r>
        <w:t>Fond, kategória regiónu a základ pre výpočet podpory Únie</w:t>
      </w:r>
      <w:bookmarkEnd w:id="86"/>
      <w:bookmarkEnd w:id="87"/>
    </w:p>
    <w:tbl>
      <w:tblPr>
        <w:tblStyle w:val="Mriekatabuky"/>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042"/>
        <w:gridCol w:w="3361"/>
      </w:tblGrid>
      <w:tr w:rsidR="00960BB9" w:rsidTr="00EF2741">
        <w:trPr>
          <w:trHeight w:val="255"/>
          <w:jc w:val="center"/>
        </w:trPr>
        <w:tc>
          <w:tcPr>
            <w:tcW w:w="4042" w:type="dxa"/>
            <w:shd w:val="clear" w:color="auto" w:fill="DBE5F1" w:themeFill="accent1" w:themeFillTint="33"/>
            <w:vAlign w:val="center"/>
          </w:tcPr>
          <w:p w:rsidR="00960BB9" w:rsidRPr="00D75844" w:rsidRDefault="00960BB9" w:rsidP="00EF2741">
            <w:pPr>
              <w:ind w:left="0"/>
              <w:rPr>
                <w:b/>
                <w:i/>
                <w:sz w:val="20"/>
                <w:szCs w:val="20"/>
              </w:rPr>
            </w:pPr>
            <w:r w:rsidRPr="00D75844">
              <w:rPr>
                <w:b/>
                <w:i/>
                <w:sz w:val="20"/>
                <w:szCs w:val="20"/>
              </w:rPr>
              <w:t>Fond</w:t>
            </w:r>
          </w:p>
        </w:tc>
        <w:tc>
          <w:tcPr>
            <w:tcW w:w="3361" w:type="dxa"/>
            <w:vAlign w:val="center"/>
          </w:tcPr>
          <w:p w:rsidR="00960BB9" w:rsidRPr="00D75844" w:rsidRDefault="00960BB9" w:rsidP="00EF2741">
            <w:pPr>
              <w:ind w:left="0"/>
              <w:rPr>
                <w:sz w:val="20"/>
                <w:szCs w:val="20"/>
              </w:rPr>
            </w:pPr>
            <w:r w:rsidRPr="00D75844">
              <w:rPr>
                <w:sz w:val="20"/>
                <w:szCs w:val="20"/>
              </w:rPr>
              <w:t>EFRR</w:t>
            </w:r>
          </w:p>
        </w:tc>
      </w:tr>
      <w:tr w:rsidR="00960BB9" w:rsidTr="00EF2741">
        <w:trPr>
          <w:trHeight w:val="255"/>
          <w:jc w:val="center"/>
        </w:trPr>
        <w:tc>
          <w:tcPr>
            <w:tcW w:w="4042" w:type="dxa"/>
            <w:shd w:val="clear" w:color="auto" w:fill="DBE5F1" w:themeFill="accent1" w:themeFillTint="33"/>
            <w:vAlign w:val="center"/>
          </w:tcPr>
          <w:p w:rsidR="00960BB9" w:rsidRPr="00D75844" w:rsidRDefault="00960BB9" w:rsidP="00EF2741">
            <w:pPr>
              <w:ind w:left="0"/>
              <w:rPr>
                <w:b/>
                <w:i/>
                <w:sz w:val="20"/>
                <w:szCs w:val="20"/>
              </w:rPr>
            </w:pPr>
            <w:r w:rsidRPr="00D75844">
              <w:rPr>
                <w:b/>
                <w:i/>
                <w:sz w:val="20"/>
                <w:szCs w:val="20"/>
              </w:rPr>
              <w:t>Kategória regiónu</w:t>
            </w:r>
          </w:p>
        </w:tc>
        <w:tc>
          <w:tcPr>
            <w:tcW w:w="3361" w:type="dxa"/>
            <w:vAlign w:val="center"/>
          </w:tcPr>
          <w:p w:rsidR="00960BB9" w:rsidRPr="00D75844" w:rsidRDefault="00960BB9" w:rsidP="00EF2741">
            <w:pPr>
              <w:ind w:left="0"/>
              <w:rPr>
                <w:sz w:val="20"/>
                <w:szCs w:val="20"/>
              </w:rPr>
            </w:pPr>
            <w:r w:rsidRPr="00D75844">
              <w:rPr>
                <w:sz w:val="20"/>
                <w:szCs w:val="20"/>
              </w:rPr>
              <w:t>N/A</w:t>
            </w:r>
          </w:p>
        </w:tc>
      </w:tr>
      <w:tr w:rsidR="00960BB9" w:rsidTr="00EF2741">
        <w:trPr>
          <w:trHeight w:val="255"/>
          <w:jc w:val="center"/>
        </w:trPr>
        <w:tc>
          <w:tcPr>
            <w:tcW w:w="4042" w:type="dxa"/>
            <w:shd w:val="clear" w:color="auto" w:fill="DBE5F1" w:themeFill="accent1" w:themeFillTint="33"/>
            <w:vAlign w:val="center"/>
          </w:tcPr>
          <w:p w:rsidR="00960BB9" w:rsidRPr="00D75844" w:rsidRDefault="00960BB9" w:rsidP="00EF2741">
            <w:pPr>
              <w:ind w:left="0"/>
              <w:rPr>
                <w:b/>
                <w:i/>
                <w:sz w:val="20"/>
                <w:szCs w:val="20"/>
              </w:rPr>
            </w:pPr>
            <w:r w:rsidRPr="00D75844">
              <w:rPr>
                <w:b/>
                <w:i/>
                <w:sz w:val="20"/>
                <w:szCs w:val="20"/>
              </w:rPr>
              <w:t>Základ pre výpočet (celkový príspevok)</w:t>
            </w:r>
          </w:p>
        </w:tc>
        <w:tc>
          <w:tcPr>
            <w:tcW w:w="3361" w:type="dxa"/>
            <w:vAlign w:val="center"/>
          </w:tcPr>
          <w:p w:rsidR="00960BB9" w:rsidRPr="00D75844" w:rsidRDefault="00960BB9" w:rsidP="00EF2741">
            <w:pPr>
              <w:ind w:left="0"/>
              <w:rPr>
                <w:sz w:val="20"/>
                <w:szCs w:val="20"/>
                <w:lang w:val="en-US"/>
              </w:rPr>
            </w:pPr>
            <w:r>
              <w:rPr>
                <w:sz w:val="20"/>
                <w:szCs w:val="20"/>
                <w:lang w:val="en-US"/>
              </w:rPr>
              <w:t>85 000 000</w:t>
            </w:r>
          </w:p>
        </w:tc>
      </w:tr>
    </w:tbl>
    <w:p w:rsidR="00960BB9" w:rsidRDefault="00960BB9" w:rsidP="00960BB9">
      <w:pPr>
        <w:pStyle w:val="Nadpis3"/>
      </w:pPr>
      <w:bookmarkStart w:id="88" w:name="_Toc383719716"/>
      <w:bookmarkStart w:id="89" w:name="_Toc385310736"/>
      <w:r w:rsidRPr="007A5492">
        <w:t>Špecifické ciele pre investičné priority a očakávané výsledky</w:t>
      </w:r>
      <w:bookmarkEnd w:id="88"/>
      <w:bookmarkEnd w:id="89"/>
    </w:p>
    <w:p w:rsidR="00960BB9" w:rsidRPr="004F0234" w:rsidRDefault="00960BB9" w:rsidP="002E1021">
      <w:pPr>
        <w:shd w:val="clear" w:color="auto" w:fill="FFFFCC"/>
        <w:jc w:val="both"/>
        <w:rPr>
          <w:b/>
          <w:i/>
        </w:rPr>
      </w:pPr>
      <w:r w:rsidRPr="004F0234">
        <w:rPr>
          <w:i/>
        </w:rPr>
        <w:t xml:space="preserve">ŠPECIFICKÝ CIEĽ </w:t>
      </w:r>
      <w:r>
        <w:rPr>
          <w:i/>
        </w:rPr>
        <w:t>8.1</w:t>
      </w:r>
      <w:r w:rsidRPr="004F0234">
        <w:rPr>
          <w:i/>
        </w:rPr>
        <w:t xml:space="preserve">: </w:t>
      </w:r>
      <w:r w:rsidRPr="007C0E65">
        <w:rPr>
          <w:b/>
          <w:i/>
        </w:rPr>
        <w:t>Zabezpečenie podpory OPII prostredníctvom stabilizácie p</w:t>
      </w:r>
      <w:r w:rsidR="00EF2741">
        <w:rPr>
          <w:b/>
          <w:i/>
        </w:rPr>
        <w:t>ersonálnych kapacít a zvýšenia</w:t>
      </w:r>
      <w:r w:rsidRPr="007C0E65">
        <w:rPr>
          <w:b/>
          <w:i/>
        </w:rPr>
        <w:t xml:space="preserve"> ich odborných kompetencií</w:t>
      </w:r>
    </w:p>
    <w:p w:rsidR="00960BB9" w:rsidRDefault="00EF2741" w:rsidP="00960BB9">
      <w:pPr>
        <w:spacing w:before="180"/>
        <w:jc w:val="both"/>
        <w:rPr>
          <w:color w:val="0F243E"/>
          <w:sz w:val="22"/>
          <w:szCs w:val="22"/>
        </w:rPr>
      </w:pPr>
      <w:r>
        <w:rPr>
          <w:color w:val="0F243E"/>
          <w:sz w:val="22"/>
          <w:szCs w:val="22"/>
        </w:rPr>
        <w:t>Cieľom</w:t>
      </w:r>
      <w:r w:rsidR="00960BB9" w:rsidRPr="007C0E65">
        <w:rPr>
          <w:color w:val="0F243E"/>
          <w:sz w:val="22"/>
          <w:szCs w:val="22"/>
        </w:rPr>
        <w:t xml:space="preserve"> je zabezpečiť vykonávanie implementácie OPII kvalitnými administratívnymi kapacitami. Kvalita týchto kapacít bude dosiahnutá ich personálnou stabilizáciou a systematickým vzdelávaním.</w:t>
      </w:r>
    </w:p>
    <w:p w:rsidR="00960BB9" w:rsidRDefault="00960BB9" w:rsidP="00960BB9">
      <w:pPr>
        <w:pStyle w:val="Tab"/>
      </w:pPr>
      <w:r>
        <w:t>Zoznam ukazovateľov výsledkov vzťahujúcich sa na špecifický cieľ 8.1</w:t>
      </w:r>
    </w:p>
    <w:tbl>
      <w:tblPr>
        <w:tblStyle w:val="Mriekatabuky"/>
        <w:tblW w:w="923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75"/>
        <w:gridCol w:w="1640"/>
        <w:gridCol w:w="986"/>
        <w:gridCol w:w="1423"/>
        <w:gridCol w:w="1423"/>
        <w:gridCol w:w="994"/>
        <w:gridCol w:w="863"/>
        <w:gridCol w:w="1326"/>
      </w:tblGrid>
      <w:tr w:rsidR="00960BB9" w:rsidTr="00EF2741">
        <w:trPr>
          <w:trHeight w:val="487"/>
          <w:jc w:val="center"/>
        </w:trPr>
        <w:tc>
          <w:tcPr>
            <w:tcW w:w="575" w:type="dxa"/>
            <w:shd w:val="clear" w:color="auto" w:fill="C6D9F1" w:themeFill="text2" w:themeFillTint="33"/>
            <w:vAlign w:val="center"/>
          </w:tcPr>
          <w:p w:rsidR="00960BB9" w:rsidRPr="008C1732" w:rsidRDefault="00960BB9" w:rsidP="00EF2741">
            <w:pPr>
              <w:ind w:left="0"/>
              <w:jc w:val="center"/>
              <w:rPr>
                <w:b/>
                <w:sz w:val="18"/>
                <w:szCs w:val="18"/>
              </w:rPr>
            </w:pPr>
            <w:r>
              <w:rPr>
                <w:b/>
                <w:sz w:val="18"/>
                <w:szCs w:val="18"/>
              </w:rPr>
              <w:t>P. č.</w:t>
            </w:r>
          </w:p>
        </w:tc>
        <w:tc>
          <w:tcPr>
            <w:tcW w:w="1640"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Ukazovateľ</w:t>
            </w:r>
          </w:p>
        </w:tc>
        <w:tc>
          <w:tcPr>
            <w:tcW w:w="986"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Merná jednotka</w:t>
            </w:r>
          </w:p>
        </w:tc>
        <w:tc>
          <w:tcPr>
            <w:tcW w:w="1423" w:type="dxa"/>
            <w:shd w:val="clear" w:color="auto" w:fill="C6D9F1" w:themeFill="text2" w:themeFillTint="33"/>
            <w:vAlign w:val="center"/>
          </w:tcPr>
          <w:p w:rsidR="00960BB9" w:rsidRPr="008C1732" w:rsidRDefault="00960BB9" w:rsidP="00EF2741">
            <w:pPr>
              <w:ind w:left="0"/>
              <w:jc w:val="center"/>
              <w:rPr>
                <w:b/>
                <w:sz w:val="18"/>
                <w:szCs w:val="18"/>
              </w:rPr>
            </w:pPr>
            <w:r>
              <w:rPr>
                <w:b/>
                <w:sz w:val="18"/>
                <w:szCs w:val="18"/>
              </w:rPr>
              <w:t>Východisková hodnota</w:t>
            </w:r>
          </w:p>
        </w:tc>
        <w:tc>
          <w:tcPr>
            <w:tcW w:w="1423" w:type="dxa"/>
            <w:shd w:val="clear" w:color="auto" w:fill="C6D9F1" w:themeFill="text2" w:themeFillTint="33"/>
            <w:vAlign w:val="center"/>
          </w:tcPr>
          <w:p w:rsidR="00960BB9" w:rsidRPr="008C1732" w:rsidRDefault="00960BB9" w:rsidP="00EF2741">
            <w:pPr>
              <w:ind w:left="0"/>
              <w:jc w:val="center"/>
              <w:rPr>
                <w:b/>
                <w:sz w:val="18"/>
                <w:szCs w:val="18"/>
              </w:rPr>
            </w:pPr>
            <w:r>
              <w:rPr>
                <w:b/>
                <w:sz w:val="18"/>
                <w:szCs w:val="18"/>
              </w:rPr>
              <w:t>Východiskový rok</w:t>
            </w:r>
          </w:p>
        </w:tc>
        <w:tc>
          <w:tcPr>
            <w:tcW w:w="994"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Cieľová hodnota (2023)</w:t>
            </w:r>
          </w:p>
        </w:tc>
        <w:tc>
          <w:tcPr>
            <w:tcW w:w="863"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Zdroj údajov</w:t>
            </w:r>
          </w:p>
        </w:tc>
        <w:tc>
          <w:tcPr>
            <w:tcW w:w="1326"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Frekvencia vykazovania</w:t>
            </w:r>
          </w:p>
        </w:tc>
      </w:tr>
      <w:tr w:rsidR="00960BB9" w:rsidTr="00EF2741">
        <w:trPr>
          <w:trHeight w:val="680"/>
          <w:jc w:val="center"/>
        </w:trPr>
        <w:tc>
          <w:tcPr>
            <w:tcW w:w="575" w:type="dxa"/>
            <w:shd w:val="clear" w:color="auto" w:fill="auto"/>
            <w:vAlign w:val="center"/>
          </w:tcPr>
          <w:p w:rsidR="00960BB9" w:rsidRPr="00336C1F" w:rsidRDefault="00960BB9" w:rsidP="00EF2741">
            <w:pPr>
              <w:ind w:left="0"/>
              <w:jc w:val="center"/>
              <w:rPr>
                <w:sz w:val="20"/>
                <w:szCs w:val="20"/>
              </w:rPr>
            </w:pPr>
            <w:r>
              <w:rPr>
                <w:sz w:val="20"/>
                <w:szCs w:val="20"/>
              </w:rPr>
              <w:t>1.</w:t>
            </w:r>
          </w:p>
        </w:tc>
        <w:tc>
          <w:tcPr>
            <w:tcW w:w="1640" w:type="dxa"/>
            <w:shd w:val="clear" w:color="auto" w:fill="auto"/>
            <w:vAlign w:val="center"/>
          </w:tcPr>
          <w:p w:rsidR="00960BB9" w:rsidRPr="00AB18C1" w:rsidRDefault="00960BB9" w:rsidP="00EF2741">
            <w:pPr>
              <w:ind w:left="0"/>
              <w:rPr>
                <w:sz w:val="20"/>
                <w:szCs w:val="20"/>
              </w:rPr>
            </w:pPr>
            <w:r>
              <w:rPr>
                <w:sz w:val="18"/>
              </w:rPr>
              <w:t>Miera fluktuácie administratívnych kapacít</w:t>
            </w:r>
          </w:p>
        </w:tc>
        <w:tc>
          <w:tcPr>
            <w:tcW w:w="986" w:type="dxa"/>
            <w:shd w:val="clear" w:color="auto" w:fill="auto"/>
            <w:vAlign w:val="center"/>
          </w:tcPr>
          <w:p w:rsidR="00960BB9" w:rsidRPr="00D504A0" w:rsidRDefault="00960BB9" w:rsidP="00EF2741">
            <w:pPr>
              <w:autoSpaceDE w:val="0"/>
              <w:autoSpaceDN w:val="0"/>
              <w:adjustRightInd w:val="0"/>
              <w:ind w:left="0"/>
              <w:jc w:val="center"/>
              <w:rPr>
                <w:sz w:val="18"/>
              </w:rPr>
            </w:pPr>
            <w:r w:rsidRPr="00D504A0">
              <w:rPr>
                <w:sz w:val="18"/>
              </w:rPr>
              <w:t>%</w:t>
            </w:r>
          </w:p>
        </w:tc>
        <w:tc>
          <w:tcPr>
            <w:tcW w:w="1423" w:type="dxa"/>
            <w:vAlign w:val="center"/>
          </w:tcPr>
          <w:p w:rsidR="00960BB9" w:rsidRPr="007A5492" w:rsidRDefault="00960BB9" w:rsidP="00EF2741">
            <w:pPr>
              <w:autoSpaceDE w:val="0"/>
              <w:autoSpaceDN w:val="0"/>
              <w:adjustRightInd w:val="0"/>
              <w:ind w:left="0"/>
              <w:jc w:val="center"/>
              <w:rPr>
                <w:sz w:val="18"/>
              </w:rPr>
            </w:pPr>
          </w:p>
        </w:tc>
        <w:tc>
          <w:tcPr>
            <w:tcW w:w="1423" w:type="dxa"/>
            <w:vAlign w:val="center"/>
          </w:tcPr>
          <w:p w:rsidR="00960BB9" w:rsidRPr="007A5492" w:rsidRDefault="00EF2741" w:rsidP="00EF2741">
            <w:pPr>
              <w:autoSpaceDE w:val="0"/>
              <w:autoSpaceDN w:val="0"/>
              <w:adjustRightInd w:val="0"/>
              <w:ind w:left="0"/>
              <w:jc w:val="center"/>
              <w:rPr>
                <w:sz w:val="18"/>
              </w:rPr>
            </w:pPr>
            <w:r>
              <w:rPr>
                <w:sz w:val="18"/>
              </w:rPr>
              <w:t>2013</w:t>
            </w:r>
          </w:p>
        </w:tc>
        <w:tc>
          <w:tcPr>
            <w:tcW w:w="994" w:type="dxa"/>
            <w:shd w:val="clear" w:color="auto" w:fill="auto"/>
            <w:vAlign w:val="center"/>
          </w:tcPr>
          <w:p w:rsidR="00960BB9" w:rsidRPr="007A5492" w:rsidRDefault="00960BB9" w:rsidP="00EF2741">
            <w:pPr>
              <w:autoSpaceDE w:val="0"/>
              <w:autoSpaceDN w:val="0"/>
              <w:adjustRightInd w:val="0"/>
              <w:ind w:left="0"/>
              <w:jc w:val="center"/>
              <w:rPr>
                <w:sz w:val="18"/>
              </w:rPr>
            </w:pPr>
          </w:p>
        </w:tc>
        <w:tc>
          <w:tcPr>
            <w:tcW w:w="863" w:type="dxa"/>
            <w:vAlign w:val="center"/>
          </w:tcPr>
          <w:p w:rsidR="00960BB9" w:rsidRPr="007A5492" w:rsidRDefault="00960BB9" w:rsidP="00EF2741">
            <w:pPr>
              <w:autoSpaceDE w:val="0"/>
              <w:autoSpaceDN w:val="0"/>
              <w:adjustRightInd w:val="0"/>
              <w:ind w:left="0"/>
              <w:jc w:val="center"/>
              <w:rPr>
                <w:sz w:val="18"/>
              </w:rPr>
            </w:pPr>
            <w:r w:rsidRPr="007A5492">
              <w:rPr>
                <w:sz w:val="18"/>
              </w:rPr>
              <w:t>RO OPII</w:t>
            </w:r>
          </w:p>
        </w:tc>
        <w:tc>
          <w:tcPr>
            <w:tcW w:w="1326" w:type="dxa"/>
            <w:vAlign w:val="center"/>
          </w:tcPr>
          <w:p w:rsidR="00960BB9" w:rsidRPr="00D504A0" w:rsidRDefault="00960BB9" w:rsidP="00EF2741">
            <w:pPr>
              <w:autoSpaceDE w:val="0"/>
              <w:autoSpaceDN w:val="0"/>
              <w:adjustRightInd w:val="0"/>
              <w:ind w:left="0"/>
              <w:jc w:val="center"/>
              <w:rPr>
                <w:sz w:val="18"/>
              </w:rPr>
            </w:pPr>
            <w:r w:rsidRPr="00D504A0">
              <w:rPr>
                <w:sz w:val="18"/>
              </w:rPr>
              <w:t>ročne</w:t>
            </w:r>
          </w:p>
        </w:tc>
      </w:tr>
    </w:tbl>
    <w:p w:rsidR="00960BB9" w:rsidRPr="00EF2741" w:rsidRDefault="00EF2741" w:rsidP="00EF2741">
      <w:pPr>
        <w:rPr>
          <w:sz w:val="20"/>
          <w:szCs w:val="20"/>
        </w:rPr>
      </w:pPr>
      <w:r w:rsidRPr="000C1600">
        <w:rPr>
          <w:sz w:val="20"/>
          <w:szCs w:val="20"/>
          <w:u w:val="single"/>
        </w:rPr>
        <w:t>Pozn</w:t>
      </w:r>
      <w:r w:rsidRPr="000C1600">
        <w:rPr>
          <w:sz w:val="20"/>
          <w:szCs w:val="20"/>
        </w:rPr>
        <w:t xml:space="preserve">.: Hodnoty ukazovateľov budú doplnené v ďalšom štádiu prípravy dokumentu. </w:t>
      </w:r>
    </w:p>
    <w:p w:rsidR="00960BB9" w:rsidRDefault="00960BB9" w:rsidP="00960BB9">
      <w:pPr>
        <w:pStyle w:val="Nadpis3"/>
      </w:pPr>
      <w:bookmarkStart w:id="90" w:name="_Toc383719717"/>
      <w:bookmarkStart w:id="91" w:name="_Toc385310737"/>
      <w:r w:rsidRPr="00027A15">
        <w:t>Aktivity</w:t>
      </w:r>
      <w:r>
        <w:t>, ktoré budú podporené a ich očakávaný prínos k špecifickému cieľu</w:t>
      </w:r>
      <w:bookmarkEnd w:id="90"/>
      <w:bookmarkEnd w:id="91"/>
    </w:p>
    <w:p w:rsidR="00960BB9" w:rsidRPr="00246FE6" w:rsidRDefault="00EF2741" w:rsidP="00960BB9">
      <w:pPr>
        <w:numPr>
          <w:ilvl w:val="2"/>
          <w:numId w:val="75"/>
        </w:numPr>
        <w:tabs>
          <w:tab w:val="clear" w:pos="360"/>
        </w:tabs>
        <w:ind w:left="426" w:hanging="426"/>
        <w:jc w:val="both"/>
        <w:rPr>
          <w:sz w:val="22"/>
          <w:szCs w:val="22"/>
        </w:rPr>
      </w:pPr>
      <w:r>
        <w:rPr>
          <w:sz w:val="22"/>
          <w:szCs w:val="22"/>
        </w:rPr>
        <w:t>Zapojenie odborných</w:t>
      </w:r>
      <w:r w:rsidR="00960BB9" w:rsidRPr="00246FE6">
        <w:rPr>
          <w:sz w:val="22"/>
          <w:szCs w:val="22"/>
        </w:rPr>
        <w:t xml:space="preserve"> administratívnych kapacít do implementácie OPII</w:t>
      </w:r>
      <w:r w:rsidR="00960BB9">
        <w:rPr>
          <w:sz w:val="22"/>
          <w:szCs w:val="22"/>
        </w:rPr>
        <w:t>,</w:t>
      </w:r>
    </w:p>
    <w:p w:rsidR="00960BB9" w:rsidRPr="00246FE6" w:rsidRDefault="00960BB9" w:rsidP="00960BB9">
      <w:pPr>
        <w:numPr>
          <w:ilvl w:val="2"/>
          <w:numId w:val="75"/>
        </w:numPr>
        <w:tabs>
          <w:tab w:val="clear" w:pos="360"/>
        </w:tabs>
        <w:ind w:left="426" w:hanging="426"/>
        <w:jc w:val="both"/>
        <w:rPr>
          <w:sz w:val="22"/>
          <w:szCs w:val="22"/>
        </w:rPr>
      </w:pPr>
      <w:r>
        <w:rPr>
          <w:sz w:val="22"/>
          <w:szCs w:val="22"/>
        </w:rPr>
        <w:t>Zvyšovanie odborných a jazykových zručností administratívnych kapacít.</w:t>
      </w:r>
    </w:p>
    <w:p w:rsidR="00960BB9" w:rsidRPr="00246FE6" w:rsidRDefault="00EF2741" w:rsidP="00960BB9">
      <w:pPr>
        <w:numPr>
          <w:ilvl w:val="2"/>
          <w:numId w:val="76"/>
        </w:numPr>
        <w:tabs>
          <w:tab w:val="clear" w:pos="360"/>
        </w:tabs>
        <w:spacing w:before="180" w:after="120"/>
        <w:ind w:left="851" w:hanging="425"/>
        <w:jc w:val="both"/>
        <w:rPr>
          <w:b/>
          <w:i/>
          <w:color w:val="548DD4" w:themeColor="text2" w:themeTint="99"/>
          <w:sz w:val="22"/>
          <w:szCs w:val="22"/>
        </w:rPr>
      </w:pPr>
      <w:r>
        <w:rPr>
          <w:b/>
          <w:i/>
          <w:color w:val="548DD4" w:themeColor="text2" w:themeTint="99"/>
          <w:sz w:val="22"/>
          <w:szCs w:val="22"/>
        </w:rPr>
        <w:t xml:space="preserve">Zapojenie odborných </w:t>
      </w:r>
      <w:r w:rsidR="00960BB9" w:rsidRPr="00246FE6">
        <w:rPr>
          <w:b/>
          <w:i/>
          <w:color w:val="548DD4" w:themeColor="text2" w:themeTint="99"/>
          <w:sz w:val="22"/>
          <w:szCs w:val="22"/>
        </w:rPr>
        <w:t>administratívnych kapacít do implementácie OPII</w:t>
      </w:r>
    </w:p>
    <w:p w:rsidR="00960BB9" w:rsidRPr="00246FE6" w:rsidRDefault="00960BB9" w:rsidP="00960BB9">
      <w:pPr>
        <w:autoSpaceDE w:val="0"/>
        <w:autoSpaceDN w:val="0"/>
        <w:adjustRightInd w:val="0"/>
        <w:spacing w:before="120" w:after="120"/>
        <w:jc w:val="both"/>
        <w:rPr>
          <w:sz w:val="22"/>
          <w:szCs w:val="22"/>
        </w:rPr>
      </w:pPr>
      <w:r w:rsidRPr="00246FE6">
        <w:rPr>
          <w:b/>
          <w:sz w:val="22"/>
          <w:szCs w:val="22"/>
        </w:rPr>
        <w:t>formou:</w:t>
      </w:r>
      <w:r w:rsidRPr="00246FE6">
        <w:rPr>
          <w:sz w:val="22"/>
          <w:szCs w:val="22"/>
        </w:rPr>
        <w:t xml:space="preserve"> finančného ohodnotenia administratívnych kapacít konkurujúcim súkromnej sfére (mzdové náklady, odmeny, odvody zamestnávateľa, dohody mimo pracovného pomeru)</w:t>
      </w:r>
    </w:p>
    <w:p w:rsidR="00960BB9" w:rsidRPr="00246FE6" w:rsidRDefault="00960BB9" w:rsidP="00960BB9">
      <w:pPr>
        <w:autoSpaceDE w:val="0"/>
        <w:autoSpaceDN w:val="0"/>
        <w:adjustRightInd w:val="0"/>
        <w:spacing w:after="120" w:line="240" w:lineRule="exact"/>
        <w:jc w:val="both"/>
        <w:rPr>
          <w:sz w:val="22"/>
          <w:szCs w:val="22"/>
        </w:rPr>
      </w:pPr>
      <w:r w:rsidRPr="00246FE6">
        <w:rPr>
          <w:b/>
          <w:sz w:val="22"/>
          <w:szCs w:val="22"/>
        </w:rPr>
        <w:lastRenderedPageBreak/>
        <w:t>s cieľom:</w:t>
      </w:r>
      <w:r w:rsidRPr="00246FE6">
        <w:rPr>
          <w:sz w:val="22"/>
          <w:szCs w:val="22"/>
        </w:rPr>
        <w:t xml:space="preserve"> zapojenia odborníkov do implementácie OPII a tým zvýšenia kvality jeho implementácie, ktorá priamo súvisí s kvalitným ľudským kapitálom; výsledkom budú stabilizované a erudované administratívne kapacity</w:t>
      </w:r>
    </w:p>
    <w:p w:rsidR="00960BB9" w:rsidRDefault="00960BB9" w:rsidP="00960BB9">
      <w:pPr>
        <w:autoSpaceDE w:val="0"/>
        <w:autoSpaceDN w:val="0"/>
        <w:adjustRightInd w:val="0"/>
        <w:spacing w:after="120" w:line="240" w:lineRule="exact"/>
        <w:jc w:val="both"/>
        <w:rPr>
          <w:sz w:val="22"/>
          <w:szCs w:val="22"/>
        </w:rPr>
      </w:pPr>
      <w:r w:rsidRPr="00246FE6">
        <w:rPr>
          <w:sz w:val="22"/>
          <w:szCs w:val="22"/>
        </w:rPr>
        <w:t>Pri výbere administratívnych kapacít bude zabezpečená zásada rodovej rovnosti, rovnosti príležitostí a zásada predchádzania diskriminácie.</w:t>
      </w:r>
    </w:p>
    <w:p w:rsidR="00960BB9" w:rsidRPr="00246FE6" w:rsidRDefault="00960BB9" w:rsidP="00960BB9">
      <w:pPr>
        <w:numPr>
          <w:ilvl w:val="2"/>
          <w:numId w:val="76"/>
        </w:numPr>
        <w:tabs>
          <w:tab w:val="clear" w:pos="360"/>
        </w:tabs>
        <w:spacing w:before="180" w:after="120"/>
        <w:ind w:left="851" w:hanging="425"/>
        <w:jc w:val="both"/>
        <w:rPr>
          <w:b/>
          <w:i/>
          <w:color w:val="548DD4" w:themeColor="text2" w:themeTint="99"/>
          <w:sz w:val="22"/>
          <w:szCs w:val="22"/>
        </w:rPr>
      </w:pPr>
      <w:r>
        <w:rPr>
          <w:b/>
          <w:i/>
          <w:color w:val="548DD4" w:themeColor="text2" w:themeTint="99"/>
          <w:sz w:val="22"/>
          <w:szCs w:val="22"/>
        </w:rPr>
        <w:t>Zvyšovanie odborných a jazykových zručností administratívnych kapacít</w:t>
      </w:r>
    </w:p>
    <w:p w:rsidR="00960BB9" w:rsidRPr="00246FE6" w:rsidRDefault="00960BB9" w:rsidP="00960BB9">
      <w:pPr>
        <w:autoSpaceDE w:val="0"/>
        <w:autoSpaceDN w:val="0"/>
        <w:adjustRightInd w:val="0"/>
        <w:spacing w:before="120" w:after="120"/>
        <w:jc w:val="both"/>
        <w:rPr>
          <w:b/>
          <w:sz w:val="22"/>
          <w:szCs w:val="22"/>
        </w:rPr>
      </w:pPr>
      <w:r w:rsidRPr="00246FE6">
        <w:rPr>
          <w:b/>
          <w:sz w:val="22"/>
          <w:szCs w:val="22"/>
        </w:rPr>
        <w:t xml:space="preserve">formou: </w:t>
      </w:r>
      <w:r w:rsidRPr="00246FE6">
        <w:rPr>
          <w:sz w:val="22"/>
          <w:szCs w:val="22"/>
        </w:rPr>
        <w:t>tuzemských a zahraničných školení, kurzov, seminárov, w</w:t>
      </w:r>
      <w:r>
        <w:rPr>
          <w:sz w:val="22"/>
          <w:szCs w:val="22"/>
        </w:rPr>
        <w:t>orkshopov a stáží zameraných na </w:t>
      </w:r>
      <w:r w:rsidRPr="00246FE6">
        <w:rPr>
          <w:sz w:val="22"/>
          <w:szCs w:val="22"/>
        </w:rPr>
        <w:t>odbornú tematiku spojenú s fondmi EÚ a s oblasťou dopravy a informatizácie, ako aj na zvyšovanie zručností v úradných jazykoch EÚ</w:t>
      </w:r>
    </w:p>
    <w:p w:rsidR="00960BB9" w:rsidRDefault="00960BB9" w:rsidP="00960BB9">
      <w:pPr>
        <w:autoSpaceDE w:val="0"/>
        <w:autoSpaceDN w:val="0"/>
        <w:adjustRightInd w:val="0"/>
        <w:spacing w:before="120" w:after="120"/>
        <w:jc w:val="both"/>
        <w:rPr>
          <w:sz w:val="22"/>
          <w:szCs w:val="22"/>
        </w:rPr>
      </w:pPr>
      <w:r w:rsidRPr="00246FE6">
        <w:rPr>
          <w:b/>
          <w:sz w:val="22"/>
          <w:szCs w:val="22"/>
        </w:rPr>
        <w:t xml:space="preserve">s cieľom: </w:t>
      </w:r>
      <w:r w:rsidRPr="00246FE6">
        <w:rPr>
          <w:sz w:val="22"/>
          <w:szCs w:val="22"/>
        </w:rPr>
        <w:t xml:space="preserve">zvýšenia odbornosti administratívnych kapacít vedúcej </w:t>
      </w:r>
      <w:r>
        <w:rPr>
          <w:sz w:val="22"/>
          <w:szCs w:val="22"/>
        </w:rPr>
        <w:t>k efektívnejšiemu reagovaniu na </w:t>
      </w:r>
      <w:r w:rsidRPr="00246FE6">
        <w:rPr>
          <w:sz w:val="22"/>
          <w:szCs w:val="22"/>
        </w:rPr>
        <w:t>situácie v implementácii OPII a s cieľom zlepšenia komunikácie administratívnych kapacít voči európskym inštitúciám a partnerom z ďalších členských štátov EÚ</w:t>
      </w:r>
    </w:p>
    <w:p w:rsidR="00960BB9" w:rsidRPr="004F0234" w:rsidRDefault="00960BB9" w:rsidP="002E1021">
      <w:pPr>
        <w:shd w:val="clear" w:color="auto" w:fill="FFFFCC"/>
        <w:spacing w:before="240"/>
        <w:jc w:val="both"/>
        <w:rPr>
          <w:b/>
          <w:i/>
        </w:rPr>
      </w:pPr>
      <w:r w:rsidRPr="004F0234">
        <w:rPr>
          <w:i/>
        </w:rPr>
        <w:t xml:space="preserve">ŠPECIFICKÝ CIEĽ </w:t>
      </w:r>
      <w:r>
        <w:rPr>
          <w:i/>
        </w:rPr>
        <w:t>8.2</w:t>
      </w:r>
      <w:r w:rsidRPr="004F0234">
        <w:rPr>
          <w:i/>
        </w:rPr>
        <w:t xml:space="preserve">: </w:t>
      </w:r>
      <w:r w:rsidR="00EF2741">
        <w:rPr>
          <w:b/>
          <w:i/>
        </w:rPr>
        <w:t>Zvýšenie efektivity práce pri implementácii OPII prostredníctvom technickej podpory</w:t>
      </w:r>
    </w:p>
    <w:p w:rsidR="00960BB9" w:rsidRPr="003A7F56" w:rsidRDefault="00960BB9" w:rsidP="00960BB9">
      <w:pPr>
        <w:spacing w:before="180"/>
        <w:jc w:val="both"/>
        <w:rPr>
          <w:sz w:val="22"/>
          <w:szCs w:val="22"/>
        </w:rPr>
      </w:pPr>
      <w:r w:rsidRPr="003A7F56">
        <w:rPr>
          <w:sz w:val="22"/>
          <w:szCs w:val="22"/>
        </w:rPr>
        <w:t xml:space="preserve">Výsledkom dosiahnutia </w:t>
      </w:r>
      <w:r w:rsidR="00EF2741">
        <w:rPr>
          <w:sz w:val="22"/>
          <w:szCs w:val="22"/>
        </w:rPr>
        <w:t>ŠC 8.2</w:t>
      </w:r>
      <w:r>
        <w:rPr>
          <w:sz w:val="22"/>
          <w:szCs w:val="22"/>
        </w:rPr>
        <w:t xml:space="preserve"> </w:t>
      </w:r>
      <w:r w:rsidRPr="003A7F56">
        <w:rPr>
          <w:sz w:val="22"/>
          <w:szCs w:val="22"/>
        </w:rPr>
        <w:t>bude technicky zabezpečiť administratívne kapacity tak, aby mohli efektívne vykonávať činnosti spojené s OP a tým napomáhať k dosahovaniu cieľov OP.</w:t>
      </w:r>
    </w:p>
    <w:p w:rsidR="00960BB9" w:rsidRDefault="00960BB9" w:rsidP="00960BB9">
      <w:pPr>
        <w:pStyle w:val="Tab"/>
      </w:pPr>
      <w:r>
        <w:t>Zoznam ukazovateľov výsledkov vzťahujúcich sa na špecifický cieľ 8.2</w:t>
      </w:r>
    </w:p>
    <w:tbl>
      <w:tblPr>
        <w:tblStyle w:val="Mriekatabuky"/>
        <w:tblW w:w="923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75"/>
        <w:gridCol w:w="1640"/>
        <w:gridCol w:w="986"/>
        <w:gridCol w:w="1423"/>
        <w:gridCol w:w="1423"/>
        <w:gridCol w:w="994"/>
        <w:gridCol w:w="863"/>
        <w:gridCol w:w="1326"/>
      </w:tblGrid>
      <w:tr w:rsidR="00960BB9" w:rsidTr="00EF2741">
        <w:trPr>
          <w:trHeight w:val="487"/>
          <w:jc w:val="center"/>
        </w:trPr>
        <w:tc>
          <w:tcPr>
            <w:tcW w:w="575" w:type="dxa"/>
            <w:shd w:val="clear" w:color="auto" w:fill="C6D9F1" w:themeFill="text2" w:themeFillTint="33"/>
            <w:vAlign w:val="center"/>
          </w:tcPr>
          <w:p w:rsidR="00960BB9" w:rsidRPr="008C1732" w:rsidRDefault="00960BB9" w:rsidP="00EF2741">
            <w:pPr>
              <w:ind w:left="0"/>
              <w:jc w:val="center"/>
              <w:rPr>
                <w:b/>
                <w:sz w:val="18"/>
                <w:szCs w:val="18"/>
              </w:rPr>
            </w:pPr>
            <w:r>
              <w:rPr>
                <w:b/>
                <w:sz w:val="18"/>
                <w:szCs w:val="18"/>
              </w:rPr>
              <w:t>P. č.</w:t>
            </w:r>
          </w:p>
        </w:tc>
        <w:tc>
          <w:tcPr>
            <w:tcW w:w="1640"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Ukazovateľ</w:t>
            </w:r>
          </w:p>
        </w:tc>
        <w:tc>
          <w:tcPr>
            <w:tcW w:w="986"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Merná jednotka</w:t>
            </w:r>
          </w:p>
        </w:tc>
        <w:tc>
          <w:tcPr>
            <w:tcW w:w="1423" w:type="dxa"/>
            <w:shd w:val="clear" w:color="auto" w:fill="C6D9F1" w:themeFill="text2" w:themeFillTint="33"/>
            <w:vAlign w:val="center"/>
          </w:tcPr>
          <w:p w:rsidR="00960BB9" w:rsidRPr="008C1732" w:rsidRDefault="00960BB9" w:rsidP="00EF2741">
            <w:pPr>
              <w:ind w:left="0"/>
              <w:jc w:val="center"/>
              <w:rPr>
                <w:b/>
                <w:sz w:val="18"/>
                <w:szCs w:val="18"/>
              </w:rPr>
            </w:pPr>
            <w:r>
              <w:rPr>
                <w:b/>
                <w:sz w:val="18"/>
                <w:szCs w:val="18"/>
              </w:rPr>
              <w:t>Východisková hodnota</w:t>
            </w:r>
          </w:p>
        </w:tc>
        <w:tc>
          <w:tcPr>
            <w:tcW w:w="1423" w:type="dxa"/>
            <w:shd w:val="clear" w:color="auto" w:fill="C6D9F1" w:themeFill="text2" w:themeFillTint="33"/>
            <w:vAlign w:val="center"/>
          </w:tcPr>
          <w:p w:rsidR="00960BB9" w:rsidRPr="008C1732" w:rsidRDefault="00960BB9" w:rsidP="00EF2741">
            <w:pPr>
              <w:ind w:left="0"/>
              <w:jc w:val="center"/>
              <w:rPr>
                <w:b/>
                <w:sz w:val="18"/>
                <w:szCs w:val="18"/>
              </w:rPr>
            </w:pPr>
            <w:r>
              <w:rPr>
                <w:b/>
                <w:sz w:val="18"/>
                <w:szCs w:val="18"/>
              </w:rPr>
              <w:t>Východiskový rok</w:t>
            </w:r>
          </w:p>
        </w:tc>
        <w:tc>
          <w:tcPr>
            <w:tcW w:w="994"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Cieľová hodnota (2023)</w:t>
            </w:r>
          </w:p>
        </w:tc>
        <w:tc>
          <w:tcPr>
            <w:tcW w:w="863"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Zdroj údajov</w:t>
            </w:r>
          </w:p>
        </w:tc>
        <w:tc>
          <w:tcPr>
            <w:tcW w:w="1326"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Frekvencia vykazovania</w:t>
            </w:r>
          </w:p>
        </w:tc>
      </w:tr>
      <w:tr w:rsidR="00960BB9" w:rsidTr="00EF2741">
        <w:trPr>
          <w:trHeight w:val="680"/>
          <w:jc w:val="center"/>
        </w:trPr>
        <w:tc>
          <w:tcPr>
            <w:tcW w:w="575" w:type="dxa"/>
            <w:shd w:val="clear" w:color="auto" w:fill="auto"/>
            <w:vAlign w:val="center"/>
          </w:tcPr>
          <w:p w:rsidR="00960BB9" w:rsidRPr="00336C1F" w:rsidRDefault="00960BB9" w:rsidP="00EF2741">
            <w:pPr>
              <w:ind w:left="0"/>
              <w:jc w:val="center"/>
              <w:rPr>
                <w:sz w:val="20"/>
                <w:szCs w:val="20"/>
              </w:rPr>
            </w:pPr>
            <w:r>
              <w:rPr>
                <w:sz w:val="20"/>
                <w:szCs w:val="20"/>
              </w:rPr>
              <w:t>1.</w:t>
            </w:r>
          </w:p>
        </w:tc>
        <w:tc>
          <w:tcPr>
            <w:tcW w:w="1640" w:type="dxa"/>
            <w:shd w:val="clear" w:color="auto" w:fill="auto"/>
            <w:vAlign w:val="center"/>
          </w:tcPr>
          <w:p w:rsidR="00960BB9" w:rsidRPr="00D504A0" w:rsidRDefault="00960BB9" w:rsidP="00EF2741">
            <w:pPr>
              <w:autoSpaceDE w:val="0"/>
              <w:autoSpaceDN w:val="0"/>
              <w:adjustRightInd w:val="0"/>
              <w:ind w:left="0"/>
              <w:rPr>
                <w:sz w:val="18"/>
              </w:rPr>
            </w:pPr>
            <w:r>
              <w:rPr>
                <w:sz w:val="18"/>
              </w:rPr>
              <w:t>Miera spokojnosti administratívnych kapacít s poskytnutým technickým vybavením</w:t>
            </w:r>
          </w:p>
        </w:tc>
        <w:tc>
          <w:tcPr>
            <w:tcW w:w="986" w:type="dxa"/>
            <w:shd w:val="clear" w:color="auto" w:fill="auto"/>
            <w:vAlign w:val="center"/>
          </w:tcPr>
          <w:p w:rsidR="00960BB9" w:rsidRPr="00D504A0" w:rsidRDefault="00960BB9" w:rsidP="00EF2741">
            <w:pPr>
              <w:autoSpaceDE w:val="0"/>
              <w:autoSpaceDN w:val="0"/>
              <w:adjustRightInd w:val="0"/>
              <w:ind w:left="0"/>
              <w:jc w:val="center"/>
              <w:rPr>
                <w:sz w:val="18"/>
              </w:rPr>
            </w:pPr>
            <w:r>
              <w:rPr>
                <w:sz w:val="18"/>
              </w:rPr>
              <w:t>%</w:t>
            </w:r>
          </w:p>
        </w:tc>
        <w:tc>
          <w:tcPr>
            <w:tcW w:w="1423" w:type="dxa"/>
            <w:vAlign w:val="center"/>
          </w:tcPr>
          <w:p w:rsidR="00960BB9" w:rsidRPr="00D504A0" w:rsidRDefault="00960BB9" w:rsidP="00EF2741">
            <w:pPr>
              <w:autoSpaceDE w:val="0"/>
              <w:autoSpaceDN w:val="0"/>
              <w:adjustRightInd w:val="0"/>
              <w:ind w:left="0"/>
              <w:jc w:val="center"/>
              <w:rPr>
                <w:sz w:val="18"/>
              </w:rPr>
            </w:pPr>
          </w:p>
        </w:tc>
        <w:tc>
          <w:tcPr>
            <w:tcW w:w="1423" w:type="dxa"/>
            <w:vAlign w:val="center"/>
          </w:tcPr>
          <w:p w:rsidR="00960BB9" w:rsidRPr="00D504A0" w:rsidRDefault="00960BB9" w:rsidP="00EF2741">
            <w:pPr>
              <w:autoSpaceDE w:val="0"/>
              <w:autoSpaceDN w:val="0"/>
              <w:adjustRightInd w:val="0"/>
              <w:ind w:left="0"/>
              <w:jc w:val="center"/>
              <w:rPr>
                <w:sz w:val="18"/>
              </w:rPr>
            </w:pPr>
            <w:r w:rsidRPr="00D504A0">
              <w:rPr>
                <w:sz w:val="18"/>
              </w:rPr>
              <w:t>2014</w:t>
            </w:r>
          </w:p>
        </w:tc>
        <w:tc>
          <w:tcPr>
            <w:tcW w:w="994" w:type="dxa"/>
            <w:shd w:val="clear" w:color="auto" w:fill="auto"/>
            <w:vAlign w:val="center"/>
          </w:tcPr>
          <w:p w:rsidR="00960BB9" w:rsidRPr="007A5492" w:rsidRDefault="00960BB9" w:rsidP="00EF2741">
            <w:pPr>
              <w:autoSpaceDE w:val="0"/>
              <w:autoSpaceDN w:val="0"/>
              <w:adjustRightInd w:val="0"/>
              <w:ind w:left="0"/>
              <w:jc w:val="center"/>
              <w:rPr>
                <w:sz w:val="18"/>
              </w:rPr>
            </w:pPr>
          </w:p>
        </w:tc>
        <w:tc>
          <w:tcPr>
            <w:tcW w:w="863" w:type="dxa"/>
            <w:vAlign w:val="center"/>
          </w:tcPr>
          <w:p w:rsidR="00960BB9" w:rsidRPr="00D504A0" w:rsidRDefault="00960BB9" w:rsidP="00EF2741">
            <w:pPr>
              <w:autoSpaceDE w:val="0"/>
              <w:autoSpaceDN w:val="0"/>
              <w:adjustRightInd w:val="0"/>
              <w:ind w:left="0"/>
              <w:jc w:val="center"/>
              <w:rPr>
                <w:sz w:val="18"/>
              </w:rPr>
            </w:pPr>
            <w:r>
              <w:rPr>
                <w:sz w:val="18"/>
              </w:rPr>
              <w:t>RO OPII</w:t>
            </w:r>
          </w:p>
        </w:tc>
        <w:tc>
          <w:tcPr>
            <w:tcW w:w="1326" w:type="dxa"/>
            <w:vAlign w:val="center"/>
          </w:tcPr>
          <w:p w:rsidR="00960BB9" w:rsidRPr="00D504A0" w:rsidRDefault="00960BB9" w:rsidP="00EF2741">
            <w:pPr>
              <w:autoSpaceDE w:val="0"/>
              <w:autoSpaceDN w:val="0"/>
              <w:adjustRightInd w:val="0"/>
              <w:ind w:left="0"/>
              <w:jc w:val="center"/>
              <w:rPr>
                <w:sz w:val="18"/>
              </w:rPr>
            </w:pPr>
            <w:r w:rsidRPr="00D504A0">
              <w:rPr>
                <w:sz w:val="18"/>
              </w:rPr>
              <w:t>ročne</w:t>
            </w:r>
          </w:p>
        </w:tc>
      </w:tr>
      <w:tr w:rsidR="00960BB9" w:rsidTr="00EF2741">
        <w:trPr>
          <w:trHeight w:val="680"/>
          <w:jc w:val="center"/>
        </w:trPr>
        <w:tc>
          <w:tcPr>
            <w:tcW w:w="575" w:type="dxa"/>
            <w:shd w:val="clear" w:color="auto" w:fill="auto"/>
            <w:vAlign w:val="center"/>
          </w:tcPr>
          <w:p w:rsidR="00960BB9" w:rsidRPr="00336C1F" w:rsidRDefault="00960BB9" w:rsidP="00EF2741">
            <w:pPr>
              <w:ind w:left="0"/>
              <w:jc w:val="center"/>
              <w:rPr>
                <w:sz w:val="20"/>
                <w:szCs w:val="20"/>
              </w:rPr>
            </w:pPr>
            <w:r>
              <w:rPr>
                <w:sz w:val="20"/>
                <w:szCs w:val="20"/>
              </w:rPr>
              <w:t>2.</w:t>
            </w:r>
          </w:p>
        </w:tc>
        <w:tc>
          <w:tcPr>
            <w:tcW w:w="1640" w:type="dxa"/>
            <w:shd w:val="clear" w:color="auto" w:fill="auto"/>
            <w:vAlign w:val="center"/>
          </w:tcPr>
          <w:p w:rsidR="00960BB9" w:rsidRPr="00D504A0" w:rsidRDefault="00960BB9" w:rsidP="00EF2741">
            <w:pPr>
              <w:autoSpaceDE w:val="0"/>
              <w:autoSpaceDN w:val="0"/>
              <w:adjustRightInd w:val="0"/>
              <w:ind w:left="0"/>
              <w:rPr>
                <w:sz w:val="18"/>
              </w:rPr>
            </w:pPr>
            <w:r>
              <w:rPr>
                <w:sz w:val="18"/>
              </w:rPr>
              <w:t>Miera spokojnosti administratívnych kapacít s  IKT technológiami a systémami</w:t>
            </w:r>
          </w:p>
        </w:tc>
        <w:tc>
          <w:tcPr>
            <w:tcW w:w="986" w:type="dxa"/>
            <w:shd w:val="clear" w:color="auto" w:fill="auto"/>
            <w:vAlign w:val="center"/>
          </w:tcPr>
          <w:p w:rsidR="00960BB9" w:rsidRPr="00D504A0" w:rsidRDefault="00960BB9" w:rsidP="00EF2741">
            <w:pPr>
              <w:autoSpaceDE w:val="0"/>
              <w:autoSpaceDN w:val="0"/>
              <w:adjustRightInd w:val="0"/>
              <w:ind w:left="0"/>
              <w:jc w:val="center"/>
              <w:rPr>
                <w:sz w:val="18"/>
              </w:rPr>
            </w:pPr>
            <w:r>
              <w:rPr>
                <w:sz w:val="18"/>
              </w:rPr>
              <w:t>%</w:t>
            </w:r>
          </w:p>
        </w:tc>
        <w:tc>
          <w:tcPr>
            <w:tcW w:w="1423" w:type="dxa"/>
            <w:vAlign w:val="center"/>
          </w:tcPr>
          <w:p w:rsidR="00960BB9" w:rsidRPr="00D504A0" w:rsidRDefault="00960BB9" w:rsidP="00EF2741">
            <w:pPr>
              <w:autoSpaceDE w:val="0"/>
              <w:autoSpaceDN w:val="0"/>
              <w:adjustRightInd w:val="0"/>
              <w:ind w:left="0"/>
              <w:jc w:val="center"/>
              <w:rPr>
                <w:sz w:val="18"/>
              </w:rPr>
            </w:pPr>
          </w:p>
        </w:tc>
        <w:tc>
          <w:tcPr>
            <w:tcW w:w="1423" w:type="dxa"/>
            <w:vAlign w:val="center"/>
          </w:tcPr>
          <w:p w:rsidR="00960BB9" w:rsidRPr="00D504A0" w:rsidRDefault="00960BB9" w:rsidP="00EF2741">
            <w:pPr>
              <w:autoSpaceDE w:val="0"/>
              <w:autoSpaceDN w:val="0"/>
              <w:adjustRightInd w:val="0"/>
              <w:ind w:left="0"/>
              <w:jc w:val="center"/>
              <w:rPr>
                <w:sz w:val="18"/>
              </w:rPr>
            </w:pPr>
            <w:r w:rsidRPr="00D504A0">
              <w:rPr>
                <w:sz w:val="18"/>
              </w:rPr>
              <w:t>2014</w:t>
            </w:r>
          </w:p>
        </w:tc>
        <w:tc>
          <w:tcPr>
            <w:tcW w:w="994" w:type="dxa"/>
            <w:shd w:val="clear" w:color="auto" w:fill="auto"/>
            <w:vAlign w:val="center"/>
          </w:tcPr>
          <w:p w:rsidR="00960BB9" w:rsidRPr="007A5492" w:rsidRDefault="00960BB9" w:rsidP="00EF2741">
            <w:pPr>
              <w:autoSpaceDE w:val="0"/>
              <w:autoSpaceDN w:val="0"/>
              <w:adjustRightInd w:val="0"/>
              <w:ind w:left="0"/>
              <w:jc w:val="center"/>
              <w:rPr>
                <w:sz w:val="18"/>
              </w:rPr>
            </w:pPr>
          </w:p>
        </w:tc>
        <w:tc>
          <w:tcPr>
            <w:tcW w:w="863" w:type="dxa"/>
            <w:vAlign w:val="center"/>
          </w:tcPr>
          <w:p w:rsidR="00960BB9" w:rsidRPr="00D504A0" w:rsidRDefault="00960BB9" w:rsidP="00EF2741">
            <w:pPr>
              <w:autoSpaceDE w:val="0"/>
              <w:autoSpaceDN w:val="0"/>
              <w:adjustRightInd w:val="0"/>
              <w:ind w:left="0"/>
              <w:jc w:val="center"/>
              <w:rPr>
                <w:sz w:val="18"/>
              </w:rPr>
            </w:pPr>
            <w:r>
              <w:rPr>
                <w:sz w:val="18"/>
              </w:rPr>
              <w:t>RO OPII</w:t>
            </w:r>
          </w:p>
        </w:tc>
        <w:tc>
          <w:tcPr>
            <w:tcW w:w="1326" w:type="dxa"/>
            <w:vAlign w:val="center"/>
          </w:tcPr>
          <w:p w:rsidR="00960BB9" w:rsidRPr="00D504A0" w:rsidRDefault="00960BB9" w:rsidP="00EF2741">
            <w:pPr>
              <w:autoSpaceDE w:val="0"/>
              <w:autoSpaceDN w:val="0"/>
              <w:adjustRightInd w:val="0"/>
              <w:ind w:left="0"/>
              <w:jc w:val="center"/>
              <w:rPr>
                <w:sz w:val="18"/>
              </w:rPr>
            </w:pPr>
            <w:r w:rsidRPr="00D504A0">
              <w:rPr>
                <w:sz w:val="18"/>
              </w:rPr>
              <w:t>ročne</w:t>
            </w:r>
          </w:p>
        </w:tc>
      </w:tr>
    </w:tbl>
    <w:p w:rsidR="00EF2741" w:rsidRPr="009126A9" w:rsidRDefault="00EF2741" w:rsidP="00EF2741">
      <w:pPr>
        <w:rPr>
          <w:sz w:val="20"/>
          <w:szCs w:val="20"/>
        </w:rPr>
      </w:pPr>
      <w:bookmarkStart w:id="92" w:name="_Toc383719718"/>
      <w:r w:rsidRPr="000C1600">
        <w:rPr>
          <w:sz w:val="20"/>
          <w:szCs w:val="20"/>
          <w:u w:val="single"/>
        </w:rPr>
        <w:t>Pozn</w:t>
      </w:r>
      <w:r w:rsidRPr="000C1600">
        <w:rPr>
          <w:sz w:val="20"/>
          <w:szCs w:val="20"/>
        </w:rPr>
        <w:t xml:space="preserve">.: Hodnoty ukazovateľov budú doplnené v ďalšom štádiu prípravy dokumentu. </w:t>
      </w:r>
    </w:p>
    <w:p w:rsidR="00960BB9" w:rsidRDefault="00960BB9" w:rsidP="00960BB9">
      <w:pPr>
        <w:pStyle w:val="Nadpis3"/>
      </w:pPr>
      <w:bookmarkStart w:id="93" w:name="_Toc385310738"/>
      <w:r w:rsidRPr="00027A15">
        <w:t>Aktivity</w:t>
      </w:r>
      <w:r>
        <w:t>, ktoré budú podporené a ich očakávaný prínos k špecifickému cieľu</w:t>
      </w:r>
      <w:bookmarkEnd w:id="92"/>
      <w:bookmarkEnd w:id="93"/>
    </w:p>
    <w:p w:rsidR="00960BB9" w:rsidRPr="00246FE6" w:rsidRDefault="00960BB9" w:rsidP="00960BB9">
      <w:pPr>
        <w:numPr>
          <w:ilvl w:val="2"/>
          <w:numId w:val="77"/>
        </w:numPr>
        <w:tabs>
          <w:tab w:val="clear" w:pos="360"/>
        </w:tabs>
        <w:ind w:left="426" w:hanging="426"/>
        <w:jc w:val="both"/>
        <w:rPr>
          <w:sz w:val="22"/>
          <w:szCs w:val="22"/>
        </w:rPr>
      </w:pPr>
      <w:r>
        <w:rPr>
          <w:sz w:val="22"/>
          <w:szCs w:val="22"/>
        </w:rPr>
        <w:t>Podpora technických kapacít útvarov zapojených do implementácie OPII,</w:t>
      </w:r>
    </w:p>
    <w:p w:rsidR="00960BB9" w:rsidRPr="00246FE6" w:rsidRDefault="00960BB9" w:rsidP="00960BB9">
      <w:pPr>
        <w:numPr>
          <w:ilvl w:val="2"/>
          <w:numId w:val="77"/>
        </w:numPr>
        <w:tabs>
          <w:tab w:val="clear" w:pos="360"/>
        </w:tabs>
        <w:ind w:left="426" w:hanging="426"/>
        <w:jc w:val="both"/>
        <w:rPr>
          <w:sz w:val="22"/>
          <w:szCs w:val="22"/>
        </w:rPr>
      </w:pPr>
      <w:r>
        <w:rPr>
          <w:sz w:val="22"/>
          <w:szCs w:val="22"/>
        </w:rPr>
        <w:t>Podpora zavádzania moderných informačno-komunikačných technológií a systémov.</w:t>
      </w:r>
    </w:p>
    <w:p w:rsidR="00960BB9" w:rsidRPr="00246FE6" w:rsidRDefault="00960BB9" w:rsidP="00960BB9">
      <w:pPr>
        <w:numPr>
          <w:ilvl w:val="2"/>
          <w:numId w:val="78"/>
        </w:numPr>
        <w:tabs>
          <w:tab w:val="clear" w:pos="360"/>
        </w:tabs>
        <w:spacing w:before="180" w:after="120"/>
        <w:ind w:left="851" w:hanging="425"/>
        <w:jc w:val="both"/>
        <w:rPr>
          <w:b/>
          <w:i/>
          <w:color w:val="548DD4" w:themeColor="text2" w:themeTint="99"/>
          <w:sz w:val="22"/>
          <w:szCs w:val="22"/>
        </w:rPr>
      </w:pPr>
      <w:r>
        <w:rPr>
          <w:b/>
          <w:i/>
          <w:color w:val="548DD4" w:themeColor="text2" w:themeTint="99"/>
          <w:sz w:val="22"/>
          <w:szCs w:val="22"/>
        </w:rPr>
        <w:t>Podpora technických kapacít útvarov zapojených do implementácie OPII</w:t>
      </w:r>
    </w:p>
    <w:p w:rsidR="00960BB9" w:rsidRPr="003A7F56" w:rsidRDefault="00960BB9" w:rsidP="00960BB9">
      <w:pPr>
        <w:autoSpaceDE w:val="0"/>
        <w:autoSpaceDN w:val="0"/>
        <w:adjustRightInd w:val="0"/>
        <w:spacing w:after="120" w:line="240" w:lineRule="exact"/>
        <w:jc w:val="both"/>
        <w:rPr>
          <w:sz w:val="22"/>
          <w:szCs w:val="22"/>
        </w:rPr>
      </w:pPr>
      <w:r w:rsidRPr="003A7F56">
        <w:rPr>
          <w:b/>
          <w:sz w:val="22"/>
          <w:szCs w:val="22"/>
        </w:rPr>
        <w:t>formou:</w:t>
      </w:r>
      <w:r w:rsidRPr="003A7F56">
        <w:rPr>
          <w:sz w:val="22"/>
          <w:szCs w:val="22"/>
        </w:rPr>
        <w:t xml:space="preserve"> materiálno-technického a prevádzkového zabezpečenia v podobe</w:t>
      </w:r>
      <w:r>
        <w:rPr>
          <w:sz w:val="22"/>
          <w:szCs w:val="22"/>
        </w:rPr>
        <w:t xml:space="preserve"> výpočtovej a </w:t>
      </w:r>
      <w:r w:rsidRPr="003A7F56">
        <w:rPr>
          <w:sz w:val="22"/>
          <w:szCs w:val="22"/>
        </w:rPr>
        <w:t>telekomunikačnej techniky, mobiliárneho vybavenia, dopravných prostriedkov, kancelárskych potrieb a ďalších pomôcok podporujúcich implementáciu operačného programu; podpora prevádzky útvarov z</w:t>
      </w:r>
      <w:r>
        <w:rPr>
          <w:sz w:val="22"/>
          <w:szCs w:val="22"/>
        </w:rPr>
        <w:t>apojených do implementácie OPII</w:t>
      </w:r>
    </w:p>
    <w:p w:rsidR="00960BB9" w:rsidRPr="003A7F56" w:rsidRDefault="00960BB9" w:rsidP="00960BB9">
      <w:pPr>
        <w:autoSpaceDE w:val="0"/>
        <w:autoSpaceDN w:val="0"/>
        <w:adjustRightInd w:val="0"/>
        <w:spacing w:after="120" w:line="240" w:lineRule="exact"/>
        <w:jc w:val="both"/>
        <w:rPr>
          <w:sz w:val="22"/>
          <w:szCs w:val="22"/>
        </w:rPr>
      </w:pPr>
      <w:r w:rsidRPr="003A7F56">
        <w:rPr>
          <w:b/>
          <w:sz w:val="22"/>
          <w:szCs w:val="22"/>
        </w:rPr>
        <w:t>s cieľom:</w:t>
      </w:r>
      <w:r w:rsidRPr="003A7F56">
        <w:rPr>
          <w:sz w:val="22"/>
          <w:szCs w:val="22"/>
        </w:rPr>
        <w:t xml:space="preserve"> zlepšenia pracovných podmienok a tým zvýšenia efektívnos</w:t>
      </w:r>
      <w:r>
        <w:rPr>
          <w:sz w:val="22"/>
          <w:szCs w:val="22"/>
        </w:rPr>
        <w:t>ti vykonávania úloh spojených s </w:t>
      </w:r>
      <w:r w:rsidRPr="003A7F56">
        <w:rPr>
          <w:sz w:val="22"/>
          <w:szCs w:val="22"/>
        </w:rPr>
        <w:t>implementáciou OPII</w:t>
      </w:r>
    </w:p>
    <w:p w:rsidR="00960BB9" w:rsidRPr="00246FE6" w:rsidRDefault="00960BB9" w:rsidP="00960BB9">
      <w:pPr>
        <w:numPr>
          <w:ilvl w:val="2"/>
          <w:numId w:val="78"/>
        </w:numPr>
        <w:tabs>
          <w:tab w:val="clear" w:pos="360"/>
        </w:tabs>
        <w:spacing w:before="180" w:after="120"/>
        <w:ind w:left="851" w:hanging="425"/>
        <w:jc w:val="both"/>
        <w:rPr>
          <w:b/>
          <w:i/>
          <w:color w:val="548DD4" w:themeColor="text2" w:themeTint="99"/>
          <w:sz w:val="22"/>
          <w:szCs w:val="22"/>
        </w:rPr>
      </w:pPr>
      <w:r>
        <w:rPr>
          <w:b/>
          <w:i/>
          <w:color w:val="548DD4" w:themeColor="text2" w:themeTint="99"/>
          <w:sz w:val="22"/>
          <w:szCs w:val="22"/>
        </w:rPr>
        <w:t>Podpora zavádzania moderných informačno-komunikačných technológií a systémov</w:t>
      </w:r>
    </w:p>
    <w:p w:rsidR="00960BB9" w:rsidRPr="003A7F56" w:rsidRDefault="00960BB9" w:rsidP="00960BB9">
      <w:pPr>
        <w:autoSpaceDE w:val="0"/>
        <w:autoSpaceDN w:val="0"/>
        <w:adjustRightInd w:val="0"/>
        <w:spacing w:before="120" w:after="120" w:line="240" w:lineRule="exact"/>
        <w:jc w:val="both"/>
        <w:rPr>
          <w:sz w:val="22"/>
          <w:szCs w:val="22"/>
        </w:rPr>
      </w:pPr>
      <w:r w:rsidRPr="003A7F56">
        <w:rPr>
          <w:b/>
          <w:sz w:val="22"/>
          <w:szCs w:val="22"/>
        </w:rPr>
        <w:t>formou:</w:t>
      </w:r>
      <w:r w:rsidRPr="003A7F56">
        <w:rPr>
          <w:sz w:val="22"/>
          <w:szCs w:val="22"/>
        </w:rPr>
        <w:t xml:space="preserve"> inštalácie a prevádzky IT systémov; obstaranie elektronického vybavenia a  licencií</w:t>
      </w:r>
    </w:p>
    <w:p w:rsidR="00EF2741" w:rsidRDefault="00960BB9" w:rsidP="00960BB9">
      <w:pPr>
        <w:spacing w:after="120"/>
        <w:jc w:val="both"/>
        <w:rPr>
          <w:sz w:val="22"/>
          <w:szCs w:val="22"/>
        </w:rPr>
      </w:pPr>
      <w:r w:rsidRPr="003A7F56">
        <w:rPr>
          <w:b/>
          <w:sz w:val="22"/>
          <w:szCs w:val="22"/>
        </w:rPr>
        <w:t xml:space="preserve">s cieľom: </w:t>
      </w:r>
      <w:r w:rsidRPr="003A7F56">
        <w:rPr>
          <w:sz w:val="22"/>
          <w:szCs w:val="22"/>
        </w:rPr>
        <w:t xml:space="preserve">zvýšenia kvality a rýchlosti vykonávania úloh </w:t>
      </w:r>
      <w:r>
        <w:rPr>
          <w:sz w:val="22"/>
          <w:szCs w:val="22"/>
        </w:rPr>
        <w:t>spojených s implementáciou OPII</w:t>
      </w:r>
    </w:p>
    <w:p w:rsidR="006C1C2C" w:rsidRDefault="006C1C2C" w:rsidP="00960BB9">
      <w:pPr>
        <w:spacing w:after="120"/>
        <w:jc w:val="both"/>
        <w:rPr>
          <w:sz w:val="22"/>
          <w:szCs w:val="22"/>
        </w:rPr>
      </w:pPr>
    </w:p>
    <w:p w:rsidR="006C1C2C" w:rsidRPr="003A7F56" w:rsidRDefault="006C1C2C" w:rsidP="00960BB9">
      <w:pPr>
        <w:spacing w:after="120"/>
        <w:jc w:val="both"/>
        <w:rPr>
          <w:sz w:val="22"/>
          <w:szCs w:val="22"/>
        </w:rPr>
      </w:pPr>
    </w:p>
    <w:p w:rsidR="00960BB9" w:rsidRPr="004F0234" w:rsidRDefault="00960BB9" w:rsidP="002E1021">
      <w:pPr>
        <w:shd w:val="clear" w:color="auto" w:fill="FFFFCC"/>
        <w:spacing w:before="240"/>
        <w:jc w:val="both"/>
        <w:rPr>
          <w:b/>
          <w:i/>
        </w:rPr>
      </w:pPr>
      <w:r w:rsidRPr="004F0234">
        <w:rPr>
          <w:i/>
        </w:rPr>
        <w:lastRenderedPageBreak/>
        <w:t xml:space="preserve">ŠPECIFICKÝ CIEĽ </w:t>
      </w:r>
      <w:r>
        <w:rPr>
          <w:i/>
        </w:rPr>
        <w:t>8.3</w:t>
      </w:r>
      <w:r w:rsidRPr="004F0234">
        <w:rPr>
          <w:i/>
        </w:rPr>
        <w:t xml:space="preserve">: </w:t>
      </w:r>
      <w:r w:rsidR="00EF2741" w:rsidRPr="00EF2741">
        <w:rPr>
          <w:b/>
          <w:i/>
        </w:rPr>
        <w:t>Dosiahnutie cieľov OPII prostredníctvom</w:t>
      </w:r>
      <w:r w:rsidR="00EF2741">
        <w:rPr>
          <w:i/>
        </w:rPr>
        <w:t xml:space="preserve"> </w:t>
      </w:r>
      <w:r w:rsidR="006C1C2C">
        <w:rPr>
          <w:b/>
          <w:i/>
        </w:rPr>
        <w:t>sieťovania a </w:t>
      </w:r>
      <w:r w:rsidR="00EF2741">
        <w:rPr>
          <w:b/>
          <w:i/>
        </w:rPr>
        <w:t>zabezpečenia</w:t>
      </w:r>
      <w:r w:rsidRPr="003A7F56">
        <w:rPr>
          <w:b/>
          <w:i/>
        </w:rPr>
        <w:t xml:space="preserve"> expertnej podpory implementácie OPII externými kapacitami</w:t>
      </w:r>
    </w:p>
    <w:p w:rsidR="00960BB9" w:rsidRDefault="00960BB9" w:rsidP="00960BB9">
      <w:pPr>
        <w:spacing w:before="180"/>
        <w:jc w:val="both"/>
        <w:rPr>
          <w:color w:val="0F243E"/>
          <w:sz w:val="22"/>
          <w:szCs w:val="22"/>
        </w:rPr>
      </w:pPr>
      <w:r w:rsidRPr="003A7F56">
        <w:rPr>
          <w:color w:val="0F243E"/>
          <w:sz w:val="22"/>
          <w:szCs w:val="22"/>
        </w:rPr>
        <w:t xml:space="preserve">Výsledkom </w:t>
      </w:r>
      <w:r>
        <w:rPr>
          <w:color w:val="0F243E"/>
          <w:sz w:val="22"/>
          <w:szCs w:val="22"/>
        </w:rPr>
        <w:t>špecifického cieľa</w:t>
      </w:r>
      <w:r w:rsidRPr="003A7F56">
        <w:rPr>
          <w:color w:val="0F243E"/>
          <w:sz w:val="22"/>
          <w:szCs w:val="22"/>
        </w:rPr>
        <w:t xml:space="preserve"> </w:t>
      </w:r>
      <w:r>
        <w:rPr>
          <w:color w:val="0F243E"/>
          <w:sz w:val="22"/>
          <w:szCs w:val="22"/>
        </w:rPr>
        <w:t>8.3</w:t>
      </w:r>
      <w:r w:rsidRPr="003A7F56">
        <w:rPr>
          <w:color w:val="0F243E"/>
          <w:sz w:val="22"/>
          <w:szCs w:val="22"/>
        </w:rPr>
        <w:t xml:space="preserve"> je podporiť efektívnu výmenu informácií medzi relevantnými subjektmi zapojenými do implementácie OPII, ako aj podporiť implementáciu OPII pomocou expertov a špecialistov z externého prostredia. Zabezpečenie týchto aktivít podporí dosahovanie cieľov jednotlivých prioritných osí.</w:t>
      </w:r>
    </w:p>
    <w:p w:rsidR="00960BB9" w:rsidRPr="003A7F56" w:rsidRDefault="00960BB9" w:rsidP="00960BB9">
      <w:pPr>
        <w:pStyle w:val="Tab"/>
      </w:pPr>
      <w:r>
        <w:t>Zoznam ukazovateľov výsledkov vzťahujúcich sa na špecifický cieľ 8.3</w:t>
      </w:r>
    </w:p>
    <w:tbl>
      <w:tblPr>
        <w:tblStyle w:val="Mriekatabuky"/>
        <w:tblW w:w="923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75"/>
        <w:gridCol w:w="1640"/>
        <w:gridCol w:w="986"/>
        <w:gridCol w:w="1423"/>
        <w:gridCol w:w="1423"/>
        <w:gridCol w:w="994"/>
        <w:gridCol w:w="863"/>
        <w:gridCol w:w="1326"/>
      </w:tblGrid>
      <w:tr w:rsidR="00960BB9" w:rsidTr="00EF2741">
        <w:trPr>
          <w:trHeight w:val="487"/>
          <w:jc w:val="center"/>
        </w:trPr>
        <w:tc>
          <w:tcPr>
            <w:tcW w:w="575" w:type="dxa"/>
            <w:shd w:val="clear" w:color="auto" w:fill="C6D9F1" w:themeFill="text2" w:themeFillTint="33"/>
            <w:vAlign w:val="center"/>
          </w:tcPr>
          <w:p w:rsidR="00960BB9" w:rsidRPr="008C1732" w:rsidRDefault="00960BB9" w:rsidP="00EF2741">
            <w:pPr>
              <w:ind w:left="0"/>
              <w:jc w:val="center"/>
              <w:rPr>
                <w:b/>
                <w:sz w:val="18"/>
                <w:szCs w:val="18"/>
              </w:rPr>
            </w:pPr>
            <w:r>
              <w:rPr>
                <w:b/>
                <w:sz w:val="18"/>
                <w:szCs w:val="18"/>
              </w:rPr>
              <w:t>P. č.</w:t>
            </w:r>
          </w:p>
        </w:tc>
        <w:tc>
          <w:tcPr>
            <w:tcW w:w="1640"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Ukazovateľ</w:t>
            </w:r>
          </w:p>
        </w:tc>
        <w:tc>
          <w:tcPr>
            <w:tcW w:w="986"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Merná jednotka</w:t>
            </w:r>
          </w:p>
        </w:tc>
        <w:tc>
          <w:tcPr>
            <w:tcW w:w="1423" w:type="dxa"/>
            <w:shd w:val="clear" w:color="auto" w:fill="C6D9F1" w:themeFill="text2" w:themeFillTint="33"/>
            <w:vAlign w:val="center"/>
          </w:tcPr>
          <w:p w:rsidR="00960BB9" w:rsidRPr="008C1732" w:rsidRDefault="00960BB9" w:rsidP="00EF2741">
            <w:pPr>
              <w:ind w:left="0"/>
              <w:jc w:val="center"/>
              <w:rPr>
                <w:b/>
                <w:sz w:val="18"/>
                <w:szCs w:val="18"/>
              </w:rPr>
            </w:pPr>
            <w:r>
              <w:rPr>
                <w:b/>
                <w:sz w:val="18"/>
                <w:szCs w:val="18"/>
              </w:rPr>
              <w:t>Východisková hodnota</w:t>
            </w:r>
          </w:p>
        </w:tc>
        <w:tc>
          <w:tcPr>
            <w:tcW w:w="1423" w:type="dxa"/>
            <w:shd w:val="clear" w:color="auto" w:fill="C6D9F1" w:themeFill="text2" w:themeFillTint="33"/>
            <w:vAlign w:val="center"/>
          </w:tcPr>
          <w:p w:rsidR="00960BB9" w:rsidRPr="008C1732" w:rsidRDefault="00960BB9" w:rsidP="00EF2741">
            <w:pPr>
              <w:ind w:left="0"/>
              <w:jc w:val="center"/>
              <w:rPr>
                <w:b/>
                <w:sz w:val="18"/>
                <w:szCs w:val="18"/>
              </w:rPr>
            </w:pPr>
            <w:r>
              <w:rPr>
                <w:b/>
                <w:sz w:val="18"/>
                <w:szCs w:val="18"/>
              </w:rPr>
              <w:t>Východiskový rok</w:t>
            </w:r>
          </w:p>
        </w:tc>
        <w:tc>
          <w:tcPr>
            <w:tcW w:w="994"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Cieľová hodnota (2023)</w:t>
            </w:r>
          </w:p>
        </w:tc>
        <w:tc>
          <w:tcPr>
            <w:tcW w:w="863"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Zdroj údajov</w:t>
            </w:r>
          </w:p>
        </w:tc>
        <w:tc>
          <w:tcPr>
            <w:tcW w:w="1326"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Frekvencia vykazovania</w:t>
            </w:r>
          </w:p>
        </w:tc>
      </w:tr>
      <w:tr w:rsidR="00960BB9" w:rsidTr="00EF2741">
        <w:trPr>
          <w:trHeight w:val="680"/>
          <w:jc w:val="center"/>
        </w:trPr>
        <w:tc>
          <w:tcPr>
            <w:tcW w:w="575" w:type="dxa"/>
            <w:shd w:val="clear" w:color="auto" w:fill="auto"/>
            <w:vAlign w:val="center"/>
          </w:tcPr>
          <w:p w:rsidR="00960BB9" w:rsidRPr="00336C1F" w:rsidRDefault="00960BB9" w:rsidP="00EF2741">
            <w:pPr>
              <w:ind w:left="0"/>
              <w:jc w:val="center"/>
              <w:rPr>
                <w:sz w:val="20"/>
                <w:szCs w:val="20"/>
              </w:rPr>
            </w:pPr>
            <w:r>
              <w:rPr>
                <w:sz w:val="20"/>
                <w:szCs w:val="20"/>
              </w:rPr>
              <w:t>1.</w:t>
            </w:r>
          </w:p>
        </w:tc>
        <w:tc>
          <w:tcPr>
            <w:tcW w:w="1640" w:type="dxa"/>
            <w:shd w:val="clear" w:color="auto" w:fill="auto"/>
            <w:vAlign w:val="center"/>
          </w:tcPr>
          <w:p w:rsidR="00960BB9" w:rsidRPr="00D504A0" w:rsidRDefault="00960BB9" w:rsidP="00EF2741">
            <w:pPr>
              <w:autoSpaceDE w:val="0"/>
              <w:autoSpaceDN w:val="0"/>
              <w:adjustRightInd w:val="0"/>
              <w:ind w:left="0"/>
              <w:rPr>
                <w:sz w:val="18"/>
              </w:rPr>
            </w:pPr>
            <w:r>
              <w:rPr>
                <w:sz w:val="18"/>
              </w:rPr>
              <w:t xml:space="preserve">Počet prioritných osí OPII, ktoré naplnili svoje ciele </w:t>
            </w:r>
          </w:p>
        </w:tc>
        <w:tc>
          <w:tcPr>
            <w:tcW w:w="986" w:type="dxa"/>
            <w:shd w:val="clear" w:color="auto" w:fill="auto"/>
            <w:vAlign w:val="center"/>
          </w:tcPr>
          <w:p w:rsidR="00960BB9" w:rsidRPr="00D504A0" w:rsidRDefault="00960BB9" w:rsidP="00EF2741">
            <w:pPr>
              <w:autoSpaceDE w:val="0"/>
              <w:autoSpaceDN w:val="0"/>
              <w:adjustRightInd w:val="0"/>
              <w:ind w:left="0"/>
              <w:jc w:val="center"/>
              <w:rPr>
                <w:sz w:val="18"/>
              </w:rPr>
            </w:pPr>
            <w:r>
              <w:rPr>
                <w:sz w:val="18"/>
              </w:rPr>
              <w:t>počet</w:t>
            </w:r>
          </w:p>
        </w:tc>
        <w:tc>
          <w:tcPr>
            <w:tcW w:w="1423" w:type="dxa"/>
            <w:vAlign w:val="center"/>
          </w:tcPr>
          <w:p w:rsidR="00960BB9" w:rsidRPr="00D504A0" w:rsidRDefault="00960BB9" w:rsidP="00EF2741">
            <w:pPr>
              <w:autoSpaceDE w:val="0"/>
              <w:autoSpaceDN w:val="0"/>
              <w:adjustRightInd w:val="0"/>
              <w:ind w:left="0"/>
              <w:jc w:val="center"/>
              <w:rPr>
                <w:sz w:val="18"/>
              </w:rPr>
            </w:pPr>
            <w:r w:rsidRPr="00D504A0">
              <w:rPr>
                <w:sz w:val="18"/>
              </w:rPr>
              <w:t>0</w:t>
            </w:r>
          </w:p>
        </w:tc>
        <w:tc>
          <w:tcPr>
            <w:tcW w:w="1423" w:type="dxa"/>
            <w:vAlign w:val="center"/>
          </w:tcPr>
          <w:p w:rsidR="00960BB9" w:rsidRPr="00D504A0" w:rsidRDefault="00960BB9" w:rsidP="00EF2741">
            <w:pPr>
              <w:autoSpaceDE w:val="0"/>
              <w:autoSpaceDN w:val="0"/>
              <w:adjustRightInd w:val="0"/>
              <w:ind w:left="0"/>
              <w:jc w:val="center"/>
              <w:rPr>
                <w:sz w:val="18"/>
              </w:rPr>
            </w:pPr>
            <w:r w:rsidRPr="00D504A0">
              <w:rPr>
                <w:sz w:val="18"/>
              </w:rPr>
              <w:t>2014</w:t>
            </w:r>
          </w:p>
        </w:tc>
        <w:tc>
          <w:tcPr>
            <w:tcW w:w="994" w:type="dxa"/>
            <w:shd w:val="clear" w:color="auto" w:fill="auto"/>
            <w:vAlign w:val="center"/>
          </w:tcPr>
          <w:p w:rsidR="00960BB9" w:rsidRPr="00D504A0" w:rsidRDefault="00960BB9" w:rsidP="00EF2741">
            <w:pPr>
              <w:autoSpaceDE w:val="0"/>
              <w:autoSpaceDN w:val="0"/>
              <w:adjustRightInd w:val="0"/>
              <w:ind w:left="0"/>
              <w:jc w:val="center"/>
              <w:rPr>
                <w:sz w:val="18"/>
              </w:rPr>
            </w:pPr>
            <w:r>
              <w:rPr>
                <w:sz w:val="18"/>
              </w:rPr>
              <w:t>7</w:t>
            </w:r>
          </w:p>
        </w:tc>
        <w:tc>
          <w:tcPr>
            <w:tcW w:w="863" w:type="dxa"/>
            <w:vAlign w:val="center"/>
          </w:tcPr>
          <w:p w:rsidR="00960BB9" w:rsidRPr="00D504A0" w:rsidRDefault="00960BB9" w:rsidP="00EF2741">
            <w:pPr>
              <w:autoSpaceDE w:val="0"/>
              <w:autoSpaceDN w:val="0"/>
              <w:adjustRightInd w:val="0"/>
              <w:ind w:left="0"/>
              <w:jc w:val="center"/>
              <w:rPr>
                <w:sz w:val="18"/>
              </w:rPr>
            </w:pPr>
            <w:r>
              <w:rPr>
                <w:sz w:val="18"/>
              </w:rPr>
              <w:t>RO OPII</w:t>
            </w:r>
          </w:p>
        </w:tc>
        <w:tc>
          <w:tcPr>
            <w:tcW w:w="1326" w:type="dxa"/>
            <w:vAlign w:val="center"/>
          </w:tcPr>
          <w:p w:rsidR="00960BB9" w:rsidRPr="00D504A0" w:rsidRDefault="00960BB9" w:rsidP="00EF2741">
            <w:pPr>
              <w:autoSpaceDE w:val="0"/>
              <w:autoSpaceDN w:val="0"/>
              <w:adjustRightInd w:val="0"/>
              <w:ind w:left="0"/>
              <w:jc w:val="center"/>
              <w:rPr>
                <w:sz w:val="18"/>
              </w:rPr>
            </w:pPr>
            <w:r w:rsidRPr="00D504A0">
              <w:rPr>
                <w:sz w:val="18"/>
              </w:rPr>
              <w:t>ročne</w:t>
            </w:r>
          </w:p>
        </w:tc>
      </w:tr>
    </w:tbl>
    <w:p w:rsidR="00960BB9" w:rsidRDefault="00960BB9" w:rsidP="00960BB9">
      <w:pPr>
        <w:pStyle w:val="Nadpis3"/>
      </w:pPr>
      <w:bookmarkStart w:id="94" w:name="_Toc383719719"/>
      <w:bookmarkStart w:id="95" w:name="_Toc385310739"/>
      <w:r w:rsidRPr="00027A15">
        <w:t>Aktivity</w:t>
      </w:r>
      <w:r>
        <w:t>, ktoré budú podporené a ich očakávaný prínos k špecifickému cieľu</w:t>
      </w:r>
      <w:bookmarkEnd w:id="94"/>
      <w:bookmarkEnd w:id="95"/>
    </w:p>
    <w:p w:rsidR="00960BB9" w:rsidRPr="002D011B" w:rsidRDefault="00960BB9" w:rsidP="00960BB9">
      <w:pPr>
        <w:numPr>
          <w:ilvl w:val="2"/>
          <w:numId w:val="79"/>
        </w:numPr>
        <w:tabs>
          <w:tab w:val="clear" w:pos="360"/>
        </w:tabs>
        <w:ind w:left="426" w:hanging="426"/>
        <w:jc w:val="both"/>
        <w:rPr>
          <w:sz w:val="22"/>
          <w:szCs w:val="22"/>
        </w:rPr>
      </w:pPr>
      <w:r w:rsidRPr="002D011B">
        <w:rPr>
          <w:sz w:val="22"/>
          <w:szCs w:val="22"/>
        </w:rPr>
        <w:t>Zabezpečenie výmeny informácií na úrovni útvarov a organizácií zapojených do implementácie OPII, problematiky fondov EÚ a problematiky v oblasti dopravy a </w:t>
      </w:r>
      <w:r>
        <w:rPr>
          <w:sz w:val="22"/>
          <w:szCs w:val="22"/>
        </w:rPr>
        <w:t>informačnej</w:t>
      </w:r>
      <w:r w:rsidRPr="002D011B">
        <w:rPr>
          <w:sz w:val="22"/>
          <w:szCs w:val="22"/>
        </w:rPr>
        <w:t xml:space="preserve"> spoločnosti</w:t>
      </w:r>
      <w:r>
        <w:rPr>
          <w:sz w:val="22"/>
          <w:szCs w:val="22"/>
        </w:rPr>
        <w:t>,</w:t>
      </w:r>
    </w:p>
    <w:p w:rsidR="00960BB9" w:rsidRPr="00246FE6" w:rsidRDefault="00960BB9" w:rsidP="00960BB9">
      <w:pPr>
        <w:numPr>
          <w:ilvl w:val="2"/>
          <w:numId w:val="79"/>
        </w:numPr>
        <w:tabs>
          <w:tab w:val="clear" w:pos="360"/>
        </w:tabs>
        <w:ind w:left="426" w:hanging="426"/>
        <w:jc w:val="both"/>
        <w:rPr>
          <w:sz w:val="22"/>
          <w:szCs w:val="22"/>
        </w:rPr>
      </w:pPr>
      <w:r>
        <w:rPr>
          <w:sz w:val="22"/>
          <w:szCs w:val="22"/>
        </w:rPr>
        <w:t>Externá podpora implementácie OPII.</w:t>
      </w:r>
    </w:p>
    <w:p w:rsidR="00960BB9" w:rsidRPr="00246FE6" w:rsidRDefault="00960BB9" w:rsidP="00960BB9">
      <w:pPr>
        <w:numPr>
          <w:ilvl w:val="2"/>
          <w:numId w:val="80"/>
        </w:numPr>
        <w:tabs>
          <w:tab w:val="clear" w:pos="360"/>
        </w:tabs>
        <w:spacing w:before="180" w:after="120"/>
        <w:ind w:left="851" w:hanging="425"/>
        <w:jc w:val="both"/>
        <w:rPr>
          <w:b/>
          <w:i/>
          <w:color w:val="548DD4" w:themeColor="text2" w:themeTint="99"/>
          <w:sz w:val="22"/>
          <w:szCs w:val="22"/>
        </w:rPr>
      </w:pPr>
      <w:r>
        <w:rPr>
          <w:b/>
          <w:i/>
          <w:color w:val="548DD4" w:themeColor="text2" w:themeTint="99"/>
          <w:sz w:val="22"/>
          <w:szCs w:val="22"/>
        </w:rPr>
        <w:t>Zabezpečenie výmeny informácií na úrovni útvarov a organizácií zapojených do implementácie OPII, problematiky EÚ a problematiky v oblasti dopravy a informačnej spoločnosti</w:t>
      </w:r>
    </w:p>
    <w:p w:rsidR="00960BB9" w:rsidRPr="002D011B" w:rsidRDefault="00960BB9" w:rsidP="00960BB9">
      <w:pPr>
        <w:autoSpaceDE w:val="0"/>
        <w:autoSpaceDN w:val="0"/>
        <w:adjustRightInd w:val="0"/>
        <w:spacing w:after="120" w:line="240" w:lineRule="exact"/>
        <w:jc w:val="both"/>
        <w:rPr>
          <w:sz w:val="22"/>
          <w:szCs w:val="22"/>
        </w:rPr>
      </w:pPr>
      <w:r w:rsidRPr="002D011B">
        <w:rPr>
          <w:b/>
          <w:sz w:val="22"/>
          <w:szCs w:val="22"/>
        </w:rPr>
        <w:t>formou:</w:t>
      </w:r>
      <w:r w:rsidRPr="002D011B">
        <w:rPr>
          <w:sz w:val="22"/>
          <w:szCs w:val="22"/>
        </w:rPr>
        <w:t xml:space="preserve"> monitorovacích výborov OPII, koordinačných porád, konferencií, seminárov, tuzemských a zahraničných rokovaní, pracovných ciest </w:t>
      </w:r>
      <w:r>
        <w:rPr>
          <w:sz w:val="22"/>
          <w:szCs w:val="22"/>
        </w:rPr>
        <w:t>spojených s kontrolou projektov</w:t>
      </w:r>
    </w:p>
    <w:p w:rsidR="00960BB9" w:rsidRPr="002D011B" w:rsidRDefault="00960BB9" w:rsidP="00960BB9">
      <w:pPr>
        <w:autoSpaceDE w:val="0"/>
        <w:autoSpaceDN w:val="0"/>
        <w:adjustRightInd w:val="0"/>
        <w:spacing w:after="120" w:line="240" w:lineRule="exact"/>
        <w:jc w:val="both"/>
        <w:rPr>
          <w:sz w:val="22"/>
          <w:szCs w:val="22"/>
        </w:rPr>
      </w:pPr>
      <w:r w:rsidRPr="002D011B">
        <w:rPr>
          <w:b/>
          <w:sz w:val="22"/>
          <w:szCs w:val="22"/>
        </w:rPr>
        <w:t>s cieľom:</w:t>
      </w:r>
      <w:r w:rsidRPr="002D011B">
        <w:rPr>
          <w:sz w:val="22"/>
          <w:szCs w:val="22"/>
        </w:rPr>
        <w:t xml:space="preserve"> zlepšenia a zrýchlenia komunikácie OPII na úrovni útvarov a organizácií podporujúcich implementáciu OPII a tým zlepšenia spôsobu a urýchlenia riešenia situácií ohľadom implementácie OPII</w:t>
      </w:r>
    </w:p>
    <w:p w:rsidR="00960BB9" w:rsidRPr="00246FE6" w:rsidRDefault="00960BB9" w:rsidP="00960BB9">
      <w:pPr>
        <w:numPr>
          <w:ilvl w:val="2"/>
          <w:numId w:val="80"/>
        </w:numPr>
        <w:tabs>
          <w:tab w:val="clear" w:pos="360"/>
        </w:tabs>
        <w:spacing w:before="180" w:after="120"/>
        <w:ind w:left="851" w:hanging="425"/>
        <w:jc w:val="both"/>
        <w:rPr>
          <w:b/>
          <w:i/>
          <w:color w:val="548DD4" w:themeColor="text2" w:themeTint="99"/>
          <w:sz w:val="22"/>
          <w:szCs w:val="22"/>
        </w:rPr>
      </w:pPr>
      <w:r>
        <w:rPr>
          <w:b/>
          <w:i/>
          <w:color w:val="548DD4" w:themeColor="text2" w:themeTint="99"/>
          <w:sz w:val="22"/>
          <w:szCs w:val="22"/>
        </w:rPr>
        <w:t>Externá podpora implementácie OPII</w:t>
      </w:r>
    </w:p>
    <w:p w:rsidR="00960BB9" w:rsidRPr="002D011B" w:rsidRDefault="00960BB9" w:rsidP="00960BB9">
      <w:pPr>
        <w:autoSpaceDE w:val="0"/>
        <w:autoSpaceDN w:val="0"/>
        <w:adjustRightInd w:val="0"/>
        <w:spacing w:after="120" w:line="240" w:lineRule="exact"/>
        <w:jc w:val="both"/>
        <w:rPr>
          <w:sz w:val="22"/>
          <w:szCs w:val="22"/>
        </w:rPr>
      </w:pPr>
      <w:r w:rsidRPr="002D011B">
        <w:rPr>
          <w:b/>
          <w:sz w:val="22"/>
          <w:szCs w:val="22"/>
        </w:rPr>
        <w:t>formou:</w:t>
      </w:r>
      <w:r w:rsidRPr="002D011B">
        <w:rPr>
          <w:sz w:val="22"/>
          <w:szCs w:val="22"/>
        </w:rPr>
        <w:t xml:space="preserve"> spracovania štúdií, hodnotení, posudkov, stanovísk, analýz, strategických a metodických dokumentov a ďalších podkladov</w:t>
      </w:r>
      <w:r>
        <w:rPr>
          <w:sz w:val="22"/>
          <w:szCs w:val="22"/>
        </w:rPr>
        <w:t xml:space="preserve"> podporujúcich implementáciu OP</w:t>
      </w:r>
      <w:r w:rsidRPr="002D011B">
        <w:rPr>
          <w:sz w:val="22"/>
          <w:szCs w:val="22"/>
        </w:rPr>
        <w:t>II; odborné a právne poradenstvo podporujúce implementáciu OPII; prekladateľské a tlmočnícke služby vzťahujúce sa na implementáciu OPII</w:t>
      </w:r>
    </w:p>
    <w:p w:rsidR="00960BB9" w:rsidRPr="002D011B" w:rsidRDefault="00960BB9" w:rsidP="00960BB9">
      <w:pPr>
        <w:autoSpaceDE w:val="0"/>
        <w:autoSpaceDN w:val="0"/>
        <w:adjustRightInd w:val="0"/>
        <w:spacing w:after="120" w:line="240" w:lineRule="exact"/>
        <w:jc w:val="both"/>
        <w:rPr>
          <w:sz w:val="22"/>
          <w:szCs w:val="22"/>
        </w:rPr>
      </w:pPr>
      <w:r w:rsidRPr="002D011B">
        <w:rPr>
          <w:b/>
          <w:sz w:val="22"/>
          <w:szCs w:val="22"/>
        </w:rPr>
        <w:t>s cieľom:</w:t>
      </w:r>
      <w:r w:rsidRPr="002D011B">
        <w:rPr>
          <w:sz w:val="22"/>
          <w:szCs w:val="22"/>
        </w:rPr>
        <w:t xml:space="preserve"> zvýšiť kvalitu spracovávaných podkladov a procesov prípr</w:t>
      </w:r>
      <w:r>
        <w:rPr>
          <w:sz w:val="22"/>
          <w:szCs w:val="22"/>
        </w:rPr>
        <w:t>avy a implementácie projektov a </w:t>
      </w:r>
      <w:r w:rsidRPr="002D011B">
        <w:rPr>
          <w:sz w:val="22"/>
          <w:szCs w:val="22"/>
        </w:rPr>
        <w:t>tým zabezpečenie rýchlejšieho schvaľovania projektov a úspešnosti ich realizácie, čím sa dosiahnu ciele príslušných prioritných osí; zvýšenie kvality podkladov a procesov zapojením externých odborníkov do implementácie OPII</w:t>
      </w:r>
    </w:p>
    <w:p w:rsidR="00960BB9" w:rsidRPr="004F0234" w:rsidRDefault="00960BB9" w:rsidP="002E1021">
      <w:pPr>
        <w:shd w:val="clear" w:color="auto" w:fill="FFFFCC"/>
        <w:spacing w:before="240"/>
        <w:jc w:val="both"/>
        <w:rPr>
          <w:b/>
          <w:i/>
        </w:rPr>
      </w:pPr>
      <w:r w:rsidRPr="004F0234">
        <w:rPr>
          <w:i/>
        </w:rPr>
        <w:t xml:space="preserve">ŠPECIFICKÝ CIEĽ </w:t>
      </w:r>
      <w:r>
        <w:rPr>
          <w:i/>
        </w:rPr>
        <w:t>8.4</w:t>
      </w:r>
      <w:r w:rsidRPr="004F0234">
        <w:rPr>
          <w:i/>
        </w:rPr>
        <w:t xml:space="preserve">: </w:t>
      </w:r>
      <w:r>
        <w:rPr>
          <w:b/>
          <w:i/>
        </w:rPr>
        <w:t>Z</w:t>
      </w:r>
      <w:r w:rsidR="00EF2741">
        <w:rPr>
          <w:b/>
          <w:i/>
        </w:rPr>
        <w:t xml:space="preserve">výšenie povedomia o podpore EÚ pre OPII prostredníctvom zabezpečenia efektívnej </w:t>
      </w:r>
      <w:r>
        <w:rPr>
          <w:b/>
          <w:i/>
        </w:rPr>
        <w:t>komunikácie OPII</w:t>
      </w:r>
    </w:p>
    <w:p w:rsidR="00960BB9" w:rsidRDefault="00960BB9" w:rsidP="00960BB9">
      <w:pPr>
        <w:spacing w:before="180"/>
        <w:jc w:val="both"/>
        <w:rPr>
          <w:sz w:val="22"/>
          <w:szCs w:val="22"/>
        </w:rPr>
      </w:pPr>
      <w:r w:rsidRPr="002D011B">
        <w:rPr>
          <w:sz w:val="22"/>
          <w:szCs w:val="22"/>
        </w:rPr>
        <w:t>Časť prostriedkov technickej pomoci bude vynaložená na zabezpečen</w:t>
      </w:r>
      <w:r>
        <w:rPr>
          <w:sz w:val="22"/>
          <w:szCs w:val="22"/>
        </w:rPr>
        <w:t xml:space="preserve">ie efektívnej komunikácie OPII </w:t>
      </w:r>
      <w:r w:rsidRPr="002D011B">
        <w:rPr>
          <w:sz w:val="22"/>
          <w:szCs w:val="22"/>
        </w:rPr>
        <w:t>na úrovni RO OPII, SORO a oprávnených prijímateľov s cieľom zaistenia</w:t>
      </w:r>
      <w:r w:rsidRPr="002D011B">
        <w:rPr>
          <w:color w:val="FF0000"/>
          <w:sz w:val="22"/>
          <w:szCs w:val="22"/>
        </w:rPr>
        <w:t xml:space="preserve"> </w:t>
      </w:r>
      <w:r w:rsidRPr="002D011B">
        <w:rPr>
          <w:sz w:val="22"/>
          <w:szCs w:val="22"/>
        </w:rPr>
        <w:t>publicity a</w:t>
      </w:r>
      <w:r>
        <w:rPr>
          <w:sz w:val="22"/>
          <w:szCs w:val="22"/>
        </w:rPr>
        <w:t xml:space="preserve"> znalosti u </w:t>
      </w:r>
      <w:r w:rsidRPr="002D011B">
        <w:rPr>
          <w:sz w:val="22"/>
          <w:szCs w:val="22"/>
        </w:rPr>
        <w:t>obyvateľov o prínosoch EÚ v oblasti rozvoja dopravného systému</w:t>
      </w:r>
      <w:r>
        <w:rPr>
          <w:sz w:val="22"/>
          <w:szCs w:val="22"/>
        </w:rPr>
        <w:t xml:space="preserve"> a informatizácie spoločnosti v </w:t>
      </w:r>
      <w:r w:rsidRPr="002D011B">
        <w:rPr>
          <w:sz w:val="22"/>
          <w:szCs w:val="22"/>
        </w:rPr>
        <w:t>SR. Zabezpečenie informovanosti verejnosti o podpore EÚ vytvorí predpoklad zvýšenia pozitívneho prístupu a občianskeho cítenia k EÚ.</w:t>
      </w:r>
    </w:p>
    <w:p w:rsidR="0075315D" w:rsidRDefault="0075315D" w:rsidP="00960BB9">
      <w:pPr>
        <w:spacing w:before="180"/>
        <w:jc w:val="both"/>
        <w:rPr>
          <w:sz w:val="22"/>
          <w:szCs w:val="22"/>
        </w:rPr>
      </w:pPr>
    </w:p>
    <w:p w:rsidR="0075315D" w:rsidRDefault="0075315D" w:rsidP="00960BB9">
      <w:pPr>
        <w:spacing w:before="180"/>
        <w:jc w:val="both"/>
        <w:rPr>
          <w:sz w:val="22"/>
          <w:szCs w:val="22"/>
        </w:rPr>
      </w:pPr>
    </w:p>
    <w:p w:rsidR="0075315D" w:rsidRDefault="0075315D" w:rsidP="00960BB9">
      <w:pPr>
        <w:spacing w:before="180"/>
        <w:jc w:val="both"/>
        <w:rPr>
          <w:sz w:val="22"/>
          <w:szCs w:val="22"/>
        </w:rPr>
      </w:pPr>
    </w:p>
    <w:p w:rsidR="0075315D" w:rsidRDefault="0075315D" w:rsidP="00960BB9">
      <w:pPr>
        <w:spacing w:before="180"/>
        <w:jc w:val="both"/>
        <w:rPr>
          <w:sz w:val="22"/>
          <w:szCs w:val="22"/>
        </w:rPr>
      </w:pPr>
    </w:p>
    <w:p w:rsidR="00960BB9" w:rsidRDefault="00960BB9" w:rsidP="00960BB9">
      <w:pPr>
        <w:pStyle w:val="Tab"/>
      </w:pPr>
      <w:r>
        <w:lastRenderedPageBreak/>
        <w:t>Zoznam ukazovateľov výsledkov vzťahujúcich sa na špecifický cieľ 8.4</w:t>
      </w:r>
    </w:p>
    <w:tbl>
      <w:tblPr>
        <w:tblStyle w:val="Mriekatabuky"/>
        <w:tblW w:w="923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556"/>
        <w:gridCol w:w="1552"/>
        <w:gridCol w:w="959"/>
        <w:gridCol w:w="1384"/>
        <w:gridCol w:w="1384"/>
        <w:gridCol w:w="949"/>
        <w:gridCol w:w="1166"/>
        <w:gridCol w:w="1280"/>
      </w:tblGrid>
      <w:tr w:rsidR="00960BB9" w:rsidTr="00EF2741">
        <w:trPr>
          <w:trHeight w:val="487"/>
          <w:jc w:val="center"/>
        </w:trPr>
        <w:tc>
          <w:tcPr>
            <w:tcW w:w="556" w:type="dxa"/>
            <w:shd w:val="clear" w:color="auto" w:fill="C6D9F1" w:themeFill="text2" w:themeFillTint="33"/>
            <w:vAlign w:val="center"/>
          </w:tcPr>
          <w:p w:rsidR="00960BB9" w:rsidRPr="008C1732" w:rsidRDefault="00960BB9" w:rsidP="00EF2741">
            <w:pPr>
              <w:ind w:left="0"/>
              <w:jc w:val="center"/>
              <w:rPr>
                <w:b/>
                <w:sz w:val="18"/>
                <w:szCs w:val="18"/>
              </w:rPr>
            </w:pPr>
            <w:r>
              <w:rPr>
                <w:b/>
                <w:sz w:val="18"/>
                <w:szCs w:val="18"/>
              </w:rPr>
              <w:t>P. č.</w:t>
            </w:r>
          </w:p>
        </w:tc>
        <w:tc>
          <w:tcPr>
            <w:tcW w:w="1552"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Ukazovateľ</w:t>
            </w:r>
          </w:p>
        </w:tc>
        <w:tc>
          <w:tcPr>
            <w:tcW w:w="959"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Merná jednotka</w:t>
            </w:r>
          </w:p>
        </w:tc>
        <w:tc>
          <w:tcPr>
            <w:tcW w:w="1384" w:type="dxa"/>
            <w:shd w:val="clear" w:color="auto" w:fill="C6D9F1" w:themeFill="text2" w:themeFillTint="33"/>
            <w:vAlign w:val="center"/>
          </w:tcPr>
          <w:p w:rsidR="00960BB9" w:rsidRPr="008C1732" w:rsidRDefault="00960BB9" w:rsidP="00EF2741">
            <w:pPr>
              <w:ind w:left="0"/>
              <w:jc w:val="center"/>
              <w:rPr>
                <w:b/>
                <w:sz w:val="18"/>
                <w:szCs w:val="18"/>
              </w:rPr>
            </w:pPr>
            <w:r>
              <w:rPr>
                <w:b/>
                <w:sz w:val="18"/>
                <w:szCs w:val="18"/>
              </w:rPr>
              <w:t>Východisková hodnota</w:t>
            </w:r>
          </w:p>
        </w:tc>
        <w:tc>
          <w:tcPr>
            <w:tcW w:w="1384" w:type="dxa"/>
            <w:shd w:val="clear" w:color="auto" w:fill="C6D9F1" w:themeFill="text2" w:themeFillTint="33"/>
            <w:vAlign w:val="center"/>
          </w:tcPr>
          <w:p w:rsidR="00960BB9" w:rsidRPr="008C1732" w:rsidRDefault="00960BB9" w:rsidP="00EF2741">
            <w:pPr>
              <w:ind w:left="0"/>
              <w:jc w:val="center"/>
              <w:rPr>
                <w:b/>
                <w:sz w:val="18"/>
                <w:szCs w:val="18"/>
              </w:rPr>
            </w:pPr>
            <w:r>
              <w:rPr>
                <w:b/>
                <w:sz w:val="18"/>
                <w:szCs w:val="18"/>
              </w:rPr>
              <w:t>Východiskový rok</w:t>
            </w:r>
          </w:p>
        </w:tc>
        <w:tc>
          <w:tcPr>
            <w:tcW w:w="949"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Cieľová hodnota (2023)</w:t>
            </w:r>
          </w:p>
        </w:tc>
        <w:tc>
          <w:tcPr>
            <w:tcW w:w="1166"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Zdroj údajov</w:t>
            </w:r>
          </w:p>
        </w:tc>
        <w:tc>
          <w:tcPr>
            <w:tcW w:w="1280" w:type="dxa"/>
            <w:shd w:val="clear" w:color="auto" w:fill="C6D9F1" w:themeFill="text2" w:themeFillTint="33"/>
            <w:vAlign w:val="center"/>
          </w:tcPr>
          <w:p w:rsidR="00960BB9" w:rsidRPr="008C1732" w:rsidRDefault="00960BB9" w:rsidP="00EF2741">
            <w:pPr>
              <w:ind w:left="0"/>
              <w:jc w:val="center"/>
              <w:rPr>
                <w:b/>
                <w:sz w:val="18"/>
                <w:szCs w:val="18"/>
              </w:rPr>
            </w:pPr>
            <w:r w:rsidRPr="008C1732">
              <w:rPr>
                <w:b/>
                <w:sz w:val="18"/>
                <w:szCs w:val="18"/>
              </w:rPr>
              <w:t>Frekvencia vykazovania</w:t>
            </w:r>
          </w:p>
        </w:tc>
      </w:tr>
      <w:tr w:rsidR="00960BB9" w:rsidTr="00EF2741">
        <w:trPr>
          <w:trHeight w:val="680"/>
          <w:jc w:val="center"/>
        </w:trPr>
        <w:tc>
          <w:tcPr>
            <w:tcW w:w="556" w:type="dxa"/>
            <w:shd w:val="clear" w:color="auto" w:fill="auto"/>
            <w:vAlign w:val="center"/>
          </w:tcPr>
          <w:p w:rsidR="00960BB9" w:rsidRPr="00336C1F" w:rsidRDefault="00960BB9" w:rsidP="00EF2741">
            <w:pPr>
              <w:ind w:left="0"/>
              <w:jc w:val="center"/>
              <w:rPr>
                <w:sz w:val="20"/>
                <w:szCs w:val="20"/>
              </w:rPr>
            </w:pPr>
            <w:r>
              <w:rPr>
                <w:sz w:val="20"/>
                <w:szCs w:val="20"/>
              </w:rPr>
              <w:t>1.</w:t>
            </w:r>
          </w:p>
        </w:tc>
        <w:tc>
          <w:tcPr>
            <w:tcW w:w="1552" w:type="dxa"/>
            <w:shd w:val="clear" w:color="auto" w:fill="auto"/>
            <w:vAlign w:val="center"/>
          </w:tcPr>
          <w:p w:rsidR="00960BB9" w:rsidRPr="00D504A0" w:rsidRDefault="00960BB9" w:rsidP="00EF2741">
            <w:pPr>
              <w:autoSpaceDE w:val="0"/>
              <w:autoSpaceDN w:val="0"/>
              <w:adjustRightInd w:val="0"/>
              <w:ind w:left="0"/>
              <w:rPr>
                <w:sz w:val="18"/>
              </w:rPr>
            </w:pPr>
            <w:r>
              <w:rPr>
                <w:sz w:val="18"/>
              </w:rPr>
              <w:t>% obyvateľov majúcich znalosť o podpore EÚ pri budovaní integrovanej infraštruktúry (dopravné projekty + vysokorýchlostný internet)</w:t>
            </w:r>
            <w:r w:rsidR="006C1C2C">
              <w:rPr>
                <w:sz w:val="18"/>
              </w:rPr>
              <w:t xml:space="preserve"> </w:t>
            </w:r>
            <w:r w:rsidR="00EF2741">
              <w:rPr>
                <w:sz w:val="18"/>
              </w:rPr>
              <w:t>vo vzťahu k celkovej populácii</w:t>
            </w:r>
            <w:r>
              <w:rPr>
                <w:sz w:val="18"/>
              </w:rPr>
              <w:t xml:space="preserve"> SR</w:t>
            </w:r>
          </w:p>
        </w:tc>
        <w:tc>
          <w:tcPr>
            <w:tcW w:w="959" w:type="dxa"/>
            <w:shd w:val="clear" w:color="auto" w:fill="auto"/>
            <w:vAlign w:val="center"/>
          </w:tcPr>
          <w:p w:rsidR="00960BB9" w:rsidRPr="00D504A0" w:rsidRDefault="00960BB9" w:rsidP="00EF2741">
            <w:pPr>
              <w:autoSpaceDE w:val="0"/>
              <w:autoSpaceDN w:val="0"/>
              <w:adjustRightInd w:val="0"/>
              <w:ind w:left="0"/>
              <w:jc w:val="center"/>
              <w:rPr>
                <w:sz w:val="18"/>
              </w:rPr>
            </w:pPr>
            <w:r w:rsidRPr="00D504A0">
              <w:rPr>
                <w:sz w:val="18"/>
              </w:rPr>
              <w:t>%</w:t>
            </w:r>
          </w:p>
        </w:tc>
        <w:tc>
          <w:tcPr>
            <w:tcW w:w="1384" w:type="dxa"/>
            <w:vAlign w:val="center"/>
          </w:tcPr>
          <w:p w:rsidR="00960BB9" w:rsidRPr="00D504A0" w:rsidRDefault="00EF2741" w:rsidP="00EF2741">
            <w:pPr>
              <w:autoSpaceDE w:val="0"/>
              <w:autoSpaceDN w:val="0"/>
              <w:adjustRightInd w:val="0"/>
              <w:ind w:left="0"/>
              <w:jc w:val="center"/>
              <w:rPr>
                <w:sz w:val="18"/>
              </w:rPr>
            </w:pPr>
            <w:r>
              <w:rPr>
                <w:sz w:val="18"/>
              </w:rPr>
              <w:t>27,8</w:t>
            </w:r>
          </w:p>
        </w:tc>
        <w:tc>
          <w:tcPr>
            <w:tcW w:w="1384" w:type="dxa"/>
            <w:vAlign w:val="center"/>
          </w:tcPr>
          <w:p w:rsidR="00960BB9" w:rsidRPr="00D504A0" w:rsidRDefault="00960BB9" w:rsidP="00EF2741">
            <w:pPr>
              <w:autoSpaceDE w:val="0"/>
              <w:autoSpaceDN w:val="0"/>
              <w:adjustRightInd w:val="0"/>
              <w:ind w:left="0"/>
              <w:jc w:val="center"/>
              <w:rPr>
                <w:sz w:val="18"/>
              </w:rPr>
            </w:pPr>
            <w:r w:rsidRPr="00D504A0">
              <w:rPr>
                <w:sz w:val="18"/>
              </w:rPr>
              <w:t>2014</w:t>
            </w:r>
          </w:p>
        </w:tc>
        <w:tc>
          <w:tcPr>
            <w:tcW w:w="949" w:type="dxa"/>
            <w:shd w:val="clear" w:color="auto" w:fill="auto"/>
            <w:vAlign w:val="center"/>
          </w:tcPr>
          <w:p w:rsidR="00960BB9" w:rsidRPr="00D504A0" w:rsidRDefault="00960BB9" w:rsidP="00EF2741">
            <w:pPr>
              <w:autoSpaceDE w:val="0"/>
              <w:autoSpaceDN w:val="0"/>
              <w:adjustRightInd w:val="0"/>
              <w:ind w:left="0"/>
              <w:jc w:val="center"/>
              <w:rPr>
                <w:sz w:val="18"/>
              </w:rPr>
            </w:pPr>
            <w:r>
              <w:rPr>
                <w:sz w:val="18"/>
              </w:rPr>
              <w:t>40</w:t>
            </w:r>
          </w:p>
        </w:tc>
        <w:tc>
          <w:tcPr>
            <w:tcW w:w="1166" w:type="dxa"/>
            <w:vAlign w:val="center"/>
          </w:tcPr>
          <w:p w:rsidR="00960BB9" w:rsidRPr="00D504A0" w:rsidRDefault="00960BB9" w:rsidP="00EF2741">
            <w:pPr>
              <w:autoSpaceDE w:val="0"/>
              <w:autoSpaceDN w:val="0"/>
              <w:adjustRightInd w:val="0"/>
              <w:ind w:left="0"/>
              <w:jc w:val="center"/>
              <w:rPr>
                <w:sz w:val="18"/>
              </w:rPr>
            </w:pPr>
            <w:r>
              <w:rPr>
                <w:sz w:val="18"/>
              </w:rPr>
              <w:t>Sociologický prieskum</w:t>
            </w:r>
          </w:p>
        </w:tc>
        <w:tc>
          <w:tcPr>
            <w:tcW w:w="1280" w:type="dxa"/>
            <w:vAlign w:val="center"/>
          </w:tcPr>
          <w:p w:rsidR="00960BB9" w:rsidRPr="00D504A0" w:rsidRDefault="00EF2741" w:rsidP="00EF2741">
            <w:pPr>
              <w:autoSpaceDE w:val="0"/>
              <w:autoSpaceDN w:val="0"/>
              <w:adjustRightInd w:val="0"/>
              <w:ind w:left="0"/>
              <w:jc w:val="center"/>
              <w:rPr>
                <w:sz w:val="18"/>
              </w:rPr>
            </w:pPr>
            <w:r>
              <w:rPr>
                <w:sz w:val="18"/>
              </w:rPr>
              <w:t>dvoj</w:t>
            </w:r>
            <w:r w:rsidR="00960BB9" w:rsidRPr="00D504A0">
              <w:rPr>
                <w:sz w:val="18"/>
              </w:rPr>
              <w:t>ročne</w:t>
            </w:r>
          </w:p>
        </w:tc>
      </w:tr>
    </w:tbl>
    <w:p w:rsidR="00960BB9" w:rsidRDefault="00960BB9" w:rsidP="00960BB9">
      <w:pPr>
        <w:pStyle w:val="Nadpis3"/>
      </w:pPr>
      <w:bookmarkStart w:id="96" w:name="_Toc383719720"/>
      <w:bookmarkStart w:id="97" w:name="_Toc385310740"/>
      <w:r w:rsidRPr="00027A15">
        <w:t>Aktivity</w:t>
      </w:r>
      <w:r>
        <w:t>, ktoré budú podporené a ich očakávaný prínos k špecifickému cieľu</w:t>
      </w:r>
      <w:bookmarkEnd w:id="96"/>
      <w:bookmarkEnd w:id="97"/>
    </w:p>
    <w:p w:rsidR="00960BB9" w:rsidRPr="002D011B" w:rsidRDefault="00960BB9" w:rsidP="00960BB9">
      <w:pPr>
        <w:numPr>
          <w:ilvl w:val="0"/>
          <w:numId w:val="22"/>
        </w:numPr>
        <w:ind w:left="426" w:hanging="283"/>
        <w:jc w:val="both"/>
        <w:outlineLvl w:val="3"/>
        <w:rPr>
          <w:sz w:val="22"/>
          <w:szCs w:val="22"/>
        </w:rPr>
      </w:pPr>
      <w:r>
        <w:rPr>
          <w:sz w:val="22"/>
          <w:szCs w:val="22"/>
        </w:rPr>
        <w:t>z</w:t>
      </w:r>
      <w:r w:rsidRPr="002D011B">
        <w:rPr>
          <w:sz w:val="22"/>
          <w:szCs w:val="22"/>
        </w:rPr>
        <w:t>abezpečenie webového portálu o</w:t>
      </w:r>
      <w:r>
        <w:rPr>
          <w:sz w:val="22"/>
          <w:szCs w:val="22"/>
        </w:rPr>
        <w:t> </w:t>
      </w:r>
      <w:r w:rsidRPr="002D011B">
        <w:rPr>
          <w:sz w:val="22"/>
          <w:szCs w:val="22"/>
        </w:rPr>
        <w:t>OPII</w:t>
      </w:r>
      <w:r>
        <w:rPr>
          <w:sz w:val="22"/>
          <w:szCs w:val="22"/>
        </w:rPr>
        <w:t>,</w:t>
      </w:r>
    </w:p>
    <w:p w:rsidR="00960BB9" w:rsidRPr="002D011B" w:rsidRDefault="00960BB9" w:rsidP="00960BB9">
      <w:pPr>
        <w:numPr>
          <w:ilvl w:val="0"/>
          <w:numId w:val="22"/>
        </w:numPr>
        <w:ind w:left="426" w:hanging="283"/>
        <w:jc w:val="both"/>
        <w:outlineLvl w:val="3"/>
        <w:rPr>
          <w:sz w:val="22"/>
          <w:szCs w:val="22"/>
        </w:rPr>
      </w:pPr>
      <w:r>
        <w:rPr>
          <w:sz w:val="22"/>
          <w:szCs w:val="22"/>
        </w:rPr>
        <w:t>p</w:t>
      </w:r>
      <w:r w:rsidRPr="002D011B">
        <w:rPr>
          <w:sz w:val="22"/>
          <w:szCs w:val="22"/>
        </w:rPr>
        <w:t>rodukcia a realizácia informačnej kampane zameranej na širokú verejnosť (nadlinková, podlinková komunikácia, analýza východiskového stavu, monitoring účinnosti kampane)</w:t>
      </w:r>
      <w:r>
        <w:rPr>
          <w:sz w:val="22"/>
          <w:szCs w:val="22"/>
        </w:rPr>
        <w:t>,</w:t>
      </w:r>
    </w:p>
    <w:p w:rsidR="00960BB9" w:rsidRPr="002D011B" w:rsidRDefault="00960BB9" w:rsidP="00960BB9">
      <w:pPr>
        <w:numPr>
          <w:ilvl w:val="0"/>
          <w:numId w:val="22"/>
        </w:numPr>
        <w:ind w:left="426" w:hanging="283"/>
        <w:jc w:val="both"/>
        <w:outlineLvl w:val="3"/>
        <w:rPr>
          <w:sz w:val="22"/>
          <w:szCs w:val="22"/>
        </w:rPr>
      </w:pPr>
      <w:r>
        <w:rPr>
          <w:sz w:val="22"/>
          <w:szCs w:val="22"/>
        </w:rPr>
        <w:t>p</w:t>
      </w:r>
      <w:r w:rsidRPr="002D011B">
        <w:rPr>
          <w:sz w:val="22"/>
          <w:szCs w:val="22"/>
        </w:rPr>
        <w:t>ravidelná komunikácia so zástupcami médií prostredníctvom tlačových správ, tlačových konferencií</w:t>
      </w:r>
      <w:r>
        <w:rPr>
          <w:sz w:val="22"/>
          <w:szCs w:val="22"/>
        </w:rPr>
        <w:t>,</w:t>
      </w:r>
    </w:p>
    <w:p w:rsidR="00960BB9" w:rsidRPr="002D011B" w:rsidRDefault="00960BB9" w:rsidP="00960BB9">
      <w:pPr>
        <w:numPr>
          <w:ilvl w:val="0"/>
          <w:numId w:val="22"/>
        </w:numPr>
        <w:ind w:left="426" w:hanging="283"/>
        <w:jc w:val="both"/>
        <w:outlineLvl w:val="3"/>
        <w:rPr>
          <w:sz w:val="22"/>
          <w:szCs w:val="22"/>
        </w:rPr>
      </w:pPr>
      <w:r>
        <w:rPr>
          <w:sz w:val="22"/>
          <w:szCs w:val="22"/>
        </w:rPr>
        <w:t>k</w:t>
      </w:r>
      <w:r w:rsidRPr="002D011B">
        <w:rPr>
          <w:sz w:val="22"/>
          <w:szCs w:val="22"/>
        </w:rPr>
        <w:t>omunikácia zameraná na odbornú verejnosť (propagácia OPII na odborných konferenciách a v odborných publikáciách)</w:t>
      </w:r>
      <w:r>
        <w:rPr>
          <w:sz w:val="22"/>
          <w:szCs w:val="22"/>
        </w:rPr>
        <w:t>,</w:t>
      </w:r>
    </w:p>
    <w:p w:rsidR="00960BB9" w:rsidRPr="002D011B" w:rsidRDefault="00960BB9" w:rsidP="00960BB9">
      <w:pPr>
        <w:numPr>
          <w:ilvl w:val="0"/>
          <w:numId w:val="22"/>
        </w:numPr>
        <w:ind w:left="426" w:hanging="283"/>
        <w:jc w:val="both"/>
        <w:outlineLvl w:val="3"/>
        <w:rPr>
          <w:sz w:val="22"/>
          <w:szCs w:val="22"/>
        </w:rPr>
      </w:pPr>
      <w:r>
        <w:rPr>
          <w:sz w:val="22"/>
          <w:szCs w:val="22"/>
        </w:rPr>
        <w:t>a</w:t>
      </w:r>
      <w:r w:rsidRPr="002D011B">
        <w:rPr>
          <w:sz w:val="22"/>
          <w:szCs w:val="22"/>
        </w:rPr>
        <w:t>ktivity týkajúce sa minimálnych opatrení v oblasti informov</w:t>
      </w:r>
      <w:r>
        <w:rPr>
          <w:sz w:val="22"/>
          <w:szCs w:val="22"/>
        </w:rPr>
        <w:t>ania a publicity definovaných v </w:t>
      </w:r>
      <w:r w:rsidRPr="002D011B">
        <w:rPr>
          <w:sz w:val="22"/>
          <w:szCs w:val="22"/>
        </w:rPr>
        <w:t>prílohe VI všeobecného nariadenia na úrovni r</w:t>
      </w:r>
      <w:r>
        <w:rPr>
          <w:sz w:val="22"/>
          <w:szCs w:val="22"/>
        </w:rPr>
        <w:t>iadiaceho orgánu a prijímateľov.</w:t>
      </w:r>
    </w:p>
    <w:p w:rsidR="00960BB9" w:rsidRPr="002D011B" w:rsidRDefault="00960BB9" w:rsidP="00960BB9">
      <w:pPr>
        <w:spacing w:before="180" w:after="120"/>
        <w:jc w:val="both"/>
        <w:outlineLvl w:val="3"/>
        <w:rPr>
          <w:sz w:val="22"/>
          <w:szCs w:val="22"/>
        </w:rPr>
      </w:pPr>
      <w:r w:rsidRPr="002D011B">
        <w:rPr>
          <w:sz w:val="22"/>
          <w:szCs w:val="22"/>
        </w:rPr>
        <w:t xml:space="preserve">Komplexný návrh komunikačných aktivít zameraných na dosiahnutie </w:t>
      </w:r>
      <w:r>
        <w:rPr>
          <w:sz w:val="22"/>
          <w:szCs w:val="22"/>
        </w:rPr>
        <w:t>špecifického cieľa 8.</w:t>
      </w:r>
      <w:r w:rsidRPr="002D011B">
        <w:rPr>
          <w:sz w:val="22"/>
          <w:szCs w:val="22"/>
        </w:rPr>
        <w:t xml:space="preserve">4 bude definovaný v </w:t>
      </w:r>
      <w:r w:rsidRPr="002D011B">
        <w:rPr>
          <w:b/>
          <w:sz w:val="22"/>
          <w:szCs w:val="22"/>
        </w:rPr>
        <w:t>Komunikačnej stratégii OPII 2014 -</w:t>
      </w:r>
      <w:r>
        <w:rPr>
          <w:b/>
          <w:sz w:val="22"/>
          <w:szCs w:val="22"/>
        </w:rPr>
        <w:t xml:space="preserve"> </w:t>
      </w:r>
      <w:r w:rsidRPr="002D011B">
        <w:rPr>
          <w:b/>
          <w:sz w:val="22"/>
          <w:szCs w:val="22"/>
        </w:rPr>
        <w:t>2020</w:t>
      </w:r>
      <w:r w:rsidRPr="002D011B">
        <w:rPr>
          <w:sz w:val="22"/>
          <w:szCs w:val="22"/>
        </w:rPr>
        <w:t>.</w:t>
      </w:r>
    </w:p>
    <w:p w:rsidR="00960BB9" w:rsidRDefault="00960BB9" w:rsidP="00960BB9">
      <w:pPr>
        <w:pStyle w:val="Tab"/>
      </w:pPr>
      <w:r>
        <w:t>Výstupové ukazovatele pre PO 8 – Technická pomoc</w:t>
      </w:r>
    </w:p>
    <w:tbl>
      <w:tblPr>
        <w:tblW w:w="9242" w:type="dxa"/>
        <w:tblInd w:w="4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40" w:type="dxa"/>
          <w:right w:w="40" w:type="dxa"/>
        </w:tblCellMar>
        <w:tblLook w:val="04A0"/>
      </w:tblPr>
      <w:tblGrid>
        <w:gridCol w:w="559"/>
        <w:gridCol w:w="3282"/>
        <w:gridCol w:w="1535"/>
        <w:gridCol w:w="1847"/>
        <w:gridCol w:w="2019"/>
      </w:tblGrid>
      <w:tr w:rsidR="00960BB9" w:rsidTr="00EF2741">
        <w:trPr>
          <w:trHeight w:val="591"/>
        </w:trPr>
        <w:tc>
          <w:tcPr>
            <w:tcW w:w="567" w:type="dxa"/>
            <w:shd w:val="clear" w:color="auto" w:fill="C6D9F1" w:themeFill="text2" w:themeFillTint="33"/>
            <w:vAlign w:val="center"/>
            <w:hideMark/>
          </w:tcPr>
          <w:p w:rsidR="00960BB9" w:rsidRPr="00D504A0" w:rsidRDefault="00960BB9" w:rsidP="00EF2741">
            <w:pPr>
              <w:autoSpaceDE w:val="0"/>
              <w:autoSpaceDN w:val="0"/>
              <w:adjustRightInd w:val="0"/>
              <w:jc w:val="center"/>
              <w:rPr>
                <w:b/>
                <w:sz w:val="18"/>
              </w:rPr>
            </w:pPr>
            <w:r>
              <w:rPr>
                <w:b/>
                <w:sz w:val="18"/>
              </w:rPr>
              <w:t>P. č.</w:t>
            </w:r>
          </w:p>
        </w:tc>
        <w:tc>
          <w:tcPr>
            <w:tcW w:w="3343" w:type="dxa"/>
            <w:shd w:val="clear" w:color="auto" w:fill="C6D9F1" w:themeFill="text2" w:themeFillTint="33"/>
            <w:vAlign w:val="center"/>
            <w:hideMark/>
          </w:tcPr>
          <w:p w:rsidR="00960BB9" w:rsidRPr="00D504A0" w:rsidRDefault="00960BB9" w:rsidP="00EF2741">
            <w:pPr>
              <w:autoSpaceDE w:val="0"/>
              <w:autoSpaceDN w:val="0"/>
              <w:adjustRightInd w:val="0"/>
              <w:jc w:val="center"/>
              <w:rPr>
                <w:b/>
                <w:sz w:val="18"/>
              </w:rPr>
            </w:pPr>
            <w:r w:rsidRPr="00D504A0">
              <w:rPr>
                <w:b/>
                <w:sz w:val="18"/>
              </w:rPr>
              <w:t>Ukazovateľ</w:t>
            </w:r>
            <w:r>
              <w:rPr>
                <w:b/>
                <w:sz w:val="18"/>
              </w:rPr>
              <w:t xml:space="preserve"> výstupu</w:t>
            </w:r>
          </w:p>
        </w:tc>
        <w:tc>
          <w:tcPr>
            <w:tcW w:w="1563" w:type="dxa"/>
            <w:shd w:val="clear" w:color="auto" w:fill="C6D9F1" w:themeFill="text2" w:themeFillTint="33"/>
            <w:vAlign w:val="center"/>
            <w:hideMark/>
          </w:tcPr>
          <w:p w:rsidR="00960BB9" w:rsidRPr="00D504A0" w:rsidRDefault="00960BB9" w:rsidP="00EF2741">
            <w:pPr>
              <w:autoSpaceDE w:val="0"/>
              <w:autoSpaceDN w:val="0"/>
              <w:adjustRightInd w:val="0"/>
              <w:spacing w:line="211" w:lineRule="exact"/>
              <w:jc w:val="center"/>
              <w:rPr>
                <w:b/>
                <w:sz w:val="18"/>
              </w:rPr>
            </w:pPr>
            <w:r w:rsidRPr="00D504A0">
              <w:rPr>
                <w:b/>
                <w:sz w:val="18"/>
              </w:rPr>
              <w:t>Merná jednotka</w:t>
            </w:r>
          </w:p>
        </w:tc>
        <w:tc>
          <w:tcPr>
            <w:tcW w:w="1881" w:type="dxa"/>
            <w:shd w:val="clear" w:color="auto" w:fill="C6D9F1" w:themeFill="text2" w:themeFillTint="33"/>
            <w:vAlign w:val="center"/>
            <w:hideMark/>
          </w:tcPr>
          <w:p w:rsidR="00960BB9" w:rsidRDefault="00960BB9" w:rsidP="00EF2741">
            <w:pPr>
              <w:autoSpaceDE w:val="0"/>
              <w:autoSpaceDN w:val="0"/>
              <w:adjustRightInd w:val="0"/>
              <w:spacing w:line="211" w:lineRule="exact"/>
              <w:jc w:val="center"/>
              <w:rPr>
                <w:b/>
                <w:sz w:val="18"/>
              </w:rPr>
            </w:pPr>
            <w:r w:rsidRPr="00D504A0">
              <w:rPr>
                <w:b/>
                <w:sz w:val="18"/>
              </w:rPr>
              <w:t>Cieľová hodnota</w:t>
            </w:r>
          </w:p>
          <w:p w:rsidR="00960BB9" w:rsidRDefault="00960BB9" w:rsidP="00EF2741">
            <w:pPr>
              <w:autoSpaceDE w:val="0"/>
              <w:autoSpaceDN w:val="0"/>
              <w:adjustRightInd w:val="0"/>
              <w:spacing w:line="211" w:lineRule="exact"/>
              <w:jc w:val="center"/>
              <w:rPr>
                <w:b/>
                <w:sz w:val="18"/>
              </w:rPr>
            </w:pPr>
            <w:r w:rsidRPr="00D504A0">
              <w:rPr>
                <w:b/>
                <w:sz w:val="18"/>
              </w:rPr>
              <w:t xml:space="preserve">  (202</w:t>
            </w:r>
            <w:r>
              <w:rPr>
                <w:b/>
                <w:sz w:val="18"/>
              </w:rPr>
              <w:t>3</w:t>
            </w:r>
            <w:r w:rsidRPr="00D504A0">
              <w:rPr>
                <w:b/>
                <w:sz w:val="18"/>
              </w:rPr>
              <w:t>)</w:t>
            </w:r>
          </w:p>
          <w:p w:rsidR="00960BB9" w:rsidRPr="00DF4C7C" w:rsidRDefault="00960BB9" w:rsidP="00EF2741">
            <w:pPr>
              <w:autoSpaceDE w:val="0"/>
              <w:autoSpaceDN w:val="0"/>
              <w:adjustRightInd w:val="0"/>
              <w:spacing w:line="211" w:lineRule="exact"/>
              <w:jc w:val="center"/>
              <w:rPr>
                <w:sz w:val="18"/>
              </w:rPr>
            </w:pPr>
            <w:r w:rsidRPr="00DF4C7C">
              <w:rPr>
                <w:sz w:val="18"/>
              </w:rPr>
              <w:t>nepovinné</w:t>
            </w:r>
          </w:p>
        </w:tc>
        <w:tc>
          <w:tcPr>
            <w:tcW w:w="2056" w:type="dxa"/>
            <w:shd w:val="clear" w:color="auto" w:fill="C6D9F1" w:themeFill="text2" w:themeFillTint="33"/>
            <w:vAlign w:val="center"/>
            <w:hideMark/>
          </w:tcPr>
          <w:p w:rsidR="00960BB9" w:rsidRPr="00D504A0" w:rsidRDefault="00960BB9" w:rsidP="00EF2741">
            <w:pPr>
              <w:autoSpaceDE w:val="0"/>
              <w:autoSpaceDN w:val="0"/>
              <w:adjustRightInd w:val="0"/>
              <w:spacing w:line="211" w:lineRule="exact"/>
              <w:jc w:val="center"/>
              <w:rPr>
                <w:b/>
                <w:sz w:val="18"/>
              </w:rPr>
            </w:pPr>
            <w:r w:rsidRPr="00D504A0">
              <w:rPr>
                <w:b/>
                <w:sz w:val="18"/>
              </w:rPr>
              <w:t>Zdroj údajov</w:t>
            </w:r>
          </w:p>
        </w:tc>
      </w:tr>
      <w:tr w:rsidR="00960BB9" w:rsidTr="00EF2741">
        <w:trPr>
          <w:trHeight w:val="785"/>
        </w:trPr>
        <w:tc>
          <w:tcPr>
            <w:tcW w:w="567" w:type="dxa"/>
            <w:vAlign w:val="center"/>
          </w:tcPr>
          <w:p w:rsidR="00960BB9" w:rsidRPr="00D504A0" w:rsidRDefault="00960BB9" w:rsidP="00EF2741">
            <w:pPr>
              <w:autoSpaceDE w:val="0"/>
              <w:autoSpaceDN w:val="0"/>
              <w:adjustRightInd w:val="0"/>
              <w:jc w:val="center"/>
              <w:rPr>
                <w:sz w:val="18"/>
              </w:rPr>
            </w:pPr>
            <w:r w:rsidRPr="00D504A0">
              <w:rPr>
                <w:sz w:val="18"/>
              </w:rPr>
              <w:t>1</w:t>
            </w:r>
            <w:r w:rsidRPr="00BA235F">
              <w:rPr>
                <w:color w:val="FF0000"/>
                <w:sz w:val="18"/>
              </w:rPr>
              <w:t>.</w:t>
            </w:r>
          </w:p>
        </w:tc>
        <w:tc>
          <w:tcPr>
            <w:tcW w:w="3343" w:type="dxa"/>
            <w:vAlign w:val="center"/>
          </w:tcPr>
          <w:p w:rsidR="00960BB9" w:rsidRPr="00D504A0" w:rsidRDefault="00960BB9" w:rsidP="00EF2741">
            <w:pPr>
              <w:autoSpaceDE w:val="0"/>
              <w:autoSpaceDN w:val="0"/>
              <w:adjustRightInd w:val="0"/>
              <w:rPr>
                <w:sz w:val="18"/>
              </w:rPr>
            </w:pPr>
            <w:r>
              <w:rPr>
                <w:sz w:val="18"/>
              </w:rPr>
              <w:t>Počet administratívnych kapacít podieľajúcich sa na činnostiach spojených s OP</w:t>
            </w:r>
          </w:p>
        </w:tc>
        <w:tc>
          <w:tcPr>
            <w:tcW w:w="1563" w:type="dxa"/>
            <w:vAlign w:val="center"/>
          </w:tcPr>
          <w:p w:rsidR="00960BB9" w:rsidRPr="00D504A0" w:rsidRDefault="00960BB9" w:rsidP="00EF2741">
            <w:pPr>
              <w:autoSpaceDE w:val="0"/>
              <w:autoSpaceDN w:val="0"/>
              <w:adjustRightInd w:val="0"/>
              <w:jc w:val="center"/>
              <w:rPr>
                <w:sz w:val="18"/>
              </w:rPr>
            </w:pPr>
            <w:r>
              <w:rPr>
                <w:sz w:val="18"/>
              </w:rPr>
              <w:t>počet</w:t>
            </w:r>
          </w:p>
        </w:tc>
        <w:tc>
          <w:tcPr>
            <w:tcW w:w="1881" w:type="dxa"/>
            <w:vAlign w:val="center"/>
          </w:tcPr>
          <w:p w:rsidR="00960BB9" w:rsidRPr="00D504A0" w:rsidRDefault="00960BB9" w:rsidP="00EF2741">
            <w:pPr>
              <w:autoSpaceDE w:val="0"/>
              <w:autoSpaceDN w:val="0"/>
              <w:adjustRightInd w:val="0"/>
              <w:jc w:val="center"/>
              <w:rPr>
                <w:sz w:val="18"/>
              </w:rPr>
            </w:pPr>
            <w:r>
              <w:rPr>
                <w:sz w:val="18"/>
              </w:rPr>
              <w:t>N/A</w:t>
            </w:r>
          </w:p>
        </w:tc>
        <w:tc>
          <w:tcPr>
            <w:tcW w:w="2056" w:type="dxa"/>
            <w:vAlign w:val="center"/>
          </w:tcPr>
          <w:p w:rsidR="00960BB9" w:rsidRPr="00D504A0" w:rsidRDefault="00960BB9" w:rsidP="00EF2741">
            <w:pPr>
              <w:autoSpaceDE w:val="0"/>
              <w:autoSpaceDN w:val="0"/>
              <w:adjustRightInd w:val="0"/>
              <w:jc w:val="center"/>
              <w:rPr>
                <w:sz w:val="18"/>
              </w:rPr>
            </w:pPr>
            <w:r>
              <w:rPr>
                <w:sz w:val="18"/>
              </w:rPr>
              <w:t>RO OPII</w:t>
            </w:r>
          </w:p>
        </w:tc>
      </w:tr>
      <w:tr w:rsidR="00960BB9" w:rsidTr="00EF2741">
        <w:trPr>
          <w:trHeight w:val="441"/>
        </w:trPr>
        <w:tc>
          <w:tcPr>
            <w:tcW w:w="567" w:type="dxa"/>
            <w:vAlign w:val="center"/>
          </w:tcPr>
          <w:p w:rsidR="00960BB9" w:rsidRPr="00D504A0" w:rsidRDefault="00960BB9" w:rsidP="00EF2741">
            <w:pPr>
              <w:autoSpaceDE w:val="0"/>
              <w:autoSpaceDN w:val="0"/>
              <w:adjustRightInd w:val="0"/>
              <w:jc w:val="center"/>
              <w:rPr>
                <w:sz w:val="18"/>
              </w:rPr>
            </w:pPr>
            <w:r>
              <w:rPr>
                <w:sz w:val="18"/>
              </w:rPr>
              <w:t>2.</w:t>
            </w:r>
          </w:p>
        </w:tc>
        <w:tc>
          <w:tcPr>
            <w:tcW w:w="3343" w:type="dxa"/>
            <w:vAlign w:val="center"/>
          </w:tcPr>
          <w:p w:rsidR="00960BB9" w:rsidRDefault="00960BB9" w:rsidP="00EF2741">
            <w:pPr>
              <w:autoSpaceDE w:val="0"/>
              <w:autoSpaceDN w:val="0"/>
              <w:adjustRightInd w:val="0"/>
              <w:rPr>
                <w:sz w:val="18"/>
              </w:rPr>
            </w:pPr>
            <w:r>
              <w:rPr>
                <w:sz w:val="18"/>
              </w:rPr>
              <w:t xml:space="preserve">Počet absolvovaných školení, kurzov, seminárov rozširujúcich zručností administratívnych kapacít </w:t>
            </w:r>
          </w:p>
        </w:tc>
        <w:tc>
          <w:tcPr>
            <w:tcW w:w="1563" w:type="dxa"/>
            <w:vAlign w:val="center"/>
          </w:tcPr>
          <w:p w:rsidR="00960BB9" w:rsidRPr="00D504A0" w:rsidRDefault="00960BB9" w:rsidP="00EF2741">
            <w:pPr>
              <w:autoSpaceDE w:val="0"/>
              <w:autoSpaceDN w:val="0"/>
              <w:adjustRightInd w:val="0"/>
              <w:jc w:val="center"/>
              <w:rPr>
                <w:sz w:val="18"/>
              </w:rPr>
            </w:pPr>
            <w:r>
              <w:rPr>
                <w:sz w:val="18"/>
              </w:rPr>
              <w:t>počet</w:t>
            </w:r>
          </w:p>
        </w:tc>
        <w:tc>
          <w:tcPr>
            <w:tcW w:w="1881" w:type="dxa"/>
            <w:vAlign w:val="center"/>
          </w:tcPr>
          <w:p w:rsidR="00960BB9" w:rsidRPr="00CE0495" w:rsidRDefault="00960BB9" w:rsidP="00EF2741">
            <w:pPr>
              <w:autoSpaceDE w:val="0"/>
              <w:autoSpaceDN w:val="0"/>
              <w:adjustRightInd w:val="0"/>
              <w:jc w:val="center"/>
              <w:rPr>
                <w:sz w:val="18"/>
              </w:rPr>
            </w:pPr>
            <w:r>
              <w:rPr>
                <w:sz w:val="18"/>
              </w:rPr>
              <w:t>N/A</w:t>
            </w:r>
          </w:p>
        </w:tc>
        <w:tc>
          <w:tcPr>
            <w:tcW w:w="2056" w:type="dxa"/>
            <w:vAlign w:val="center"/>
          </w:tcPr>
          <w:p w:rsidR="00960BB9" w:rsidRPr="00D504A0" w:rsidRDefault="00960BB9" w:rsidP="00EF2741">
            <w:pPr>
              <w:autoSpaceDE w:val="0"/>
              <w:autoSpaceDN w:val="0"/>
              <w:adjustRightInd w:val="0"/>
              <w:jc w:val="center"/>
              <w:rPr>
                <w:sz w:val="18"/>
              </w:rPr>
            </w:pPr>
            <w:r>
              <w:rPr>
                <w:sz w:val="18"/>
              </w:rPr>
              <w:t>RO OPII</w:t>
            </w:r>
          </w:p>
        </w:tc>
      </w:tr>
      <w:tr w:rsidR="00960BB9" w:rsidTr="00EF2741">
        <w:trPr>
          <w:trHeight w:val="441"/>
        </w:trPr>
        <w:tc>
          <w:tcPr>
            <w:tcW w:w="567" w:type="dxa"/>
            <w:vAlign w:val="center"/>
          </w:tcPr>
          <w:p w:rsidR="00960BB9" w:rsidRDefault="00960BB9" w:rsidP="00EF2741">
            <w:pPr>
              <w:autoSpaceDE w:val="0"/>
              <w:autoSpaceDN w:val="0"/>
              <w:adjustRightInd w:val="0"/>
              <w:jc w:val="center"/>
              <w:rPr>
                <w:sz w:val="18"/>
              </w:rPr>
            </w:pPr>
            <w:r>
              <w:rPr>
                <w:sz w:val="18"/>
              </w:rPr>
              <w:t>3.</w:t>
            </w:r>
          </w:p>
        </w:tc>
        <w:tc>
          <w:tcPr>
            <w:tcW w:w="3343" w:type="dxa"/>
            <w:vAlign w:val="center"/>
          </w:tcPr>
          <w:p w:rsidR="00960BB9" w:rsidRDefault="00960BB9" w:rsidP="00EF2741">
            <w:pPr>
              <w:autoSpaceDE w:val="0"/>
              <w:autoSpaceDN w:val="0"/>
              <w:adjustRightInd w:val="0"/>
              <w:rPr>
                <w:sz w:val="18"/>
              </w:rPr>
            </w:pPr>
            <w:r>
              <w:rPr>
                <w:sz w:val="18"/>
              </w:rPr>
              <w:t>Počet koordinačných porád, konferencií seminárov súvisiacich s OP</w:t>
            </w:r>
          </w:p>
        </w:tc>
        <w:tc>
          <w:tcPr>
            <w:tcW w:w="1563" w:type="dxa"/>
            <w:vAlign w:val="center"/>
          </w:tcPr>
          <w:p w:rsidR="00960BB9" w:rsidRPr="00D504A0" w:rsidRDefault="00960BB9" w:rsidP="00EF2741">
            <w:pPr>
              <w:autoSpaceDE w:val="0"/>
              <w:autoSpaceDN w:val="0"/>
              <w:adjustRightInd w:val="0"/>
              <w:jc w:val="center"/>
              <w:rPr>
                <w:sz w:val="18"/>
              </w:rPr>
            </w:pPr>
            <w:r>
              <w:rPr>
                <w:sz w:val="18"/>
              </w:rPr>
              <w:t>počet</w:t>
            </w:r>
          </w:p>
        </w:tc>
        <w:tc>
          <w:tcPr>
            <w:tcW w:w="1881" w:type="dxa"/>
            <w:vAlign w:val="center"/>
          </w:tcPr>
          <w:p w:rsidR="00960BB9" w:rsidRPr="00CE0495" w:rsidRDefault="00960BB9" w:rsidP="00EF2741">
            <w:pPr>
              <w:autoSpaceDE w:val="0"/>
              <w:autoSpaceDN w:val="0"/>
              <w:adjustRightInd w:val="0"/>
              <w:jc w:val="center"/>
              <w:rPr>
                <w:sz w:val="18"/>
              </w:rPr>
            </w:pPr>
            <w:r>
              <w:rPr>
                <w:sz w:val="18"/>
              </w:rPr>
              <w:t>N/A</w:t>
            </w:r>
          </w:p>
        </w:tc>
        <w:tc>
          <w:tcPr>
            <w:tcW w:w="2056" w:type="dxa"/>
            <w:vAlign w:val="center"/>
          </w:tcPr>
          <w:p w:rsidR="00960BB9" w:rsidRPr="00D504A0" w:rsidRDefault="00960BB9" w:rsidP="00EF2741">
            <w:pPr>
              <w:autoSpaceDE w:val="0"/>
              <w:autoSpaceDN w:val="0"/>
              <w:adjustRightInd w:val="0"/>
              <w:jc w:val="center"/>
              <w:rPr>
                <w:sz w:val="18"/>
              </w:rPr>
            </w:pPr>
            <w:r>
              <w:rPr>
                <w:sz w:val="18"/>
              </w:rPr>
              <w:t>RO OPII</w:t>
            </w:r>
          </w:p>
        </w:tc>
      </w:tr>
      <w:tr w:rsidR="00960BB9" w:rsidTr="00EF2741">
        <w:trPr>
          <w:trHeight w:val="441"/>
        </w:trPr>
        <w:tc>
          <w:tcPr>
            <w:tcW w:w="567" w:type="dxa"/>
            <w:vAlign w:val="center"/>
          </w:tcPr>
          <w:p w:rsidR="00960BB9" w:rsidRPr="00D504A0" w:rsidRDefault="00960BB9" w:rsidP="00EF2741">
            <w:pPr>
              <w:autoSpaceDE w:val="0"/>
              <w:autoSpaceDN w:val="0"/>
              <w:adjustRightInd w:val="0"/>
              <w:jc w:val="center"/>
              <w:rPr>
                <w:sz w:val="18"/>
              </w:rPr>
            </w:pPr>
            <w:r>
              <w:rPr>
                <w:sz w:val="18"/>
              </w:rPr>
              <w:t>4.</w:t>
            </w:r>
          </w:p>
        </w:tc>
        <w:tc>
          <w:tcPr>
            <w:tcW w:w="3343" w:type="dxa"/>
            <w:vAlign w:val="center"/>
          </w:tcPr>
          <w:p w:rsidR="00960BB9" w:rsidRDefault="00960BB9" w:rsidP="00EF2741">
            <w:pPr>
              <w:autoSpaceDE w:val="0"/>
              <w:autoSpaceDN w:val="0"/>
              <w:adjustRightInd w:val="0"/>
              <w:rPr>
                <w:sz w:val="18"/>
              </w:rPr>
            </w:pPr>
            <w:r>
              <w:rPr>
                <w:sz w:val="18"/>
              </w:rPr>
              <w:t>Počet kusov technických prostriedkov zakúpených na podporu činností vykonávaných administratívnymi kapacitami</w:t>
            </w:r>
          </w:p>
        </w:tc>
        <w:tc>
          <w:tcPr>
            <w:tcW w:w="1563" w:type="dxa"/>
            <w:vAlign w:val="center"/>
          </w:tcPr>
          <w:p w:rsidR="00960BB9" w:rsidRPr="00D504A0" w:rsidRDefault="00960BB9" w:rsidP="00EF2741">
            <w:pPr>
              <w:autoSpaceDE w:val="0"/>
              <w:autoSpaceDN w:val="0"/>
              <w:adjustRightInd w:val="0"/>
              <w:jc w:val="center"/>
              <w:rPr>
                <w:sz w:val="18"/>
              </w:rPr>
            </w:pPr>
            <w:r>
              <w:rPr>
                <w:sz w:val="18"/>
              </w:rPr>
              <w:t>počet</w:t>
            </w:r>
          </w:p>
        </w:tc>
        <w:tc>
          <w:tcPr>
            <w:tcW w:w="1881" w:type="dxa"/>
            <w:vAlign w:val="center"/>
          </w:tcPr>
          <w:p w:rsidR="00960BB9" w:rsidRPr="00CE0495" w:rsidRDefault="00960BB9" w:rsidP="00EF2741">
            <w:pPr>
              <w:autoSpaceDE w:val="0"/>
              <w:autoSpaceDN w:val="0"/>
              <w:adjustRightInd w:val="0"/>
              <w:jc w:val="center"/>
              <w:rPr>
                <w:sz w:val="18"/>
              </w:rPr>
            </w:pPr>
            <w:r>
              <w:rPr>
                <w:sz w:val="18"/>
              </w:rPr>
              <w:t>N/A</w:t>
            </w:r>
          </w:p>
        </w:tc>
        <w:tc>
          <w:tcPr>
            <w:tcW w:w="2056" w:type="dxa"/>
            <w:vAlign w:val="center"/>
          </w:tcPr>
          <w:p w:rsidR="00960BB9" w:rsidRPr="00D504A0" w:rsidRDefault="00960BB9" w:rsidP="00EF2741">
            <w:pPr>
              <w:autoSpaceDE w:val="0"/>
              <w:autoSpaceDN w:val="0"/>
              <w:adjustRightInd w:val="0"/>
              <w:jc w:val="center"/>
              <w:rPr>
                <w:sz w:val="18"/>
              </w:rPr>
            </w:pPr>
            <w:r>
              <w:rPr>
                <w:sz w:val="18"/>
              </w:rPr>
              <w:t>RO OPII</w:t>
            </w:r>
          </w:p>
        </w:tc>
      </w:tr>
      <w:tr w:rsidR="00960BB9" w:rsidTr="00EF2741">
        <w:trPr>
          <w:trHeight w:val="133"/>
        </w:trPr>
        <w:tc>
          <w:tcPr>
            <w:tcW w:w="567" w:type="dxa"/>
            <w:vAlign w:val="center"/>
          </w:tcPr>
          <w:p w:rsidR="00960BB9" w:rsidRDefault="00960BB9" w:rsidP="00EF2741">
            <w:pPr>
              <w:autoSpaceDE w:val="0"/>
              <w:autoSpaceDN w:val="0"/>
              <w:adjustRightInd w:val="0"/>
              <w:jc w:val="center"/>
              <w:rPr>
                <w:sz w:val="18"/>
              </w:rPr>
            </w:pPr>
            <w:r>
              <w:rPr>
                <w:sz w:val="18"/>
              </w:rPr>
              <w:t>5.</w:t>
            </w:r>
          </w:p>
        </w:tc>
        <w:tc>
          <w:tcPr>
            <w:tcW w:w="3343" w:type="dxa"/>
            <w:vAlign w:val="center"/>
          </w:tcPr>
          <w:p w:rsidR="00960BB9" w:rsidRDefault="00960BB9" w:rsidP="00EF2741">
            <w:pPr>
              <w:autoSpaceDE w:val="0"/>
              <w:autoSpaceDN w:val="0"/>
              <w:adjustRightInd w:val="0"/>
              <w:rPr>
                <w:sz w:val="18"/>
              </w:rPr>
            </w:pPr>
            <w:r>
              <w:rPr>
                <w:sz w:val="18"/>
              </w:rPr>
              <w:t>Počet IKT systémov zavedených na podporu činností vykonávaných administratívnymi kapacitami</w:t>
            </w:r>
          </w:p>
        </w:tc>
        <w:tc>
          <w:tcPr>
            <w:tcW w:w="1563" w:type="dxa"/>
            <w:vAlign w:val="center"/>
          </w:tcPr>
          <w:p w:rsidR="00960BB9" w:rsidRPr="00D504A0" w:rsidRDefault="00960BB9" w:rsidP="00EF2741">
            <w:pPr>
              <w:autoSpaceDE w:val="0"/>
              <w:autoSpaceDN w:val="0"/>
              <w:adjustRightInd w:val="0"/>
              <w:jc w:val="center"/>
              <w:rPr>
                <w:sz w:val="18"/>
              </w:rPr>
            </w:pPr>
            <w:r>
              <w:rPr>
                <w:sz w:val="18"/>
              </w:rPr>
              <w:t>počet</w:t>
            </w:r>
          </w:p>
        </w:tc>
        <w:tc>
          <w:tcPr>
            <w:tcW w:w="1881" w:type="dxa"/>
            <w:vAlign w:val="center"/>
          </w:tcPr>
          <w:p w:rsidR="00960BB9" w:rsidRPr="00CE0495" w:rsidRDefault="00960BB9" w:rsidP="00EF2741">
            <w:pPr>
              <w:autoSpaceDE w:val="0"/>
              <w:autoSpaceDN w:val="0"/>
              <w:adjustRightInd w:val="0"/>
              <w:jc w:val="center"/>
              <w:rPr>
                <w:sz w:val="18"/>
              </w:rPr>
            </w:pPr>
            <w:r>
              <w:rPr>
                <w:sz w:val="18"/>
              </w:rPr>
              <w:t>N/A</w:t>
            </w:r>
          </w:p>
        </w:tc>
        <w:tc>
          <w:tcPr>
            <w:tcW w:w="2056" w:type="dxa"/>
            <w:vAlign w:val="center"/>
          </w:tcPr>
          <w:p w:rsidR="00960BB9" w:rsidRPr="00D504A0" w:rsidRDefault="00960BB9" w:rsidP="00EF2741">
            <w:pPr>
              <w:autoSpaceDE w:val="0"/>
              <w:autoSpaceDN w:val="0"/>
              <w:adjustRightInd w:val="0"/>
              <w:jc w:val="center"/>
              <w:rPr>
                <w:sz w:val="18"/>
              </w:rPr>
            </w:pPr>
            <w:r>
              <w:rPr>
                <w:sz w:val="18"/>
              </w:rPr>
              <w:t>RO OPII</w:t>
            </w:r>
          </w:p>
        </w:tc>
      </w:tr>
      <w:tr w:rsidR="00960BB9" w:rsidTr="00EF2741">
        <w:trPr>
          <w:trHeight w:val="133"/>
        </w:trPr>
        <w:tc>
          <w:tcPr>
            <w:tcW w:w="567" w:type="dxa"/>
            <w:vAlign w:val="center"/>
          </w:tcPr>
          <w:p w:rsidR="00960BB9" w:rsidRPr="00D504A0" w:rsidRDefault="00960BB9" w:rsidP="00EF2741">
            <w:pPr>
              <w:autoSpaceDE w:val="0"/>
              <w:autoSpaceDN w:val="0"/>
              <w:adjustRightInd w:val="0"/>
              <w:jc w:val="center"/>
              <w:rPr>
                <w:sz w:val="18"/>
              </w:rPr>
            </w:pPr>
            <w:r>
              <w:rPr>
                <w:sz w:val="18"/>
              </w:rPr>
              <w:t>6.</w:t>
            </w:r>
          </w:p>
        </w:tc>
        <w:tc>
          <w:tcPr>
            <w:tcW w:w="3343" w:type="dxa"/>
            <w:vAlign w:val="center"/>
          </w:tcPr>
          <w:p w:rsidR="00960BB9" w:rsidRDefault="00960BB9" w:rsidP="00EF2741">
            <w:pPr>
              <w:autoSpaceDE w:val="0"/>
              <w:autoSpaceDN w:val="0"/>
              <w:adjustRightInd w:val="0"/>
              <w:rPr>
                <w:sz w:val="18"/>
              </w:rPr>
            </w:pPr>
            <w:r>
              <w:rPr>
                <w:sz w:val="18"/>
              </w:rPr>
              <w:t xml:space="preserve">Počet spracovaných hodnotení a štúdií </w:t>
            </w:r>
          </w:p>
        </w:tc>
        <w:tc>
          <w:tcPr>
            <w:tcW w:w="1563" w:type="dxa"/>
            <w:vAlign w:val="center"/>
          </w:tcPr>
          <w:p w:rsidR="00960BB9" w:rsidRPr="00D504A0" w:rsidRDefault="00960BB9" w:rsidP="00EF2741">
            <w:pPr>
              <w:autoSpaceDE w:val="0"/>
              <w:autoSpaceDN w:val="0"/>
              <w:adjustRightInd w:val="0"/>
              <w:jc w:val="center"/>
              <w:rPr>
                <w:sz w:val="18"/>
              </w:rPr>
            </w:pPr>
            <w:r>
              <w:rPr>
                <w:sz w:val="18"/>
              </w:rPr>
              <w:t>počet</w:t>
            </w:r>
          </w:p>
        </w:tc>
        <w:tc>
          <w:tcPr>
            <w:tcW w:w="1881" w:type="dxa"/>
            <w:vAlign w:val="center"/>
          </w:tcPr>
          <w:p w:rsidR="00960BB9" w:rsidRPr="00CE0495" w:rsidRDefault="00960BB9" w:rsidP="00EF2741">
            <w:pPr>
              <w:autoSpaceDE w:val="0"/>
              <w:autoSpaceDN w:val="0"/>
              <w:adjustRightInd w:val="0"/>
              <w:jc w:val="center"/>
              <w:rPr>
                <w:sz w:val="18"/>
              </w:rPr>
            </w:pPr>
            <w:r>
              <w:rPr>
                <w:sz w:val="18"/>
              </w:rPr>
              <w:t>N/A</w:t>
            </w:r>
          </w:p>
        </w:tc>
        <w:tc>
          <w:tcPr>
            <w:tcW w:w="2056" w:type="dxa"/>
            <w:vAlign w:val="center"/>
          </w:tcPr>
          <w:p w:rsidR="00960BB9" w:rsidRPr="00D504A0" w:rsidRDefault="00960BB9" w:rsidP="00EF2741">
            <w:pPr>
              <w:autoSpaceDE w:val="0"/>
              <w:autoSpaceDN w:val="0"/>
              <w:adjustRightInd w:val="0"/>
              <w:jc w:val="center"/>
              <w:rPr>
                <w:sz w:val="18"/>
              </w:rPr>
            </w:pPr>
            <w:r>
              <w:rPr>
                <w:sz w:val="18"/>
              </w:rPr>
              <w:t>RO OPII</w:t>
            </w:r>
          </w:p>
        </w:tc>
      </w:tr>
      <w:tr w:rsidR="00960BB9" w:rsidTr="00EF2741">
        <w:trPr>
          <w:trHeight w:val="441"/>
        </w:trPr>
        <w:tc>
          <w:tcPr>
            <w:tcW w:w="567" w:type="dxa"/>
            <w:vAlign w:val="center"/>
          </w:tcPr>
          <w:p w:rsidR="00960BB9" w:rsidRDefault="00960BB9" w:rsidP="00EF2741">
            <w:pPr>
              <w:autoSpaceDE w:val="0"/>
              <w:autoSpaceDN w:val="0"/>
              <w:adjustRightInd w:val="0"/>
              <w:jc w:val="center"/>
              <w:rPr>
                <w:sz w:val="18"/>
              </w:rPr>
            </w:pPr>
            <w:r>
              <w:rPr>
                <w:sz w:val="18"/>
              </w:rPr>
              <w:t>7.</w:t>
            </w:r>
          </w:p>
        </w:tc>
        <w:tc>
          <w:tcPr>
            <w:tcW w:w="3343" w:type="dxa"/>
            <w:vAlign w:val="center"/>
          </w:tcPr>
          <w:p w:rsidR="00960BB9" w:rsidRPr="00E30A7F" w:rsidRDefault="00960BB9" w:rsidP="00EF2741">
            <w:pPr>
              <w:autoSpaceDE w:val="0"/>
              <w:autoSpaceDN w:val="0"/>
              <w:adjustRightInd w:val="0"/>
              <w:rPr>
                <w:sz w:val="18"/>
              </w:rPr>
            </w:pPr>
            <w:r w:rsidRPr="00E30A7F">
              <w:rPr>
                <w:sz w:val="18"/>
              </w:rPr>
              <w:t>Počet unikátnych návštevníkov stránky (kumulatívne)</w:t>
            </w:r>
          </w:p>
        </w:tc>
        <w:tc>
          <w:tcPr>
            <w:tcW w:w="1563" w:type="dxa"/>
            <w:vAlign w:val="center"/>
          </w:tcPr>
          <w:p w:rsidR="00960BB9" w:rsidRPr="00E30A7F" w:rsidRDefault="00960BB9" w:rsidP="00EF2741">
            <w:pPr>
              <w:autoSpaceDE w:val="0"/>
              <w:autoSpaceDN w:val="0"/>
              <w:adjustRightInd w:val="0"/>
              <w:jc w:val="center"/>
              <w:rPr>
                <w:sz w:val="18"/>
              </w:rPr>
            </w:pPr>
            <w:r w:rsidRPr="00E30A7F">
              <w:rPr>
                <w:sz w:val="18"/>
              </w:rPr>
              <w:t>počet</w:t>
            </w:r>
          </w:p>
        </w:tc>
        <w:tc>
          <w:tcPr>
            <w:tcW w:w="1881" w:type="dxa"/>
            <w:vAlign w:val="center"/>
          </w:tcPr>
          <w:p w:rsidR="00960BB9" w:rsidRPr="00E30A7F" w:rsidRDefault="00960BB9" w:rsidP="00EF2741">
            <w:pPr>
              <w:autoSpaceDE w:val="0"/>
              <w:autoSpaceDN w:val="0"/>
              <w:adjustRightInd w:val="0"/>
              <w:jc w:val="center"/>
              <w:rPr>
                <w:sz w:val="18"/>
              </w:rPr>
            </w:pPr>
            <w:r w:rsidRPr="00E30A7F">
              <w:rPr>
                <w:sz w:val="18"/>
              </w:rPr>
              <w:t>N/A</w:t>
            </w:r>
          </w:p>
        </w:tc>
        <w:tc>
          <w:tcPr>
            <w:tcW w:w="2056" w:type="dxa"/>
            <w:vAlign w:val="center"/>
          </w:tcPr>
          <w:p w:rsidR="00960BB9" w:rsidRPr="00E30A7F" w:rsidRDefault="00960BB9" w:rsidP="00EF2741">
            <w:pPr>
              <w:autoSpaceDE w:val="0"/>
              <w:autoSpaceDN w:val="0"/>
              <w:adjustRightInd w:val="0"/>
              <w:jc w:val="center"/>
              <w:rPr>
                <w:sz w:val="18"/>
              </w:rPr>
            </w:pPr>
            <w:r w:rsidRPr="00E30A7F">
              <w:rPr>
                <w:sz w:val="18"/>
              </w:rPr>
              <w:t>RO OPII</w:t>
            </w:r>
          </w:p>
        </w:tc>
      </w:tr>
      <w:tr w:rsidR="00960BB9" w:rsidTr="00EF2741">
        <w:trPr>
          <w:trHeight w:val="441"/>
        </w:trPr>
        <w:tc>
          <w:tcPr>
            <w:tcW w:w="567" w:type="dxa"/>
            <w:vAlign w:val="center"/>
          </w:tcPr>
          <w:p w:rsidR="00960BB9" w:rsidRPr="00D504A0" w:rsidRDefault="00960BB9" w:rsidP="00EF2741">
            <w:pPr>
              <w:autoSpaceDE w:val="0"/>
              <w:autoSpaceDN w:val="0"/>
              <w:adjustRightInd w:val="0"/>
              <w:jc w:val="center"/>
              <w:rPr>
                <w:sz w:val="18"/>
              </w:rPr>
            </w:pPr>
            <w:r>
              <w:rPr>
                <w:sz w:val="18"/>
              </w:rPr>
              <w:t>8.</w:t>
            </w:r>
          </w:p>
        </w:tc>
        <w:tc>
          <w:tcPr>
            <w:tcW w:w="3343" w:type="dxa"/>
            <w:vAlign w:val="center"/>
          </w:tcPr>
          <w:p w:rsidR="00960BB9" w:rsidRDefault="00960BB9" w:rsidP="00EF2741">
            <w:pPr>
              <w:autoSpaceDE w:val="0"/>
              <w:autoSpaceDN w:val="0"/>
              <w:adjustRightInd w:val="0"/>
              <w:rPr>
                <w:sz w:val="18"/>
              </w:rPr>
            </w:pPr>
            <w:r>
              <w:rPr>
                <w:sz w:val="18"/>
              </w:rPr>
              <w:t>Počet informačných kampaní o OP</w:t>
            </w:r>
          </w:p>
        </w:tc>
        <w:tc>
          <w:tcPr>
            <w:tcW w:w="1563" w:type="dxa"/>
            <w:vAlign w:val="center"/>
          </w:tcPr>
          <w:p w:rsidR="00960BB9" w:rsidRPr="00D504A0" w:rsidRDefault="00960BB9" w:rsidP="00EF2741">
            <w:pPr>
              <w:autoSpaceDE w:val="0"/>
              <w:autoSpaceDN w:val="0"/>
              <w:adjustRightInd w:val="0"/>
              <w:jc w:val="center"/>
              <w:rPr>
                <w:sz w:val="18"/>
              </w:rPr>
            </w:pPr>
            <w:r>
              <w:rPr>
                <w:sz w:val="18"/>
              </w:rPr>
              <w:t>počet</w:t>
            </w:r>
          </w:p>
        </w:tc>
        <w:tc>
          <w:tcPr>
            <w:tcW w:w="1881" w:type="dxa"/>
            <w:vAlign w:val="center"/>
          </w:tcPr>
          <w:p w:rsidR="00960BB9" w:rsidRPr="00CE0495" w:rsidRDefault="00960BB9" w:rsidP="00EF2741">
            <w:pPr>
              <w:autoSpaceDE w:val="0"/>
              <w:autoSpaceDN w:val="0"/>
              <w:adjustRightInd w:val="0"/>
              <w:jc w:val="center"/>
              <w:rPr>
                <w:sz w:val="18"/>
              </w:rPr>
            </w:pPr>
            <w:r w:rsidRPr="00CE0495">
              <w:rPr>
                <w:sz w:val="18"/>
              </w:rPr>
              <w:t>5</w:t>
            </w:r>
          </w:p>
        </w:tc>
        <w:tc>
          <w:tcPr>
            <w:tcW w:w="2056" w:type="dxa"/>
            <w:vAlign w:val="center"/>
          </w:tcPr>
          <w:p w:rsidR="00960BB9" w:rsidRPr="00D504A0" w:rsidRDefault="00960BB9" w:rsidP="00EF2741">
            <w:pPr>
              <w:autoSpaceDE w:val="0"/>
              <w:autoSpaceDN w:val="0"/>
              <w:adjustRightInd w:val="0"/>
              <w:jc w:val="center"/>
              <w:rPr>
                <w:sz w:val="18"/>
              </w:rPr>
            </w:pPr>
            <w:r>
              <w:rPr>
                <w:sz w:val="18"/>
              </w:rPr>
              <w:t>RO OPII</w:t>
            </w:r>
          </w:p>
        </w:tc>
      </w:tr>
      <w:tr w:rsidR="00960BB9" w:rsidTr="00EF2741">
        <w:trPr>
          <w:trHeight w:val="441"/>
        </w:trPr>
        <w:tc>
          <w:tcPr>
            <w:tcW w:w="567" w:type="dxa"/>
            <w:vAlign w:val="center"/>
          </w:tcPr>
          <w:p w:rsidR="00960BB9" w:rsidRPr="00D504A0" w:rsidRDefault="00960BB9" w:rsidP="00EF2741">
            <w:pPr>
              <w:autoSpaceDE w:val="0"/>
              <w:autoSpaceDN w:val="0"/>
              <w:adjustRightInd w:val="0"/>
              <w:jc w:val="center"/>
              <w:rPr>
                <w:sz w:val="18"/>
              </w:rPr>
            </w:pPr>
            <w:r>
              <w:rPr>
                <w:sz w:val="18"/>
              </w:rPr>
              <w:t>9.</w:t>
            </w:r>
          </w:p>
        </w:tc>
        <w:tc>
          <w:tcPr>
            <w:tcW w:w="3343" w:type="dxa"/>
            <w:vAlign w:val="center"/>
          </w:tcPr>
          <w:p w:rsidR="00960BB9" w:rsidRDefault="00960BB9" w:rsidP="00EF2741">
            <w:pPr>
              <w:autoSpaceDE w:val="0"/>
              <w:autoSpaceDN w:val="0"/>
              <w:adjustRightInd w:val="0"/>
              <w:rPr>
                <w:sz w:val="18"/>
              </w:rPr>
            </w:pPr>
            <w:r>
              <w:rPr>
                <w:sz w:val="18"/>
              </w:rPr>
              <w:t>Počet tlačových konferencií o OP</w:t>
            </w:r>
          </w:p>
        </w:tc>
        <w:tc>
          <w:tcPr>
            <w:tcW w:w="1563" w:type="dxa"/>
            <w:vAlign w:val="center"/>
          </w:tcPr>
          <w:p w:rsidR="00960BB9" w:rsidRPr="00D504A0" w:rsidRDefault="00960BB9" w:rsidP="00EF2741">
            <w:pPr>
              <w:autoSpaceDE w:val="0"/>
              <w:autoSpaceDN w:val="0"/>
              <w:adjustRightInd w:val="0"/>
              <w:jc w:val="center"/>
              <w:rPr>
                <w:sz w:val="18"/>
              </w:rPr>
            </w:pPr>
            <w:r>
              <w:rPr>
                <w:sz w:val="18"/>
              </w:rPr>
              <w:t>počet</w:t>
            </w:r>
          </w:p>
        </w:tc>
        <w:tc>
          <w:tcPr>
            <w:tcW w:w="1881" w:type="dxa"/>
            <w:vAlign w:val="center"/>
          </w:tcPr>
          <w:p w:rsidR="00960BB9" w:rsidRPr="00CE0495" w:rsidRDefault="00960BB9" w:rsidP="00EF2741">
            <w:pPr>
              <w:autoSpaceDE w:val="0"/>
              <w:autoSpaceDN w:val="0"/>
              <w:adjustRightInd w:val="0"/>
              <w:jc w:val="center"/>
              <w:rPr>
                <w:sz w:val="18"/>
              </w:rPr>
            </w:pPr>
            <w:r w:rsidRPr="00CE0495">
              <w:rPr>
                <w:sz w:val="18"/>
              </w:rPr>
              <w:t>45</w:t>
            </w:r>
          </w:p>
        </w:tc>
        <w:tc>
          <w:tcPr>
            <w:tcW w:w="2056" w:type="dxa"/>
            <w:vAlign w:val="center"/>
          </w:tcPr>
          <w:p w:rsidR="00960BB9" w:rsidRPr="00D504A0" w:rsidRDefault="00960BB9" w:rsidP="00EF2741">
            <w:pPr>
              <w:autoSpaceDE w:val="0"/>
              <w:autoSpaceDN w:val="0"/>
              <w:adjustRightInd w:val="0"/>
              <w:jc w:val="center"/>
              <w:rPr>
                <w:sz w:val="18"/>
              </w:rPr>
            </w:pPr>
            <w:r>
              <w:rPr>
                <w:sz w:val="18"/>
              </w:rPr>
              <w:t>RO OPII</w:t>
            </w:r>
          </w:p>
        </w:tc>
      </w:tr>
      <w:tr w:rsidR="00960BB9" w:rsidTr="00EF2741">
        <w:trPr>
          <w:trHeight w:val="232"/>
        </w:trPr>
        <w:tc>
          <w:tcPr>
            <w:tcW w:w="567" w:type="dxa"/>
            <w:vAlign w:val="center"/>
          </w:tcPr>
          <w:p w:rsidR="00960BB9" w:rsidRPr="00D504A0" w:rsidRDefault="00960BB9" w:rsidP="00EF2741">
            <w:pPr>
              <w:autoSpaceDE w:val="0"/>
              <w:autoSpaceDN w:val="0"/>
              <w:adjustRightInd w:val="0"/>
              <w:jc w:val="center"/>
              <w:rPr>
                <w:sz w:val="18"/>
              </w:rPr>
            </w:pPr>
            <w:r>
              <w:rPr>
                <w:sz w:val="18"/>
              </w:rPr>
              <w:t>10.</w:t>
            </w:r>
          </w:p>
        </w:tc>
        <w:tc>
          <w:tcPr>
            <w:tcW w:w="3343" w:type="dxa"/>
            <w:vAlign w:val="center"/>
          </w:tcPr>
          <w:p w:rsidR="00960BB9" w:rsidRDefault="00960BB9" w:rsidP="00EF2741">
            <w:pPr>
              <w:autoSpaceDE w:val="0"/>
              <w:autoSpaceDN w:val="0"/>
              <w:adjustRightInd w:val="0"/>
              <w:rPr>
                <w:sz w:val="18"/>
              </w:rPr>
            </w:pPr>
            <w:r>
              <w:rPr>
                <w:sz w:val="18"/>
              </w:rPr>
              <w:t>Počet tlačových správ o OP</w:t>
            </w:r>
          </w:p>
        </w:tc>
        <w:tc>
          <w:tcPr>
            <w:tcW w:w="1563" w:type="dxa"/>
            <w:vAlign w:val="center"/>
          </w:tcPr>
          <w:p w:rsidR="00960BB9" w:rsidRPr="00D504A0" w:rsidRDefault="00960BB9" w:rsidP="00EF2741">
            <w:pPr>
              <w:autoSpaceDE w:val="0"/>
              <w:autoSpaceDN w:val="0"/>
              <w:adjustRightInd w:val="0"/>
              <w:jc w:val="center"/>
              <w:rPr>
                <w:sz w:val="18"/>
              </w:rPr>
            </w:pPr>
            <w:r>
              <w:rPr>
                <w:sz w:val="18"/>
              </w:rPr>
              <w:t>počet</w:t>
            </w:r>
          </w:p>
        </w:tc>
        <w:tc>
          <w:tcPr>
            <w:tcW w:w="1881" w:type="dxa"/>
            <w:vAlign w:val="center"/>
          </w:tcPr>
          <w:p w:rsidR="00960BB9" w:rsidRPr="00CE0495" w:rsidRDefault="00960BB9" w:rsidP="00EF2741">
            <w:pPr>
              <w:autoSpaceDE w:val="0"/>
              <w:autoSpaceDN w:val="0"/>
              <w:adjustRightInd w:val="0"/>
              <w:jc w:val="center"/>
              <w:rPr>
                <w:sz w:val="18"/>
              </w:rPr>
            </w:pPr>
            <w:r w:rsidRPr="00CE0495">
              <w:rPr>
                <w:sz w:val="18"/>
              </w:rPr>
              <w:t>100</w:t>
            </w:r>
          </w:p>
        </w:tc>
        <w:tc>
          <w:tcPr>
            <w:tcW w:w="2056" w:type="dxa"/>
            <w:vAlign w:val="center"/>
          </w:tcPr>
          <w:p w:rsidR="00960BB9" w:rsidRPr="00D504A0" w:rsidRDefault="00960BB9" w:rsidP="00EF2741">
            <w:pPr>
              <w:autoSpaceDE w:val="0"/>
              <w:autoSpaceDN w:val="0"/>
              <w:adjustRightInd w:val="0"/>
              <w:jc w:val="center"/>
              <w:rPr>
                <w:sz w:val="18"/>
              </w:rPr>
            </w:pPr>
            <w:r>
              <w:rPr>
                <w:sz w:val="18"/>
              </w:rPr>
              <w:t>RO OPII</w:t>
            </w:r>
          </w:p>
        </w:tc>
      </w:tr>
      <w:tr w:rsidR="00960BB9" w:rsidTr="00EF2741">
        <w:trPr>
          <w:trHeight w:val="133"/>
        </w:trPr>
        <w:tc>
          <w:tcPr>
            <w:tcW w:w="567" w:type="dxa"/>
            <w:vAlign w:val="center"/>
          </w:tcPr>
          <w:p w:rsidR="00960BB9" w:rsidRPr="00D504A0" w:rsidRDefault="00960BB9" w:rsidP="00EF2741">
            <w:pPr>
              <w:autoSpaceDE w:val="0"/>
              <w:autoSpaceDN w:val="0"/>
              <w:adjustRightInd w:val="0"/>
              <w:jc w:val="center"/>
              <w:rPr>
                <w:sz w:val="18"/>
              </w:rPr>
            </w:pPr>
            <w:r>
              <w:rPr>
                <w:sz w:val="18"/>
              </w:rPr>
              <w:t>11.</w:t>
            </w:r>
          </w:p>
        </w:tc>
        <w:tc>
          <w:tcPr>
            <w:tcW w:w="3343" w:type="dxa"/>
            <w:vAlign w:val="center"/>
          </w:tcPr>
          <w:p w:rsidR="00960BB9" w:rsidRDefault="00960BB9" w:rsidP="00EF2741">
            <w:pPr>
              <w:autoSpaceDE w:val="0"/>
              <w:autoSpaceDN w:val="0"/>
              <w:adjustRightInd w:val="0"/>
              <w:rPr>
                <w:sz w:val="18"/>
              </w:rPr>
            </w:pPr>
            <w:r>
              <w:rPr>
                <w:sz w:val="18"/>
              </w:rPr>
              <w:t xml:space="preserve">Počet propagačných akcií OP na odborných  konferenciách </w:t>
            </w:r>
          </w:p>
        </w:tc>
        <w:tc>
          <w:tcPr>
            <w:tcW w:w="1563" w:type="dxa"/>
            <w:vAlign w:val="center"/>
          </w:tcPr>
          <w:p w:rsidR="00960BB9" w:rsidRPr="00D504A0" w:rsidRDefault="00960BB9" w:rsidP="00EF2741">
            <w:pPr>
              <w:autoSpaceDE w:val="0"/>
              <w:autoSpaceDN w:val="0"/>
              <w:adjustRightInd w:val="0"/>
              <w:jc w:val="center"/>
              <w:rPr>
                <w:sz w:val="18"/>
              </w:rPr>
            </w:pPr>
            <w:r>
              <w:rPr>
                <w:sz w:val="18"/>
              </w:rPr>
              <w:t>počet</w:t>
            </w:r>
          </w:p>
        </w:tc>
        <w:tc>
          <w:tcPr>
            <w:tcW w:w="1881" w:type="dxa"/>
            <w:vAlign w:val="center"/>
          </w:tcPr>
          <w:p w:rsidR="00960BB9" w:rsidRPr="00CE0495" w:rsidRDefault="00960BB9" w:rsidP="00EF2741">
            <w:pPr>
              <w:autoSpaceDE w:val="0"/>
              <w:autoSpaceDN w:val="0"/>
              <w:adjustRightInd w:val="0"/>
              <w:jc w:val="center"/>
              <w:rPr>
                <w:sz w:val="18"/>
              </w:rPr>
            </w:pPr>
            <w:r w:rsidRPr="00CE0495">
              <w:rPr>
                <w:sz w:val="18"/>
              </w:rPr>
              <w:t>40</w:t>
            </w:r>
          </w:p>
        </w:tc>
        <w:tc>
          <w:tcPr>
            <w:tcW w:w="2056" w:type="dxa"/>
            <w:vAlign w:val="center"/>
          </w:tcPr>
          <w:p w:rsidR="00960BB9" w:rsidRPr="00D504A0" w:rsidRDefault="00960BB9" w:rsidP="00EF2741">
            <w:pPr>
              <w:autoSpaceDE w:val="0"/>
              <w:autoSpaceDN w:val="0"/>
              <w:adjustRightInd w:val="0"/>
              <w:jc w:val="center"/>
              <w:rPr>
                <w:sz w:val="18"/>
              </w:rPr>
            </w:pPr>
            <w:r>
              <w:rPr>
                <w:sz w:val="18"/>
              </w:rPr>
              <w:t>RO OPII</w:t>
            </w:r>
          </w:p>
        </w:tc>
      </w:tr>
    </w:tbl>
    <w:p w:rsidR="007C0E65" w:rsidRDefault="007C0E65" w:rsidP="007C0E65">
      <w:pPr>
        <w:autoSpaceDE w:val="0"/>
        <w:autoSpaceDN w:val="0"/>
        <w:adjustRightInd w:val="0"/>
        <w:rPr>
          <w:rFonts w:ascii="TimesNewRoman" w:hAnsi="TimesNewRoman" w:cs="TimesNewRoman"/>
        </w:rPr>
      </w:pPr>
    </w:p>
    <w:p w:rsidR="009126A9" w:rsidRDefault="009126A9" w:rsidP="007C0E65">
      <w:pPr>
        <w:autoSpaceDE w:val="0"/>
        <w:autoSpaceDN w:val="0"/>
        <w:adjustRightInd w:val="0"/>
        <w:rPr>
          <w:rFonts w:ascii="TimesNewRoman" w:hAnsi="TimesNewRoman" w:cs="TimesNewRoman"/>
        </w:rPr>
      </w:pPr>
    </w:p>
    <w:p w:rsidR="007C0E65" w:rsidRPr="00AF51CC" w:rsidRDefault="007C0E65" w:rsidP="007C0E65">
      <w:pPr>
        <w:pStyle w:val="Nadpis3"/>
      </w:pPr>
      <w:bookmarkStart w:id="98" w:name="_Toc383520787"/>
      <w:bookmarkStart w:id="99" w:name="_Toc385310741"/>
      <w:r w:rsidRPr="00AF51CC">
        <w:lastRenderedPageBreak/>
        <w:t>Kategórie intervencií</w:t>
      </w:r>
      <w:bookmarkEnd w:id="98"/>
      <w:bookmarkEnd w:id="99"/>
    </w:p>
    <w:p w:rsidR="007C0E65" w:rsidRPr="00DE5C39" w:rsidRDefault="007C0E65" w:rsidP="007C0E65">
      <w:pPr>
        <w:pStyle w:val="Tab"/>
      </w:pPr>
    </w:p>
    <w:tbl>
      <w:tblPr>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7C0E65" w:rsidRPr="003A7F56" w:rsidTr="007C0E65">
        <w:trPr>
          <w:trHeight w:val="255"/>
          <w:jc w:val="center"/>
        </w:trPr>
        <w:tc>
          <w:tcPr>
            <w:tcW w:w="9098" w:type="dxa"/>
            <w:gridSpan w:val="3"/>
            <w:shd w:val="clear" w:color="auto" w:fill="DBE5F1"/>
            <w:vAlign w:val="center"/>
          </w:tcPr>
          <w:p w:rsidR="007C0E65" w:rsidRPr="003A7F56" w:rsidRDefault="007C0E65" w:rsidP="007C0E65">
            <w:pPr>
              <w:autoSpaceDE w:val="0"/>
              <w:autoSpaceDN w:val="0"/>
              <w:adjustRightInd w:val="0"/>
              <w:rPr>
                <w:rFonts w:ascii="TimesNewRoman" w:hAnsi="TimesNewRoman" w:cs="TimesNewRoman"/>
                <w:sz w:val="20"/>
                <w:szCs w:val="20"/>
              </w:rPr>
            </w:pPr>
            <w:r w:rsidRPr="003A7F56">
              <w:rPr>
                <w:rFonts w:ascii="TimesNewRoman" w:hAnsi="TimesNewRoman" w:cs="TimesNewRoman"/>
                <w:b/>
                <w:bCs/>
                <w:sz w:val="20"/>
                <w:szCs w:val="20"/>
              </w:rPr>
              <w:t xml:space="preserve">Rozmer 1 – Oblasť intervencie </w:t>
            </w:r>
          </w:p>
        </w:tc>
      </w:tr>
      <w:tr w:rsidR="007C0E65" w:rsidRPr="003A7F56" w:rsidTr="007C0E65">
        <w:trPr>
          <w:trHeight w:val="255"/>
          <w:jc w:val="center"/>
        </w:trPr>
        <w:tc>
          <w:tcPr>
            <w:tcW w:w="4928" w:type="dxa"/>
            <w:shd w:val="clear" w:color="auto" w:fill="DBE5F1"/>
            <w:vAlign w:val="center"/>
          </w:tcPr>
          <w:p w:rsidR="007C0E65" w:rsidRPr="003A7F56" w:rsidRDefault="007C0E65" w:rsidP="007C0E65">
            <w:pPr>
              <w:autoSpaceDE w:val="0"/>
              <w:autoSpaceDN w:val="0"/>
              <w:adjustRightInd w:val="0"/>
              <w:rPr>
                <w:rFonts w:ascii="TimesNewRoman" w:hAnsi="TimesNewRoman" w:cs="TimesNewRoman"/>
                <w:b/>
                <w:bCs/>
                <w:sz w:val="20"/>
                <w:szCs w:val="20"/>
              </w:rPr>
            </w:pPr>
            <w:r w:rsidRPr="003A7F56">
              <w:rPr>
                <w:rFonts w:ascii="TimesNewRoman" w:hAnsi="TimesNewRoman" w:cs="TimesNewRoman"/>
                <w:b/>
                <w:bCs/>
                <w:sz w:val="20"/>
                <w:szCs w:val="20"/>
              </w:rPr>
              <w:t>Fond</w:t>
            </w:r>
          </w:p>
        </w:tc>
        <w:tc>
          <w:tcPr>
            <w:tcW w:w="4170" w:type="dxa"/>
            <w:gridSpan w:val="2"/>
            <w:shd w:val="clear" w:color="auto" w:fill="DBE5F1"/>
            <w:vAlign w:val="center"/>
          </w:tcPr>
          <w:p w:rsidR="007C0E65" w:rsidRPr="003A7F56" w:rsidRDefault="007C0E65" w:rsidP="007C0E65">
            <w:pPr>
              <w:autoSpaceDE w:val="0"/>
              <w:autoSpaceDN w:val="0"/>
              <w:adjustRightInd w:val="0"/>
              <w:rPr>
                <w:rFonts w:ascii="TimesNewRoman" w:hAnsi="TimesNewRoman" w:cs="TimesNewRoman"/>
                <w:bCs/>
                <w:sz w:val="20"/>
                <w:szCs w:val="20"/>
              </w:rPr>
            </w:pPr>
            <w:r w:rsidRPr="003A7F56">
              <w:rPr>
                <w:rFonts w:ascii="TimesNewRoman" w:hAnsi="TimesNewRoman" w:cs="TimesNewRoman"/>
                <w:bCs/>
                <w:sz w:val="20"/>
                <w:szCs w:val="20"/>
              </w:rPr>
              <w:t>Európsky fond regionálneho rozvoja</w:t>
            </w:r>
          </w:p>
        </w:tc>
      </w:tr>
      <w:tr w:rsidR="007C0E65" w:rsidRPr="003A7F56" w:rsidTr="007C0E65">
        <w:trPr>
          <w:trHeight w:val="255"/>
          <w:jc w:val="center"/>
        </w:trPr>
        <w:tc>
          <w:tcPr>
            <w:tcW w:w="4928" w:type="dxa"/>
            <w:shd w:val="clear" w:color="auto" w:fill="DBE5F1"/>
            <w:vAlign w:val="center"/>
          </w:tcPr>
          <w:p w:rsidR="007C0E65" w:rsidRPr="003A7F56" w:rsidRDefault="007C0E65" w:rsidP="007C0E65">
            <w:pPr>
              <w:autoSpaceDE w:val="0"/>
              <w:autoSpaceDN w:val="0"/>
              <w:adjustRightInd w:val="0"/>
              <w:rPr>
                <w:rFonts w:ascii="TimesNewRoman" w:hAnsi="TimesNewRoman" w:cs="TimesNewRoman"/>
                <w:sz w:val="20"/>
                <w:szCs w:val="20"/>
              </w:rPr>
            </w:pPr>
            <w:r w:rsidRPr="003A7F56">
              <w:rPr>
                <w:rFonts w:ascii="TimesNewRoman" w:hAnsi="TimesNewRoman" w:cs="TimesNewRoman"/>
                <w:b/>
                <w:bCs/>
                <w:sz w:val="20"/>
                <w:szCs w:val="20"/>
              </w:rPr>
              <w:t>Kategória regiónu</w:t>
            </w:r>
          </w:p>
        </w:tc>
        <w:tc>
          <w:tcPr>
            <w:tcW w:w="4170" w:type="dxa"/>
            <w:gridSpan w:val="2"/>
            <w:shd w:val="clear" w:color="auto" w:fill="DBE5F1"/>
            <w:vAlign w:val="center"/>
          </w:tcPr>
          <w:p w:rsidR="007C0E65" w:rsidRPr="003A7F56" w:rsidRDefault="007C0E65" w:rsidP="007C0E65">
            <w:pPr>
              <w:autoSpaceDE w:val="0"/>
              <w:autoSpaceDN w:val="0"/>
              <w:adjustRightInd w:val="0"/>
              <w:rPr>
                <w:rFonts w:ascii="TimesNewRoman" w:hAnsi="TimesNewRoman" w:cs="TimesNewRoman"/>
                <w:sz w:val="20"/>
                <w:szCs w:val="20"/>
              </w:rPr>
            </w:pPr>
            <w:r w:rsidRPr="003A7F56">
              <w:rPr>
                <w:rFonts w:ascii="TimesNewRoman" w:hAnsi="TimesNewRoman" w:cs="TimesNewRoman"/>
                <w:sz w:val="20"/>
                <w:szCs w:val="20"/>
              </w:rPr>
              <w:t>N/A</w:t>
            </w:r>
          </w:p>
        </w:tc>
      </w:tr>
      <w:tr w:rsidR="007C0E65" w:rsidRPr="003A7F56" w:rsidTr="007C0E65">
        <w:trPr>
          <w:trHeight w:val="255"/>
          <w:jc w:val="center"/>
        </w:trPr>
        <w:tc>
          <w:tcPr>
            <w:tcW w:w="4928" w:type="dxa"/>
            <w:shd w:val="clear" w:color="auto" w:fill="auto"/>
            <w:vAlign w:val="center"/>
          </w:tcPr>
          <w:p w:rsidR="007C0E65" w:rsidRPr="003A7F56" w:rsidRDefault="007C0E65" w:rsidP="007C0E65">
            <w:pPr>
              <w:autoSpaceDE w:val="0"/>
              <w:autoSpaceDN w:val="0"/>
              <w:adjustRightInd w:val="0"/>
              <w:rPr>
                <w:rFonts w:ascii="TimesNewRoman" w:hAnsi="TimesNewRoman" w:cs="TimesNewRoman"/>
                <w:b/>
                <w:sz w:val="20"/>
                <w:szCs w:val="20"/>
              </w:rPr>
            </w:pPr>
            <w:r w:rsidRPr="003A7F56">
              <w:rPr>
                <w:rFonts w:ascii="TimesNewRoman" w:hAnsi="TimesNewRoman" w:cs="TimesNewRoman"/>
                <w:b/>
                <w:sz w:val="20"/>
                <w:szCs w:val="20"/>
              </w:rPr>
              <w:t>Prioritná os</w:t>
            </w:r>
          </w:p>
        </w:tc>
        <w:tc>
          <w:tcPr>
            <w:tcW w:w="2126"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b/>
                <w:sz w:val="20"/>
                <w:szCs w:val="20"/>
              </w:rPr>
            </w:pPr>
            <w:r w:rsidRPr="003A7F56">
              <w:rPr>
                <w:rFonts w:ascii="TimesNewRoman" w:hAnsi="TimesNewRoman" w:cs="TimesNewRoman"/>
                <w:b/>
                <w:sz w:val="20"/>
                <w:szCs w:val="20"/>
              </w:rPr>
              <w:t>Kód</w:t>
            </w:r>
          </w:p>
        </w:tc>
        <w:tc>
          <w:tcPr>
            <w:tcW w:w="2044"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b/>
                <w:sz w:val="20"/>
                <w:szCs w:val="20"/>
              </w:rPr>
            </w:pPr>
            <w:r w:rsidRPr="003A7F56">
              <w:rPr>
                <w:rFonts w:ascii="TimesNewRoman" w:hAnsi="TimesNewRoman" w:cs="TimesNewRoman"/>
                <w:b/>
                <w:sz w:val="20"/>
                <w:szCs w:val="20"/>
              </w:rPr>
              <w:t>Suma (v EUR)</w:t>
            </w:r>
          </w:p>
        </w:tc>
      </w:tr>
      <w:tr w:rsidR="007C0E65" w:rsidRPr="003A7F56" w:rsidTr="007C0E65">
        <w:trPr>
          <w:trHeight w:val="255"/>
          <w:jc w:val="center"/>
        </w:trPr>
        <w:tc>
          <w:tcPr>
            <w:tcW w:w="4928" w:type="dxa"/>
            <w:vMerge w:val="restart"/>
            <w:shd w:val="clear" w:color="auto" w:fill="auto"/>
            <w:vAlign w:val="center"/>
          </w:tcPr>
          <w:p w:rsidR="007C0E65" w:rsidRPr="003A7F56" w:rsidRDefault="007C0E65" w:rsidP="007C0E65">
            <w:pPr>
              <w:autoSpaceDE w:val="0"/>
              <w:autoSpaceDN w:val="0"/>
              <w:adjustRightInd w:val="0"/>
              <w:rPr>
                <w:rFonts w:ascii="TimesNewRoman" w:hAnsi="TimesNewRoman" w:cs="TimesNewRoman"/>
                <w:sz w:val="20"/>
                <w:szCs w:val="20"/>
              </w:rPr>
            </w:pPr>
            <w:r w:rsidRPr="003A7F56">
              <w:rPr>
                <w:rFonts w:ascii="TimesNewRoman" w:hAnsi="TimesNewRoman" w:cs="TimesNewRoman"/>
                <w:sz w:val="20"/>
                <w:szCs w:val="20"/>
              </w:rPr>
              <w:t>Prioritná os 8 – Technická pomoc</w:t>
            </w:r>
          </w:p>
        </w:tc>
        <w:tc>
          <w:tcPr>
            <w:tcW w:w="2126"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sz w:val="20"/>
                <w:szCs w:val="20"/>
              </w:rPr>
            </w:pPr>
            <w:r w:rsidRPr="003A7F56">
              <w:rPr>
                <w:rFonts w:ascii="TimesNewRoman" w:hAnsi="TimesNewRoman" w:cs="TimesNewRoman"/>
                <w:sz w:val="20"/>
                <w:szCs w:val="20"/>
              </w:rPr>
              <w:t>12</w:t>
            </w:r>
            <w:r w:rsidR="0028524B">
              <w:rPr>
                <w:rFonts w:ascii="TimesNewRoman" w:hAnsi="TimesNewRoman" w:cs="TimesNewRoman"/>
                <w:sz w:val="20"/>
                <w:szCs w:val="20"/>
              </w:rPr>
              <w:t>1</w:t>
            </w:r>
          </w:p>
        </w:tc>
        <w:tc>
          <w:tcPr>
            <w:tcW w:w="2044"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sz w:val="20"/>
                <w:szCs w:val="20"/>
              </w:rPr>
            </w:pPr>
            <w:r w:rsidRPr="003A7F56">
              <w:rPr>
                <w:rFonts w:ascii="TimesNewRoman" w:hAnsi="TimesNewRoman" w:cs="TimesNewRoman"/>
                <w:sz w:val="20"/>
                <w:szCs w:val="20"/>
              </w:rPr>
              <w:t>45 050 000</w:t>
            </w:r>
          </w:p>
        </w:tc>
      </w:tr>
      <w:tr w:rsidR="007C0E65" w:rsidRPr="003A7F56" w:rsidTr="007C0E65">
        <w:trPr>
          <w:trHeight w:val="255"/>
          <w:jc w:val="center"/>
        </w:trPr>
        <w:tc>
          <w:tcPr>
            <w:tcW w:w="4928" w:type="dxa"/>
            <w:vMerge/>
            <w:shd w:val="clear" w:color="auto" w:fill="auto"/>
            <w:vAlign w:val="center"/>
          </w:tcPr>
          <w:p w:rsidR="007C0E65" w:rsidRPr="003A7F56" w:rsidRDefault="007C0E65" w:rsidP="007C0E65">
            <w:pPr>
              <w:autoSpaceDE w:val="0"/>
              <w:autoSpaceDN w:val="0"/>
              <w:adjustRightInd w:val="0"/>
              <w:rPr>
                <w:rFonts w:ascii="TimesNewRoman" w:hAnsi="TimesNewRoman" w:cs="TimesNewRoman"/>
                <w:sz w:val="20"/>
                <w:szCs w:val="20"/>
              </w:rPr>
            </w:pPr>
          </w:p>
        </w:tc>
        <w:tc>
          <w:tcPr>
            <w:tcW w:w="2126"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sz w:val="20"/>
                <w:szCs w:val="20"/>
              </w:rPr>
            </w:pPr>
            <w:r w:rsidRPr="003A7F56">
              <w:rPr>
                <w:rFonts w:ascii="TimesNewRoman" w:hAnsi="TimesNewRoman" w:cs="TimesNewRoman"/>
                <w:sz w:val="20"/>
                <w:szCs w:val="20"/>
              </w:rPr>
              <w:t>12</w:t>
            </w:r>
            <w:r w:rsidR="0028524B">
              <w:rPr>
                <w:rFonts w:ascii="TimesNewRoman" w:hAnsi="TimesNewRoman" w:cs="TimesNewRoman"/>
                <w:sz w:val="20"/>
                <w:szCs w:val="20"/>
              </w:rPr>
              <w:t>2</w:t>
            </w:r>
          </w:p>
        </w:tc>
        <w:tc>
          <w:tcPr>
            <w:tcW w:w="2044"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sz w:val="20"/>
                <w:szCs w:val="20"/>
                <w:lang w:val="en-US"/>
              </w:rPr>
            </w:pPr>
            <w:r w:rsidRPr="003A7F56">
              <w:rPr>
                <w:rFonts w:ascii="TimesNewRoman" w:hAnsi="TimesNewRoman" w:cs="TimesNewRoman"/>
                <w:sz w:val="20"/>
                <w:szCs w:val="20"/>
              </w:rPr>
              <w:t>18 700 000</w:t>
            </w:r>
          </w:p>
        </w:tc>
      </w:tr>
      <w:tr w:rsidR="007C0E65" w:rsidRPr="003A7F56" w:rsidTr="007C0E65">
        <w:trPr>
          <w:trHeight w:val="255"/>
          <w:jc w:val="center"/>
        </w:trPr>
        <w:tc>
          <w:tcPr>
            <w:tcW w:w="4928" w:type="dxa"/>
            <w:vMerge/>
            <w:shd w:val="clear" w:color="auto" w:fill="auto"/>
            <w:vAlign w:val="center"/>
          </w:tcPr>
          <w:p w:rsidR="007C0E65" w:rsidRPr="003A7F56" w:rsidRDefault="007C0E65" w:rsidP="007C0E65">
            <w:pPr>
              <w:autoSpaceDE w:val="0"/>
              <w:autoSpaceDN w:val="0"/>
              <w:adjustRightInd w:val="0"/>
              <w:rPr>
                <w:rFonts w:ascii="TimesNewRoman" w:hAnsi="TimesNewRoman" w:cs="TimesNewRoman"/>
                <w:sz w:val="20"/>
                <w:szCs w:val="20"/>
              </w:rPr>
            </w:pPr>
          </w:p>
        </w:tc>
        <w:tc>
          <w:tcPr>
            <w:tcW w:w="2126"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sz w:val="20"/>
                <w:szCs w:val="20"/>
              </w:rPr>
            </w:pPr>
            <w:r w:rsidRPr="003A7F56">
              <w:rPr>
                <w:rFonts w:ascii="TimesNewRoman" w:hAnsi="TimesNewRoman" w:cs="TimesNewRoman"/>
                <w:sz w:val="20"/>
                <w:szCs w:val="20"/>
              </w:rPr>
              <w:t>12</w:t>
            </w:r>
            <w:r w:rsidR="0028524B">
              <w:rPr>
                <w:rFonts w:ascii="TimesNewRoman" w:hAnsi="TimesNewRoman" w:cs="TimesNewRoman"/>
                <w:sz w:val="20"/>
                <w:szCs w:val="20"/>
              </w:rPr>
              <w:t>3</w:t>
            </w:r>
          </w:p>
        </w:tc>
        <w:tc>
          <w:tcPr>
            <w:tcW w:w="2044"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sz w:val="20"/>
                <w:szCs w:val="20"/>
                <w:lang w:val="en-US"/>
              </w:rPr>
            </w:pPr>
            <w:r w:rsidRPr="003A7F56">
              <w:rPr>
                <w:rFonts w:ascii="TimesNewRoman" w:hAnsi="TimesNewRoman" w:cs="TimesNewRoman"/>
                <w:sz w:val="20"/>
                <w:szCs w:val="20"/>
              </w:rPr>
              <w:t>21 250 000</w:t>
            </w:r>
          </w:p>
        </w:tc>
      </w:tr>
    </w:tbl>
    <w:p w:rsidR="007C0E65" w:rsidRPr="00DE5C39" w:rsidRDefault="007C0E65" w:rsidP="007C0E65">
      <w:pPr>
        <w:pStyle w:val="Tab"/>
      </w:pPr>
    </w:p>
    <w:tbl>
      <w:tblPr>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7C0E65" w:rsidRPr="003A7F56" w:rsidTr="007C0E65">
        <w:trPr>
          <w:trHeight w:val="255"/>
          <w:jc w:val="center"/>
        </w:trPr>
        <w:tc>
          <w:tcPr>
            <w:tcW w:w="9072" w:type="dxa"/>
            <w:gridSpan w:val="3"/>
            <w:shd w:val="clear" w:color="auto" w:fill="DBE5F1"/>
            <w:vAlign w:val="center"/>
          </w:tcPr>
          <w:p w:rsidR="007C0E65" w:rsidRPr="003A7F56" w:rsidRDefault="007C0E65" w:rsidP="007C0E65">
            <w:pPr>
              <w:autoSpaceDE w:val="0"/>
              <w:autoSpaceDN w:val="0"/>
              <w:adjustRightInd w:val="0"/>
              <w:rPr>
                <w:rFonts w:ascii="TimesNewRoman" w:hAnsi="TimesNewRoman" w:cs="TimesNewRoman"/>
                <w:sz w:val="20"/>
                <w:szCs w:val="20"/>
              </w:rPr>
            </w:pPr>
            <w:r w:rsidRPr="003A7F56">
              <w:rPr>
                <w:rFonts w:ascii="TimesNewRoman" w:hAnsi="TimesNewRoman" w:cs="TimesNewRoman"/>
                <w:b/>
                <w:bCs/>
                <w:sz w:val="20"/>
                <w:szCs w:val="20"/>
              </w:rPr>
              <w:t xml:space="preserve">Rozmer 2 – Forma financovania </w:t>
            </w:r>
          </w:p>
        </w:tc>
      </w:tr>
      <w:tr w:rsidR="007C0E65" w:rsidRPr="003A7F56" w:rsidTr="007C0E65">
        <w:trPr>
          <w:trHeight w:val="255"/>
          <w:jc w:val="center"/>
        </w:trPr>
        <w:tc>
          <w:tcPr>
            <w:tcW w:w="4913" w:type="dxa"/>
            <w:shd w:val="clear" w:color="auto" w:fill="DBE5F1"/>
            <w:vAlign w:val="center"/>
          </w:tcPr>
          <w:p w:rsidR="007C0E65" w:rsidRPr="003A7F56" w:rsidRDefault="007C0E65" w:rsidP="007C0E65">
            <w:pPr>
              <w:autoSpaceDE w:val="0"/>
              <w:autoSpaceDN w:val="0"/>
              <w:adjustRightInd w:val="0"/>
              <w:rPr>
                <w:rFonts w:ascii="TimesNewRoman" w:hAnsi="TimesNewRoman" w:cs="TimesNewRoman"/>
                <w:b/>
                <w:bCs/>
                <w:sz w:val="20"/>
                <w:szCs w:val="20"/>
              </w:rPr>
            </w:pPr>
            <w:r w:rsidRPr="003A7F56">
              <w:rPr>
                <w:rFonts w:ascii="TimesNewRoman" w:hAnsi="TimesNewRoman" w:cs="TimesNewRoman"/>
                <w:b/>
                <w:bCs/>
                <w:sz w:val="20"/>
                <w:szCs w:val="20"/>
              </w:rPr>
              <w:t>Fond</w:t>
            </w:r>
          </w:p>
        </w:tc>
        <w:tc>
          <w:tcPr>
            <w:tcW w:w="4159" w:type="dxa"/>
            <w:gridSpan w:val="2"/>
            <w:shd w:val="clear" w:color="auto" w:fill="DBE5F1"/>
            <w:vAlign w:val="center"/>
          </w:tcPr>
          <w:p w:rsidR="007C0E65" w:rsidRPr="003A7F56" w:rsidRDefault="007C0E65" w:rsidP="007C0E65">
            <w:pPr>
              <w:autoSpaceDE w:val="0"/>
              <w:autoSpaceDN w:val="0"/>
              <w:adjustRightInd w:val="0"/>
              <w:rPr>
                <w:rFonts w:ascii="TimesNewRoman" w:hAnsi="TimesNewRoman" w:cs="TimesNewRoman"/>
                <w:bCs/>
                <w:sz w:val="20"/>
                <w:szCs w:val="20"/>
              </w:rPr>
            </w:pPr>
            <w:r w:rsidRPr="003A7F56">
              <w:rPr>
                <w:rFonts w:ascii="TimesNewRoman" w:hAnsi="TimesNewRoman" w:cs="TimesNewRoman"/>
                <w:bCs/>
                <w:sz w:val="20"/>
                <w:szCs w:val="20"/>
              </w:rPr>
              <w:t>Európsky fond regionálneho rozvoja</w:t>
            </w:r>
          </w:p>
        </w:tc>
      </w:tr>
      <w:tr w:rsidR="007C0E65" w:rsidRPr="003A7F56" w:rsidTr="007C0E65">
        <w:trPr>
          <w:trHeight w:val="255"/>
          <w:jc w:val="center"/>
        </w:trPr>
        <w:tc>
          <w:tcPr>
            <w:tcW w:w="4913" w:type="dxa"/>
            <w:shd w:val="clear" w:color="auto" w:fill="DBE5F1"/>
            <w:vAlign w:val="center"/>
          </w:tcPr>
          <w:p w:rsidR="007C0E65" w:rsidRPr="003A7F56" w:rsidRDefault="007C0E65" w:rsidP="007C0E65">
            <w:pPr>
              <w:autoSpaceDE w:val="0"/>
              <w:autoSpaceDN w:val="0"/>
              <w:adjustRightInd w:val="0"/>
              <w:rPr>
                <w:rFonts w:ascii="TimesNewRoman" w:hAnsi="TimesNewRoman" w:cs="TimesNewRoman"/>
                <w:sz w:val="20"/>
                <w:szCs w:val="20"/>
              </w:rPr>
            </w:pPr>
            <w:r w:rsidRPr="003A7F56">
              <w:rPr>
                <w:rFonts w:ascii="TimesNewRoman" w:hAnsi="TimesNewRoman" w:cs="TimesNewRoman"/>
                <w:b/>
                <w:bCs/>
                <w:sz w:val="20"/>
                <w:szCs w:val="20"/>
              </w:rPr>
              <w:t>Kategória regiónu</w:t>
            </w:r>
          </w:p>
        </w:tc>
        <w:tc>
          <w:tcPr>
            <w:tcW w:w="4159" w:type="dxa"/>
            <w:gridSpan w:val="2"/>
            <w:shd w:val="clear" w:color="auto" w:fill="DBE5F1"/>
            <w:vAlign w:val="center"/>
          </w:tcPr>
          <w:p w:rsidR="007C0E65" w:rsidRPr="003A7F56" w:rsidRDefault="007C0E65" w:rsidP="007C0E65">
            <w:pPr>
              <w:autoSpaceDE w:val="0"/>
              <w:autoSpaceDN w:val="0"/>
              <w:adjustRightInd w:val="0"/>
              <w:rPr>
                <w:rFonts w:ascii="TimesNewRoman" w:hAnsi="TimesNewRoman" w:cs="TimesNewRoman"/>
                <w:sz w:val="20"/>
                <w:szCs w:val="20"/>
              </w:rPr>
            </w:pPr>
            <w:r w:rsidRPr="003A7F56">
              <w:rPr>
                <w:rFonts w:ascii="TimesNewRoman" w:hAnsi="TimesNewRoman" w:cs="TimesNewRoman"/>
                <w:sz w:val="20"/>
                <w:szCs w:val="20"/>
              </w:rPr>
              <w:t>N/A</w:t>
            </w:r>
          </w:p>
        </w:tc>
      </w:tr>
      <w:tr w:rsidR="007C0E65" w:rsidRPr="003A7F56" w:rsidTr="007C0E65">
        <w:trPr>
          <w:trHeight w:val="255"/>
          <w:jc w:val="center"/>
        </w:trPr>
        <w:tc>
          <w:tcPr>
            <w:tcW w:w="4913" w:type="dxa"/>
            <w:shd w:val="clear" w:color="auto" w:fill="auto"/>
            <w:vAlign w:val="center"/>
          </w:tcPr>
          <w:p w:rsidR="007C0E65" w:rsidRPr="003A7F56" w:rsidRDefault="007C0E65" w:rsidP="007C0E65">
            <w:pPr>
              <w:autoSpaceDE w:val="0"/>
              <w:autoSpaceDN w:val="0"/>
              <w:adjustRightInd w:val="0"/>
              <w:rPr>
                <w:rFonts w:ascii="TimesNewRoman" w:hAnsi="TimesNewRoman" w:cs="TimesNewRoman"/>
                <w:b/>
                <w:sz w:val="20"/>
                <w:szCs w:val="20"/>
              </w:rPr>
            </w:pPr>
            <w:r w:rsidRPr="003A7F56">
              <w:rPr>
                <w:rFonts w:ascii="TimesNewRoman" w:hAnsi="TimesNewRoman" w:cs="TimesNewRoman"/>
                <w:b/>
                <w:sz w:val="20"/>
                <w:szCs w:val="20"/>
              </w:rPr>
              <w:t>Prioritná os</w:t>
            </w:r>
          </w:p>
        </w:tc>
        <w:tc>
          <w:tcPr>
            <w:tcW w:w="2120"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b/>
                <w:sz w:val="20"/>
                <w:szCs w:val="20"/>
              </w:rPr>
            </w:pPr>
            <w:r w:rsidRPr="003A7F56">
              <w:rPr>
                <w:rFonts w:ascii="TimesNewRoman" w:hAnsi="TimesNewRoman" w:cs="TimesNewRoman"/>
                <w:b/>
                <w:sz w:val="20"/>
                <w:szCs w:val="20"/>
              </w:rPr>
              <w:t>Kód</w:t>
            </w:r>
          </w:p>
        </w:tc>
        <w:tc>
          <w:tcPr>
            <w:tcW w:w="2039"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b/>
                <w:sz w:val="20"/>
                <w:szCs w:val="20"/>
              </w:rPr>
            </w:pPr>
            <w:r w:rsidRPr="003A7F56">
              <w:rPr>
                <w:rFonts w:ascii="TimesNewRoman" w:hAnsi="TimesNewRoman" w:cs="TimesNewRoman"/>
                <w:b/>
                <w:sz w:val="20"/>
                <w:szCs w:val="20"/>
              </w:rPr>
              <w:t>Suma (v EUR)</w:t>
            </w:r>
          </w:p>
        </w:tc>
      </w:tr>
      <w:tr w:rsidR="007C0E65" w:rsidRPr="003A7F56" w:rsidTr="007C0E65">
        <w:trPr>
          <w:trHeight w:val="255"/>
          <w:jc w:val="center"/>
        </w:trPr>
        <w:tc>
          <w:tcPr>
            <w:tcW w:w="4913" w:type="dxa"/>
            <w:shd w:val="clear" w:color="auto" w:fill="auto"/>
            <w:vAlign w:val="center"/>
          </w:tcPr>
          <w:p w:rsidR="007C0E65" w:rsidRPr="003A7F56" w:rsidRDefault="007C0E65" w:rsidP="007C0E65">
            <w:pPr>
              <w:autoSpaceDE w:val="0"/>
              <w:autoSpaceDN w:val="0"/>
              <w:adjustRightInd w:val="0"/>
              <w:rPr>
                <w:rFonts w:ascii="TimesNewRoman" w:hAnsi="TimesNewRoman" w:cs="TimesNewRoman"/>
                <w:sz w:val="20"/>
                <w:szCs w:val="20"/>
              </w:rPr>
            </w:pPr>
            <w:r w:rsidRPr="003A7F56">
              <w:rPr>
                <w:rFonts w:ascii="TimesNewRoman" w:hAnsi="TimesNewRoman" w:cs="TimesNewRoman"/>
                <w:sz w:val="20"/>
                <w:szCs w:val="20"/>
              </w:rPr>
              <w:t>Prioritná os 8 – Technická pomoc</w:t>
            </w:r>
          </w:p>
        </w:tc>
        <w:tc>
          <w:tcPr>
            <w:tcW w:w="2120" w:type="dxa"/>
            <w:shd w:val="clear" w:color="auto" w:fill="auto"/>
            <w:vAlign w:val="center"/>
          </w:tcPr>
          <w:p w:rsidR="007C0E65" w:rsidRPr="003A7F56" w:rsidRDefault="0028524B" w:rsidP="003A7F56">
            <w:pPr>
              <w:autoSpaceDE w:val="0"/>
              <w:autoSpaceDN w:val="0"/>
              <w:adjustRightInd w:val="0"/>
              <w:jc w:val="center"/>
              <w:rPr>
                <w:rFonts w:ascii="TimesNewRoman" w:hAnsi="TimesNewRoman" w:cs="TimesNewRoman"/>
                <w:sz w:val="20"/>
                <w:szCs w:val="20"/>
              </w:rPr>
            </w:pPr>
            <w:r>
              <w:rPr>
                <w:rFonts w:ascii="TimesNewRoman" w:hAnsi="TimesNewRoman" w:cs="TimesNewRoman"/>
                <w:sz w:val="20"/>
                <w:szCs w:val="20"/>
              </w:rPr>
              <w:t>01</w:t>
            </w:r>
          </w:p>
        </w:tc>
        <w:tc>
          <w:tcPr>
            <w:tcW w:w="2039"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sz w:val="20"/>
                <w:szCs w:val="20"/>
              </w:rPr>
            </w:pPr>
            <w:r w:rsidRPr="003A7F56">
              <w:rPr>
                <w:rFonts w:ascii="TimesNewRoman" w:hAnsi="TimesNewRoman" w:cs="TimesNewRoman"/>
                <w:sz w:val="20"/>
                <w:szCs w:val="20"/>
              </w:rPr>
              <w:t>85 000 000</w:t>
            </w:r>
          </w:p>
        </w:tc>
      </w:tr>
    </w:tbl>
    <w:p w:rsidR="007C0E65" w:rsidRPr="00DE5C39" w:rsidRDefault="007C0E65" w:rsidP="007C0E65">
      <w:pPr>
        <w:pStyle w:val="Obr"/>
      </w:pPr>
    </w:p>
    <w:tbl>
      <w:tblPr>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13"/>
        <w:gridCol w:w="2120"/>
        <w:gridCol w:w="2039"/>
      </w:tblGrid>
      <w:tr w:rsidR="007C0E65" w:rsidRPr="00B0529F" w:rsidTr="007C0E65">
        <w:trPr>
          <w:trHeight w:val="255"/>
          <w:jc w:val="center"/>
        </w:trPr>
        <w:tc>
          <w:tcPr>
            <w:tcW w:w="9098" w:type="dxa"/>
            <w:gridSpan w:val="3"/>
            <w:shd w:val="clear" w:color="auto" w:fill="DBE5F1"/>
            <w:vAlign w:val="center"/>
          </w:tcPr>
          <w:p w:rsidR="007C0E65" w:rsidRPr="003A7F56" w:rsidRDefault="007C0E65" w:rsidP="007C0E65">
            <w:pPr>
              <w:autoSpaceDE w:val="0"/>
              <w:autoSpaceDN w:val="0"/>
              <w:adjustRightInd w:val="0"/>
              <w:rPr>
                <w:rFonts w:ascii="TimesNewRoman" w:hAnsi="TimesNewRoman" w:cs="TimesNewRoman"/>
                <w:sz w:val="20"/>
                <w:szCs w:val="20"/>
              </w:rPr>
            </w:pPr>
            <w:r w:rsidRPr="003A7F56">
              <w:rPr>
                <w:rFonts w:ascii="TimesNewRoman" w:hAnsi="TimesNewRoman" w:cs="TimesNewRoman"/>
                <w:b/>
                <w:bCs/>
                <w:sz w:val="20"/>
                <w:szCs w:val="20"/>
              </w:rPr>
              <w:t xml:space="preserve">Rozmer 3 – Druh územia </w:t>
            </w:r>
          </w:p>
        </w:tc>
      </w:tr>
      <w:tr w:rsidR="007C0E65" w:rsidRPr="00B0529F" w:rsidTr="007C0E65">
        <w:trPr>
          <w:trHeight w:val="255"/>
          <w:jc w:val="center"/>
        </w:trPr>
        <w:tc>
          <w:tcPr>
            <w:tcW w:w="4928" w:type="dxa"/>
            <w:shd w:val="clear" w:color="auto" w:fill="DBE5F1"/>
            <w:vAlign w:val="center"/>
          </w:tcPr>
          <w:p w:rsidR="007C0E65" w:rsidRPr="003A7F56" w:rsidRDefault="007C0E65" w:rsidP="007C0E65">
            <w:pPr>
              <w:autoSpaceDE w:val="0"/>
              <w:autoSpaceDN w:val="0"/>
              <w:adjustRightInd w:val="0"/>
              <w:rPr>
                <w:rFonts w:ascii="TimesNewRoman" w:hAnsi="TimesNewRoman" w:cs="TimesNewRoman"/>
                <w:b/>
                <w:bCs/>
                <w:sz w:val="20"/>
                <w:szCs w:val="20"/>
              </w:rPr>
            </w:pPr>
            <w:r w:rsidRPr="003A7F56">
              <w:rPr>
                <w:rFonts w:ascii="TimesNewRoman" w:hAnsi="TimesNewRoman" w:cs="TimesNewRoman"/>
                <w:b/>
                <w:bCs/>
                <w:sz w:val="20"/>
                <w:szCs w:val="20"/>
              </w:rPr>
              <w:t>Fond</w:t>
            </w:r>
          </w:p>
        </w:tc>
        <w:tc>
          <w:tcPr>
            <w:tcW w:w="4170" w:type="dxa"/>
            <w:gridSpan w:val="2"/>
            <w:shd w:val="clear" w:color="auto" w:fill="DBE5F1"/>
            <w:vAlign w:val="center"/>
          </w:tcPr>
          <w:p w:rsidR="007C0E65" w:rsidRPr="003A7F56" w:rsidRDefault="007C0E65" w:rsidP="007C0E65">
            <w:pPr>
              <w:autoSpaceDE w:val="0"/>
              <w:autoSpaceDN w:val="0"/>
              <w:adjustRightInd w:val="0"/>
              <w:rPr>
                <w:rFonts w:ascii="TimesNewRoman" w:hAnsi="TimesNewRoman" w:cs="TimesNewRoman"/>
                <w:bCs/>
                <w:sz w:val="20"/>
                <w:szCs w:val="20"/>
              </w:rPr>
            </w:pPr>
            <w:r w:rsidRPr="003A7F56">
              <w:rPr>
                <w:rFonts w:ascii="TimesNewRoman" w:hAnsi="TimesNewRoman" w:cs="TimesNewRoman"/>
                <w:bCs/>
                <w:sz w:val="20"/>
                <w:szCs w:val="20"/>
              </w:rPr>
              <w:t>Európsky fond regionálneho rozvoja</w:t>
            </w:r>
          </w:p>
        </w:tc>
      </w:tr>
      <w:tr w:rsidR="007C0E65" w:rsidRPr="00B0529F" w:rsidTr="007C0E65">
        <w:trPr>
          <w:trHeight w:val="255"/>
          <w:jc w:val="center"/>
        </w:trPr>
        <w:tc>
          <w:tcPr>
            <w:tcW w:w="4928" w:type="dxa"/>
            <w:shd w:val="clear" w:color="auto" w:fill="DBE5F1"/>
            <w:vAlign w:val="center"/>
          </w:tcPr>
          <w:p w:rsidR="007C0E65" w:rsidRPr="003A7F56" w:rsidRDefault="007C0E65" w:rsidP="007C0E65">
            <w:pPr>
              <w:autoSpaceDE w:val="0"/>
              <w:autoSpaceDN w:val="0"/>
              <w:adjustRightInd w:val="0"/>
              <w:rPr>
                <w:rFonts w:ascii="TimesNewRoman" w:hAnsi="TimesNewRoman" w:cs="TimesNewRoman"/>
                <w:sz w:val="20"/>
                <w:szCs w:val="20"/>
              </w:rPr>
            </w:pPr>
            <w:r w:rsidRPr="003A7F56">
              <w:rPr>
                <w:rFonts w:ascii="TimesNewRoman" w:hAnsi="TimesNewRoman" w:cs="TimesNewRoman"/>
                <w:b/>
                <w:bCs/>
                <w:sz w:val="20"/>
                <w:szCs w:val="20"/>
              </w:rPr>
              <w:t>Kategória regiónu</w:t>
            </w:r>
          </w:p>
        </w:tc>
        <w:tc>
          <w:tcPr>
            <w:tcW w:w="4170" w:type="dxa"/>
            <w:gridSpan w:val="2"/>
            <w:shd w:val="clear" w:color="auto" w:fill="DBE5F1"/>
            <w:vAlign w:val="center"/>
          </w:tcPr>
          <w:p w:rsidR="007C0E65" w:rsidRPr="003A7F56" w:rsidRDefault="007C0E65" w:rsidP="007C0E65">
            <w:pPr>
              <w:autoSpaceDE w:val="0"/>
              <w:autoSpaceDN w:val="0"/>
              <w:adjustRightInd w:val="0"/>
              <w:rPr>
                <w:rFonts w:ascii="TimesNewRoman" w:hAnsi="TimesNewRoman" w:cs="TimesNewRoman"/>
                <w:sz w:val="20"/>
                <w:szCs w:val="20"/>
              </w:rPr>
            </w:pPr>
            <w:r w:rsidRPr="003A7F56">
              <w:rPr>
                <w:rFonts w:ascii="TimesNewRoman" w:hAnsi="TimesNewRoman" w:cs="TimesNewRoman"/>
                <w:sz w:val="20"/>
                <w:szCs w:val="20"/>
              </w:rPr>
              <w:t>N/A</w:t>
            </w:r>
          </w:p>
        </w:tc>
      </w:tr>
      <w:tr w:rsidR="007C0E65" w:rsidRPr="00B0529F" w:rsidTr="007C0E65">
        <w:trPr>
          <w:trHeight w:val="255"/>
          <w:jc w:val="center"/>
        </w:trPr>
        <w:tc>
          <w:tcPr>
            <w:tcW w:w="4928" w:type="dxa"/>
            <w:shd w:val="clear" w:color="auto" w:fill="auto"/>
            <w:vAlign w:val="center"/>
          </w:tcPr>
          <w:p w:rsidR="007C0E65" w:rsidRPr="003A7F56" w:rsidRDefault="007C0E65" w:rsidP="007C0E65">
            <w:pPr>
              <w:autoSpaceDE w:val="0"/>
              <w:autoSpaceDN w:val="0"/>
              <w:adjustRightInd w:val="0"/>
              <w:rPr>
                <w:rFonts w:ascii="TimesNewRoman" w:hAnsi="TimesNewRoman" w:cs="TimesNewRoman"/>
                <w:b/>
                <w:sz w:val="20"/>
                <w:szCs w:val="20"/>
              </w:rPr>
            </w:pPr>
            <w:r w:rsidRPr="003A7F56">
              <w:rPr>
                <w:rFonts w:ascii="TimesNewRoman" w:hAnsi="TimesNewRoman" w:cs="TimesNewRoman"/>
                <w:b/>
                <w:sz w:val="20"/>
                <w:szCs w:val="20"/>
              </w:rPr>
              <w:t>Prioritná os</w:t>
            </w:r>
          </w:p>
        </w:tc>
        <w:tc>
          <w:tcPr>
            <w:tcW w:w="2126"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b/>
                <w:sz w:val="20"/>
                <w:szCs w:val="20"/>
              </w:rPr>
            </w:pPr>
            <w:r w:rsidRPr="003A7F56">
              <w:rPr>
                <w:rFonts w:ascii="TimesNewRoman" w:hAnsi="TimesNewRoman" w:cs="TimesNewRoman"/>
                <w:b/>
                <w:sz w:val="20"/>
                <w:szCs w:val="20"/>
              </w:rPr>
              <w:t>Kód</w:t>
            </w:r>
          </w:p>
        </w:tc>
        <w:tc>
          <w:tcPr>
            <w:tcW w:w="2044"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b/>
                <w:sz w:val="20"/>
                <w:szCs w:val="20"/>
              </w:rPr>
            </w:pPr>
            <w:r w:rsidRPr="003A7F56">
              <w:rPr>
                <w:rFonts w:ascii="TimesNewRoman" w:hAnsi="TimesNewRoman" w:cs="TimesNewRoman"/>
                <w:b/>
                <w:sz w:val="20"/>
                <w:szCs w:val="20"/>
              </w:rPr>
              <w:t>Suma (v EUR)</w:t>
            </w:r>
          </w:p>
        </w:tc>
      </w:tr>
      <w:tr w:rsidR="007C0E65" w:rsidRPr="00B0529F" w:rsidTr="007C0E65">
        <w:trPr>
          <w:trHeight w:val="255"/>
          <w:jc w:val="center"/>
        </w:trPr>
        <w:tc>
          <w:tcPr>
            <w:tcW w:w="4928" w:type="dxa"/>
            <w:shd w:val="clear" w:color="auto" w:fill="auto"/>
            <w:vAlign w:val="center"/>
          </w:tcPr>
          <w:p w:rsidR="007C0E65" w:rsidRPr="003A7F56" w:rsidRDefault="007C0E65" w:rsidP="007C0E65">
            <w:pPr>
              <w:autoSpaceDE w:val="0"/>
              <w:autoSpaceDN w:val="0"/>
              <w:adjustRightInd w:val="0"/>
              <w:rPr>
                <w:rFonts w:ascii="TimesNewRoman" w:hAnsi="TimesNewRoman" w:cs="TimesNewRoman"/>
                <w:sz w:val="20"/>
                <w:szCs w:val="20"/>
              </w:rPr>
            </w:pPr>
            <w:r w:rsidRPr="003A7F56">
              <w:rPr>
                <w:rFonts w:ascii="TimesNewRoman" w:hAnsi="TimesNewRoman" w:cs="TimesNewRoman"/>
                <w:sz w:val="20"/>
                <w:szCs w:val="20"/>
              </w:rPr>
              <w:t>Prioritná os 8 – Technická pomoc</w:t>
            </w:r>
          </w:p>
        </w:tc>
        <w:tc>
          <w:tcPr>
            <w:tcW w:w="2126" w:type="dxa"/>
            <w:shd w:val="clear" w:color="auto" w:fill="auto"/>
            <w:vAlign w:val="center"/>
          </w:tcPr>
          <w:p w:rsidR="007C0E65" w:rsidRPr="003A7F56" w:rsidRDefault="0028524B" w:rsidP="003A7F56">
            <w:pPr>
              <w:autoSpaceDE w:val="0"/>
              <w:autoSpaceDN w:val="0"/>
              <w:adjustRightInd w:val="0"/>
              <w:jc w:val="center"/>
              <w:rPr>
                <w:rFonts w:ascii="TimesNewRoman" w:hAnsi="TimesNewRoman" w:cs="TimesNewRoman"/>
                <w:sz w:val="20"/>
                <w:szCs w:val="20"/>
              </w:rPr>
            </w:pPr>
            <w:r>
              <w:rPr>
                <w:rFonts w:ascii="TimesNewRoman" w:hAnsi="TimesNewRoman" w:cs="TimesNewRoman"/>
                <w:sz w:val="20"/>
                <w:szCs w:val="20"/>
              </w:rPr>
              <w:t>07</w:t>
            </w:r>
          </w:p>
        </w:tc>
        <w:tc>
          <w:tcPr>
            <w:tcW w:w="2044" w:type="dxa"/>
            <w:shd w:val="clear" w:color="auto" w:fill="auto"/>
            <w:vAlign w:val="center"/>
          </w:tcPr>
          <w:p w:rsidR="007C0E65" w:rsidRPr="003A7F56" w:rsidRDefault="007C0E65" w:rsidP="003A7F56">
            <w:pPr>
              <w:autoSpaceDE w:val="0"/>
              <w:autoSpaceDN w:val="0"/>
              <w:adjustRightInd w:val="0"/>
              <w:jc w:val="center"/>
              <w:rPr>
                <w:rFonts w:ascii="TimesNewRoman" w:hAnsi="TimesNewRoman" w:cs="TimesNewRoman"/>
                <w:sz w:val="20"/>
                <w:szCs w:val="20"/>
                <w:lang w:val="en-US"/>
              </w:rPr>
            </w:pPr>
            <w:r w:rsidRPr="003A7F56">
              <w:rPr>
                <w:rFonts w:ascii="TimesNewRoman" w:hAnsi="TimesNewRoman" w:cs="TimesNewRoman"/>
                <w:sz w:val="20"/>
                <w:szCs w:val="20"/>
              </w:rPr>
              <w:t>85 000 000</w:t>
            </w:r>
          </w:p>
        </w:tc>
      </w:tr>
    </w:tbl>
    <w:p w:rsidR="007C0E65" w:rsidRPr="00DE5C39" w:rsidRDefault="007C0E65" w:rsidP="007C0E65">
      <w:pPr>
        <w:autoSpaceDE w:val="0"/>
        <w:autoSpaceDN w:val="0"/>
        <w:adjustRightInd w:val="0"/>
        <w:rPr>
          <w:rFonts w:ascii="TimesNewRoman" w:hAnsi="TimesNewRoman" w:cs="TimesNewRoman"/>
        </w:rPr>
      </w:pPr>
    </w:p>
    <w:p w:rsidR="007C0E65" w:rsidRDefault="007C0E65" w:rsidP="007C0E65">
      <w:pPr>
        <w:autoSpaceDE w:val="0"/>
        <w:autoSpaceDN w:val="0"/>
        <w:adjustRightInd w:val="0"/>
        <w:rPr>
          <w:rFonts w:ascii="TimesNewRoman" w:hAnsi="TimesNewRoman" w:cs="TimesNewRoman"/>
        </w:rPr>
      </w:pPr>
    </w:p>
    <w:p w:rsidR="007C0E65" w:rsidRPr="007C0E65" w:rsidRDefault="007C0E65" w:rsidP="007C0E65"/>
    <w:p w:rsidR="0022234B" w:rsidRPr="007F1C63" w:rsidRDefault="0022234B" w:rsidP="007F1C63">
      <w:pPr>
        <w:rPr>
          <w:sz w:val="22"/>
          <w:szCs w:val="22"/>
        </w:rPr>
      </w:pPr>
    </w:p>
    <w:p w:rsidR="006B762B" w:rsidRDefault="006B762B" w:rsidP="006B762B">
      <w:pPr>
        <w:spacing w:before="180"/>
        <w:sectPr w:rsidR="006B762B" w:rsidSect="00D1658B">
          <w:headerReference w:type="default" r:id="rId28"/>
          <w:pgSz w:w="11906" w:h="16838"/>
          <w:pgMar w:top="1418" w:right="1361" w:bottom="1304" w:left="1474" w:header="709" w:footer="709" w:gutter="0"/>
          <w:cols w:space="708"/>
          <w:docGrid w:linePitch="360"/>
        </w:sectPr>
      </w:pPr>
    </w:p>
    <w:p w:rsidR="007029A7" w:rsidRDefault="0079492E" w:rsidP="0079492E">
      <w:pPr>
        <w:pStyle w:val="Nadpis1"/>
      </w:pPr>
      <w:bookmarkStart w:id="100" w:name="_Toc385310742"/>
      <w:r>
        <w:lastRenderedPageBreak/>
        <w:t>Finančný plán operačného programu</w:t>
      </w:r>
      <w:bookmarkEnd w:id="100"/>
      <w:r w:rsidR="00BA2CBF" w:rsidRPr="0079492E">
        <w:t xml:space="preserve"> </w:t>
      </w:r>
    </w:p>
    <w:p w:rsidR="0079492E" w:rsidRDefault="0079492E" w:rsidP="0079492E">
      <w:pPr>
        <w:pStyle w:val="Nadpis2"/>
        <w:tabs>
          <w:tab w:val="num" w:pos="851"/>
        </w:tabs>
        <w:spacing w:before="240"/>
        <w:jc w:val="both"/>
      </w:pPr>
      <w:bookmarkStart w:id="101" w:name="_Toc375238410"/>
      <w:bookmarkStart w:id="102" w:name="_Toc383209139"/>
      <w:bookmarkStart w:id="103" w:name="_Toc383236553"/>
      <w:bookmarkStart w:id="104" w:name="_Toc385310743"/>
      <w:r w:rsidRPr="00A30C13">
        <w:t xml:space="preserve">Prehľad podľa jednotlivých rokov, celková výška finančných prostriedkov navrhovaných na podporu z jednotlivých fondov </w:t>
      </w:r>
      <w:r>
        <w:t>s </w:t>
      </w:r>
      <w:r w:rsidRPr="00A30C13">
        <w:t>vymedzením zodpovedajúcej výšky výkonnostnej rezervy</w:t>
      </w:r>
      <w:bookmarkEnd w:id="101"/>
      <w:r>
        <w:t xml:space="preserve"> (zdroje EÚ)</w:t>
      </w:r>
      <w:bookmarkEnd w:id="102"/>
      <w:bookmarkEnd w:id="103"/>
      <w:bookmarkEnd w:id="104"/>
    </w:p>
    <w:tbl>
      <w:tblPr>
        <w:tblStyle w:val="Mriekatabuky"/>
        <w:tblW w:w="1559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tblPr>
      <w:tblGrid>
        <w:gridCol w:w="529"/>
        <w:gridCol w:w="722"/>
        <w:gridCol w:w="889"/>
        <w:gridCol w:w="889"/>
        <w:gridCol w:w="889"/>
        <w:gridCol w:w="889"/>
        <w:gridCol w:w="889"/>
        <w:gridCol w:w="889"/>
        <w:gridCol w:w="889"/>
        <w:gridCol w:w="889"/>
        <w:gridCol w:w="889"/>
        <w:gridCol w:w="889"/>
        <w:gridCol w:w="889"/>
        <w:gridCol w:w="889"/>
        <w:gridCol w:w="889"/>
        <w:gridCol w:w="889"/>
        <w:gridCol w:w="988"/>
        <w:gridCol w:w="906"/>
      </w:tblGrid>
      <w:tr w:rsidR="0079492E" w:rsidRPr="00001F01" w:rsidTr="00A127CB">
        <w:trPr>
          <w:trHeight w:val="454"/>
          <w:jc w:val="center"/>
        </w:trPr>
        <w:tc>
          <w:tcPr>
            <w:tcW w:w="529" w:type="dxa"/>
            <w:vMerge w:val="restart"/>
            <w:shd w:val="clear" w:color="auto" w:fill="C6D9F1" w:themeFill="text2" w:themeFillTint="33"/>
            <w:vAlign w:val="center"/>
          </w:tcPr>
          <w:p w:rsidR="0079492E" w:rsidRPr="00001F01" w:rsidRDefault="0079492E" w:rsidP="00A46625">
            <w:pPr>
              <w:pStyle w:val="Tab"/>
              <w:numPr>
                <w:ilvl w:val="0"/>
                <w:numId w:val="0"/>
              </w:numPr>
              <w:spacing w:before="0"/>
              <w:rPr>
                <w:rFonts w:ascii="Arial Narrow" w:hAnsi="Arial Narrow"/>
                <w:b/>
                <w:sz w:val="13"/>
                <w:szCs w:val="13"/>
              </w:rPr>
            </w:pPr>
            <w:r w:rsidRPr="00001F01">
              <w:rPr>
                <w:rFonts w:ascii="Arial Narrow" w:hAnsi="Arial Narrow"/>
                <w:b/>
                <w:sz w:val="13"/>
                <w:szCs w:val="13"/>
              </w:rPr>
              <w:t>Fond</w:t>
            </w:r>
          </w:p>
        </w:tc>
        <w:tc>
          <w:tcPr>
            <w:tcW w:w="722" w:type="dxa"/>
            <w:vMerge w:val="restart"/>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Kategórie regiónov</w:t>
            </w:r>
          </w:p>
        </w:tc>
        <w:tc>
          <w:tcPr>
            <w:tcW w:w="1778" w:type="dxa"/>
            <w:gridSpan w:val="2"/>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6"/>
                <w:szCs w:val="16"/>
              </w:rPr>
            </w:pPr>
            <w:r w:rsidRPr="00001F01">
              <w:rPr>
                <w:rFonts w:ascii="Arial Narrow" w:hAnsi="Arial Narrow"/>
                <w:b/>
                <w:sz w:val="16"/>
                <w:szCs w:val="16"/>
              </w:rPr>
              <w:t>2014</w:t>
            </w:r>
          </w:p>
        </w:tc>
        <w:tc>
          <w:tcPr>
            <w:tcW w:w="1778" w:type="dxa"/>
            <w:gridSpan w:val="2"/>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6"/>
                <w:szCs w:val="16"/>
              </w:rPr>
            </w:pPr>
            <w:r w:rsidRPr="00001F01">
              <w:rPr>
                <w:rFonts w:ascii="Arial Narrow" w:hAnsi="Arial Narrow"/>
                <w:b/>
                <w:sz w:val="16"/>
                <w:szCs w:val="16"/>
              </w:rPr>
              <w:t>2015</w:t>
            </w:r>
          </w:p>
        </w:tc>
        <w:tc>
          <w:tcPr>
            <w:tcW w:w="1778" w:type="dxa"/>
            <w:gridSpan w:val="2"/>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6"/>
                <w:szCs w:val="16"/>
              </w:rPr>
            </w:pPr>
            <w:r w:rsidRPr="00001F01">
              <w:rPr>
                <w:rFonts w:ascii="Arial Narrow" w:hAnsi="Arial Narrow"/>
                <w:b/>
                <w:sz w:val="16"/>
                <w:szCs w:val="16"/>
              </w:rPr>
              <w:t>2016</w:t>
            </w:r>
          </w:p>
        </w:tc>
        <w:tc>
          <w:tcPr>
            <w:tcW w:w="1778" w:type="dxa"/>
            <w:gridSpan w:val="2"/>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6"/>
                <w:szCs w:val="16"/>
              </w:rPr>
            </w:pPr>
            <w:r w:rsidRPr="00001F01">
              <w:rPr>
                <w:rFonts w:ascii="Arial Narrow" w:hAnsi="Arial Narrow"/>
                <w:b/>
                <w:sz w:val="16"/>
                <w:szCs w:val="16"/>
              </w:rPr>
              <w:t>2017</w:t>
            </w:r>
          </w:p>
        </w:tc>
        <w:tc>
          <w:tcPr>
            <w:tcW w:w="1778" w:type="dxa"/>
            <w:gridSpan w:val="2"/>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6"/>
                <w:szCs w:val="16"/>
              </w:rPr>
            </w:pPr>
            <w:r w:rsidRPr="00001F01">
              <w:rPr>
                <w:rFonts w:ascii="Arial Narrow" w:hAnsi="Arial Narrow"/>
                <w:b/>
                <w:sz w:val="16"/>
                <w:szCs w:val="16"/>
              </w:rPr>
              <w:t>2018</w:t>
            </w:r>
          </w:p>
        </w:tc>
        <w:tc>
          <w:tcPr>
            <w:tcW w:w="1778" w:type="dxa"/>
            <w:gridSpan w:val="2"/>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6"/>
                <w:szCs w:val="16"/>
              </w:rPr>
            </w:pPr>
            <w:r w:rsidRPr="00001F01">
              <w:rPr>
                <w:rFonts w:ascii="Arial Narrow" w:hAnsi="Arial Narrow"/>
                <w:b/>
                <w:sz w:val="16"/>
                <w:szCs w:val="16"/>
              </w:rPr>
              <w:t>2019</w:t>
            </w:r>
          </w:p>
        </w:tc>
        <w:tc>
          <w:tcPr>
            <w:tcW w:w="1778" w:type="dxa"/>
            <w:gridSpan w:val="2"/>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6"/>
                <w:szCs w:val="16"/>
              </w:rPr>
            </w:pPr>
            <w:r w:rsidRPr="00001F01">
              <w:rPr>
                <w:rFonts w:ascii="Arial Narrow" w:hAnsi="Arial Narrow"/>
                <w:b/>
                <w:sz w:val="16"/>
                <w:szCs w:val="16"/>
              </w:rPr>
              <w:t>2020</w:t>
            </w:r>
          </w:p>
        </w:tc>
        <w:tc>
          <w:tcPr>
            <w:tcW w:w="1894" w:type="dxa"/>
            <w:gridSpan w:val="2"/>
            <w:shd w:val="clear" w:color="auto" w:fill="C6D9F1" w:themeFill="text2" w:themeFillTint="33"/>
            <w:vAlign w:val="center"/>
          </w:tcPr>
          <w:p w:rsidR="0079492E" w:rsidRPr="00C17CCE" w:rsidRDefault="0079492E" w:rsidP="00A46625">
            <w:pPr>
              <w:pStyle w:val="Tab"/>
              <w:numPr>
                <w:ilvl w:val="0"/>
                <w:numId w:val="0"/>
              </w:numPr>
              <w:spacing w:before="0"/>
              <w:jc w:val="center"/>
              <w:rPr>
                <w:rFonts w:ascii="Arial Narrow" w:hAnsi="Arial Narrow"/>
                <w:b/>
                <w:sz w:val="16"/>
                <w:szCs w:val="16"/>
              </w:rPr>
            </w:pPr>
            <w:r w:rsidRPr="00C17CCE">
              <w:rPr>
                <w:rFonts w:ascii="Arial Narrow" w:hAnsi="Arial Narrow"/>
                <w:b/>
                <w:sz w:val="16"/>
                <w:szCs w:val="16"/>
              </w:rPr>
              <w:t>SPOLU</w:t>
            </w:r>
          </w:p>
        </w:tc>
      </w:tr>
      <w:tr w:rsidR="0079492E" w:rsidRPr="00001F01" w:rsidTr="00A127CB">
        <w:trPr>
          <w:trHeight w:val="454"/>
          <w:jc w:val="center"/>
        </w:trPr>
        <w:tc>
          <w:tcPr>
            <w:tcW w:w="529" w:type="dxa"/>
            <w:vMerge/>
            <w:shd w:val="clear" w:color="auto" w:fill="C6D9F1" w:themeFill="text2" w:themeFillTint="33"/>
            <w:vAlign w:val="center"/>
          </w:tcPr>
          <w:p w:rsidR="0079492E" w:rsidRPr="00001F01" w:rsidRDefault="0079492E" w:rsidP="00A46625">
            <w:pPr>
              <w:pStyle w:val="Tab"/>
              <w:numPr>
                <w:ilvl w:val="0"/>
                <w:numId w:val="0"/>
              </w:numPr>
              <w:spacing w:before="0"/>
              <w:rPr>
                <w:rFonts w:ascii="Arial Narrow" w:hAnsi="Arial Narrow"/>
                <w:b/>
                <w:sz w:val="13"/>
                <w:szCs w:val="13"/>
              </w:rPr>
            </w:pPr>
          </w:p>
        </w:tc>
        <w:tc>
          <w:tcPr>
            <w:tcW w:w="722" w:type="dxa"/>
            <w:vMerge/>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Hlavná alokácia</w:t>
            </w: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Výkonnostná rezerva</w:t>
            </w: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Hlavná alokácia</w:t>
            </w: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Výkonnostná rezerva</w:t>
            </w: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Hlavná alokácia</w:t>
            </w: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Výkonnostná rezerva</w:t>
            </w: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Hlavná alokácia</w:t>
            </w: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Výkonnostná rezerva</w:t>
            </w: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Hlavná alokácia</w:t>
            </w: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Výkonnostná rezerva</w:t>
            </w: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Hlavná alokácia</w:t>
            </w: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Výkonnostná rezerva</w:t>
            </w: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Hlavná alokácia</w:t>
            </w:r>
          </w:p>
        </w:tc>
        <w:tc>
          <w:tcPr>
            <w:tcW w:w="889"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Výkonnostná rezerva</w:t>
            </w:r>
          </w:p>
        </w:tc>
        <w:tc>
          <w:tcPr>
            <w:tcW w:w="988"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Hlavná alokácia</w:t>
            </w:r>
          </w:p>
        </w:tc>
        <w:tc>
          <w:tcPr>
            <w:tcW w:w="906" w:type="dxa"/>
            <w:shd w:val="clear" w:color="auto" w:fill="C6D9F1" w:themeFill="text2" w:themeFillTint="33"/>
            <w:vAlign w:val="center"/>
          </w:tcPr>
          <w:p w:rsidR="0079492E" w:rsidRPr="00001F01" w:rsidRDefault="0079492E" w:rsidP="00A46625">
            <w:pPr>
              <w:pStyle w:val="Tab"/>
              <w:numPr>
                <w:ilvl w:val="0"/>
                <w:numId w:val="0"/>
              </w:numPr>
              <w:spacing w:before="0"/>
              <w:jc w:val="center"/>
              <w:rPr>
                <w:rFonts w:ascii="Arial Narrow" w:hAnsi="Arial Narrow"/>
                <w:b/>
                <w:sz w:val="13"/>
                <w:szCs w:val="13"/>
              </w:rPr>
            </w:pPr>
            <w:r w:rsidRPr="00001F01">
              <w:rPr>
                <w:rFonts w:ascii="Arial Narrow" w:hAnsi="Arial Narrow"/>
                <w:b/>
                <w:sz w:val="13"/>
                <w:szCs w:val="13"/>
              </w:rPr>
              <w:t>Výkonnostná rezerva</w:t>
            </w:r>
          </w:p>
        </w:tc>
      </w:tr>
      <w:tr w:rsidR="0079492E" w:rsidRPr="00C71FFD" w:rsidTr="00A127CB">
        <w:trPr>
          <w:trHeight w:val="454"/>
          <w:jc w:val="center"/>
        </w:trPr>
        <w:tc>
          <w:tcPr>
            <w:tcW w:w="529" w:type="dxa"/>
            <w:shd w:val="clear" w:color="auto" w:fill="auto"/>
            <w:vAlign w:val="center"/>
          </w:tcPr>
          <w:p w:rsidR="0079492E" w:rsidRPr="00C71FFD" w:rsidRDefault="0079492E" w:rsidP="00A46625">
            <w:pPr>
              <w:pStyle w:val="Tab"/>
              <w:numPr>
                <w:ilvl w:val="0"/>
                <w:numId w:val="0"/>
              </w:numPr>
              <w:spacing w:before="0"/>
              <w:rPr>
                <w:rFonts w:ascii="Arial Narrow" w:hAnsi="Arial Narrow"/>
                <w:sz w:val="13"/>
                <w:szCs w:val="13"/>
              </w:rPr>
            </w:pPr>
            <w:r w:rsidRPr="00C71FFD">
              <w:rPr>
                <w:rFonts w:ascii="Arial Narrow" w:hAnsi="Arial Narrow"/>
                <w:sz w:val="13"/>
                <w:szCs w:val="13"/>
              </w:rPr>
              <w:t>EFRR</w:t>
            </w:r>
          </w:p>
        </w:tc>
        <w:tc>
          <w:tcPr>
            <w:tcW w:w="722" w:type="dxa"/>
            <w:shd w:val="clear" w:color="auto" w:fill="auto"/>
            <w:vAlign w:val="center"/>
          </w:tcPr>
          <w:p w:rsidR="0079492E" w:rsidRPr="005753EC" w:rsidRDefault="0079492E" w:rsidP="00A46625">
            <w:pPr>
              <w:pStyle w:val="Tab"/>
              <w:numPr>
                <w:ilvl w:val="0"/>
                <w:numId w:val="0"/>
              </w:numPr>
              <w:spacing w:before="0"/>
              <w:jc w:val="center"/>
              <w:rPr>
                <w:rFonts w:ascii="Arial Narrow" w:hAnsi="Arial Narrow"/>
                <w:i/>
                <w:sz w:val="14"/>
                <w:szCs w:val="14"/>
              </w:rPr>
            </w:pPr>
            <w:r w:rsidRPr="005753EC">
              <w:rPr>
                <w:rFonts w:ascii="Arial Narrow" w:hAnsi="Arial Narrow"/>
                <w:i/>
                <w:sz w:val="14"/>
                <w:szCs w:val="14"/>
              </w:rPr>
              <w:t>Menej rozvinuté</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214 686 645</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0C7972">
              <w:rPr>
                <w:rFonts w:ascii="Arial Narrow" w:hAnsi="Arial Narrow"/>
                <w:sz w:val="14"/>
                <w:szCs w:val="14"/>
              </w:rPr>
              <w:t>13 188 112</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225 388 043</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Pr>
                <w:rFonts w:ascii="Arial Narrow" w:hAnsi="Arial Narrow"/>
                <w:sz w:val="14"/>
                <w:szCs w:val="14"/>
              </w:rPr>
              <w:t>13 845 495</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236 231 739</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Pr>
                <w:rFonts w:ascii="Arial Narrow" w:hAnsi="Arial Narrow"/>
                <w:sz w:val="14"/>
                <w:szCs w:val="14"/>
              </w:rPr>
              <w:t>14 511 619</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246 924 574</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Pr>
                <w:rFonts w:ascii="Arial Narrow" w:hAnsi="Arial Narrow"/>
                <w:sz w:val="14"/>
                <w:szCs w:val="14"/>
              </w:rPr>
              <w:t>15 168 475</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258 370 578</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Pr>
                <w:rFonts w:ascii="Arial Narrow" w:hAnsi="Arial Narrow"/>
                <w:sz w:val="14"/>
                <w:szCs w:val="14"/>
              </w:rPr>
              <w:t>15 871 598</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270 628 087</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Pr>
                <w:rFonts w:ascii="Arial Narrow" w:hAnsi="Arial Narrow"/>
                <w:sz w:val="14"/>
                <w:szCs w:val="14"/>
              </w:rPr>
              <w:t>16 624 572</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277 276 541</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Pr>
                <w:rFonts w:ascii="Arial Narrow" w:hAnsi="Arial Narrow"/>
                <w:sz w:val="14"/>
                <w:szCs w:val="14"/>
              </w:rPr>
              <w:t>17 032 984</w:t>
            </w:r>
          </w:p>
        </w:tc>
        <w:tc>
          <w:tcPr>
            <w:tcW w:w="988"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sidRPr="005753EC">
              <w:rPr>
                <w:rStyle w:val="FontStyle88"/>
                <w:rFonts w:ascii="Arial Narrow" w:hAnsi="Arial Narrow"/>
                <w:b/>
                <w:lang w:eastAsia="en-US"/>
              </w:rPr>
              <w:t>1 729 506 207</w:t>
            </w:r>
          </w:p>
        </w:tc>
        <w:tc>
          <w:tcPr>
            <w:tcW w:w="906"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Pr>
                <w:rFonts w:ascii="Arial Narrow" w:hAnsi="Arial Narrow"/>
                <w:b/>
                <w:sz w:val="14"/>
                <w:szCs w:val="14"/>
              </w:rPr>
              <w:t>106 242 855</w:t>
            </w:r>
          </w:p>
        </w:tc>
      </w:tr>
      <w:tr w:rsidR="0079492E" w:rsidRPr="00C71FFD" w:rsidTr="00A127CB">
        <w:trPr>
          <w:trHeight w:val="454"/>
          <w:jc w:val="center"/>
        </w:trPr>
        <w:tc>
          <w:tcPr>
            <w:tcW w:w="529" w:type="dxa"/>
            <w:shd w:val="clear" w:color="auto" w:fill="auto"/>
            <w:vAlign w:val="center"/>
          </w:tcPr>
          <w:p w:rsidR="0079492E" w:rsidRPr="00C71FFD" w:rsidRDefault="0079492E" w:rsidP="00A46625">
            <w:pPr>
              <w:pStyle w:val="Tab"/>
              <w:numPr>
                <w:ilvl w:val="0"/>
                <w:numId w:val="0"/>
              </w:numPr>
              <w:spacing w:before="0"/>
              <w:rPr>
                <w:rFonts w:ascii="Arial Narrow" w:hAnsi="Arial Narrow"/>
                <w:sz w:val="13"/>
                <w:szCs w:val="13"/>
              </w:rPr>
            </w:pPr>
            <w:r w:rsidRPr="00C71FFD">
              <w:rPr>
                <w:rFonts w:ascii="Arial Narrow" w:hAnsi="Arial Narrow"/>
                <w:sz w:val="13"/>
                <w:szCs w:val="13"/>
              </w:rPr>
              <w:t>KF</w:t>
            </w:r>
          </w:p>
        </w:tc>
        <w:tc>
          <w:tcPr>
            <w:tcW w:w="722" w:type="dxa"/>
            <w:shd w:val="clear" w:color="auto" w:fill="auto"/>
            <w:vAlign w:val="center"/>
          </w:tcPr>
          <w:p w:rsidR="0079492E" w:rsidRPr="005753EC" w:rsidRDefault="0079492E" w:rsidP="00A46625">
            <w:pPr>
              <w:pStyle w:val="Tab"/>
              <w:numPr>
                <w:ilvl w:val="0"/>
                <w:numId w:val="0"/>
              </w:numPr>
              <w:spacing w:before="0"/>
              <w:jc w:val="center"/>
              <w:rPr>
                <w:rFonts w:ascii="Arial Narrow" w:hAnsi="Arial Narrow"/>
                <w:i/>
                <w:sz w:val="14"/>
                <w:szCs w:val="14"/>
              </w:rPr>
            </w:pPr>
            <w:r w:rsidRPr="005753EC">
              <w:rPr>
                <w:rFonts w:ascii="Arial Narrow" w:hAnsi="Arial Narrow"/>
                <w:i/>
                <w:sz w:val="14"/>
                <w:szCs w:val="14"/>
              </w:rPr>
              <w:t>N/A</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285 026 708</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17 101 602</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300 192 830</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18 011 570</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315 522 069</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18 931 324</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330 075 029</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19 804 502</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345 013 576</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20 700 815</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361 643 484</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21 698 609</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369 665 470</w:t>
            </w:r>
          </w:p>
        </w:tc>
        <w:tc>
          <w:tcPr>
            <w:tcW w:w="889"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sz w:val="14"/>
                <w:szCs w:val="14"/>
              </w:rPr>
            </w:pPr>
            <w:r w:rsidRPr="005753EC">
              <w:rPr>
                <w:rFonts w:ascii="Arial Narrow" w:hAnsi="Arial Narrow"/>
                <w:sz w:val="14"/>
                <w:szCs w:val="14"/>
              </w:rPr>
              <w:t>22 179 928</w:t>
            </w:r>
          </w:p>
        </w:tc>
        <w:tc>
          <w:tcPr>
            <w:tcW w:w="988"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sidRPr="005753EC">
              <w:rPr>
                <w:rFonts w:ascii="Arial Narrow" w:hAnsi="Arial Narrow"/>
                <w:b/>
                <w:sz w:val="14"/>
                <w:szCs w:val="14"/>
              </w:rPr>
              <w:t>2 307 139 166</w:t>
            </w:r>
          </w:p>
        </w:tc>
        <w:tc>
          <w:tcPr>
            <w:tcW w:w="906" w:type="dxa"/>
            <w:shd w:val="clear" w:color="auto" w:fill="auto"/>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sidRPr="005753EC">
              <w:rPr>
                <w:rFonts w:ascii="Arial Narrow" w:hAnsi="Arial Narrow"/>
                <w:b/>
                <w:sz w:val="14"/>
                <w:szCs w:val="14"/>
              </w:rPr>
              <w:t>138 428 350</w:t>
            </w:r>
          </w:p>
        </w:tc>
      </w:tr>
      <w:tr w:rsidR="0079492E" w:rsidRPr="00C71FFD" w:rsidTr="00A127CB">
        <w:trPr>
          <w:trHeight w:val="454"/>
          <w:jc w:val="center"/>
        </w:trPr>
        <w:tc>
          <w:tcPr>
            <w:tcW w:w="529" w:type="dxa"/>
            <w:shd w:val="clear" w:color="auto" w:fill="D9D9D9" w:themeFill="background1" w:themeFillShade="D9"/>
            <w:vAlign w:val="center"/>
          </w:tcPr>
          <w:p w:rsidR="0079492E" w:rsidRPr="00C71FFD" w:rsidRDefault="0079492E" w:rsidP="00A46625">
            <w:pPr>
              <w:pStyle w:val="Tab"/>
              <w:numPr>
                <w:ilvl w:val="0"/>
                <w:numId w:val="0"/>
              </w:numPr>
              <w:spacing w:before="0"/>
              <w:rPr>
                <w:rFonts w:ascii="Arial Narrow" w:hAnsi="Arial Narrow"/>
                <w:b/>
                <w:sz w:val="13"/>
                <w:szCs w:val="13"/>
              </w:rPr>
            </w:pPr>
            <w:r w:rsidRPr="00C71FFD">
              <w:rPr>
                <w:rFonts w:ascii="Arial Narrow" w:hAnsi="Arial Narrow"/>
                <w:b/>
                <w:sz w:val="13"/>
                <w:szCs w:val="13"/>
              </w:rPr>
              <w:t>Spolu</w:t>
            </w:r>
          </w:p>
        </w:tc>
        <w:tc>
          <w:tcPr>
            <w:tcW w:w="722" w:type="dxa"/>
            <w:shd w:val="clear" w:color="auto" w:fill="D9D9D9" w:themeFill="background1" w:themeFillShade="D9"/>
            <w:vAlign w:val="center"/>
          </w:tcPr>
          <w:p w:rsidR="0079492E" w:rsidRPr="00C71FFD" w:rsidRDefault="0079492E" w:rsidP="00A46625">
            <w:pPr>
              <w:pStyle w:val="Tab"/>
              <w:numPr>
                <w:ilvl w:val="0"/>
                <w:numId w:val="0"/>
              </w:numPr>
              <w:spacing w:before="0"/>
              <w:jc w:val="center"/>
              <w:rPr>
                <w:rFonts w:ascii="Arial Narrow" w:hAnsi="Arial Narrow"/>
                <w:b/>
                <w:sz w:val="13"/>
                <w:szCs w:val="13"/>
              </w:rPr>
            </w:pPr>
            <w:r w:rsidRPr="00C71FFD">
              <w:rPr>
                <w:rFonts w:ascii="Arial Narrow" w:hAnsi="Arial Narrow"/>
                <w:b/>
                <w:sz w:val="13"/>
                <w:szCs w:val="13"/>
              </w:rPr>
              <w:t>-</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sidRPr="005753EC">
              <w:rPr>
                <w:rFonts w:ascii="Arial Narrow" w:hAnsi="Arial Narrow"/>
                <w:b/>
                <w:sz w:val="14"/>
                <w:szCs w:val="14"/>
              </w:rPr>
              <w:t>499 713 353</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Pr>
                <w:rFonts w:ascii="Arial Narrow" w:hAnsi="Arial Narrow"/>
                <w:b/>
                <w:sz w:val="14"/>
                <w:szCs w:val="14"/>
              </w:rPr>
              <w:t>30 289 714</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sidRPr="005753EC">
              <w:rPr>
                <w:rFonts w:ascii="Arial Narrow" w:hAnsi="Arial Narrow"/>
                <w:b/>
                <w:sz w:val="14"/>
                <w:szCs w:val="14"/>
              </w:rPr>
              <w:t>525 580 873</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Pr>
                <w:rFonts w:ascii="Arial Narrow" w:hAnsi="Arial Narrow"/>
                <w:b/>
                <w:sz w:val="14"/>
                <w:szCs w:val="14"/>
              </w:rPr>
              <w:t>31 857 065</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sidRPr="005753EC">
              <w:rPr>
                <w:rFonts w:ascii="Arial Narrow" w:hAnsi="Arial Narrow"/>
                <w:b/>
                <w:sz w:val="14"/>
                <w:szCs w:val="14"/>
              </w:rPr>
              <w:t>551 753 808</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Pr>
                <w:rFonts w:ascii="Arial Narrow" w:hAnsi="Arial Narrow"/>
                <w:b/>
                <w:sz w:val="14"/>
                <w:szCs w:val="14"/>
              </w:rPr>
              <w:t>33 442 943</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sidRPr="005753EC">
              <w:rPr>
                <w:rFonts w:ascii="Arial Narrow" w:hAnsi="Arial Narrow"/>
                <w:b/>
                <w:sz w:val="14"/>
                <w:szCs w:val="14"/>
              </w:rPr>
              <w:t>576 999 603</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Pr>
                <w:rFonts w:ascii="Arial Narrow" w:hAnsi="Arial Narrow"/>
                <w:b/>
                <w:sz w:val="14"/>
                <w:szCs w:val="14"/>
              </w:rPr>
              <w:t>34 972 977</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sidRPr="005753EC">
              <w:rPr>
                <w:rFonts w:ascii="Arial Narrow" w:hAnsi="Arial Narrow"/>
                <w:b/>
                <w:sz w:val="14"/>
                <w:szCs w:val="14"/>
              </w:rPr>
              <w:t>603 384 154</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Pr>
                <w:rFonts w:ascii="Arial Narrow" w:hAnsi="Arial Narrow"/>
                <w:b/>
                <w:sz w:val="14"/>
                <w:szCs w:val="14"/>
              </w:rPr>
              <w:t>36 572 413</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sidRPr="005753EC">
              <w:rPr>
                <w:rFonts w:ascii="Arial Narrow" w:hAnsi="Arial Narrow"/>
                <w:b/>
                <w:sz w:val="14"/>
                <w:szCs w:val="14"/>
              </w:rPr>
              <w:t>632 271 571</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Pr>
                <w:rFonts w:ascii="Arial Narrow" w:hAnsi="Arial Narrow"/>
                <w:b/>
                <w:sz w:val="14"/>
                <w:szCs w:val="14"/>
              </w:rPr>
              <w:t>38 323 181</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sidRPr="005753EC">
              <w:rPr>
                <w:rFonts w:ascii="Arial Narrow" w:hAnsi="Arial Narrow"/>
                <w:b/>
                <w:sz w:val="14"/>
                <w:szCs w:val="14"/>
              </w:rPr>
              <w:t>646 942 011</w:t>
            </w:r>
          </w:p>
        </w:tc>
        <w:tc>
          <w:tcPr>
            <w:tcW w:w="889"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Pr>
                <w:rFonts w:ascii="Arial Narrow" w:hAnsi="Arial Narrow"/>
                <w:b/>
                <w:sz w:val="14"/>
                <w:szCs w:val="14"/>
              </w:rPr>
              <w:t>39 212 912</w:t>
            </w:r>
          </w:p>
        </w:tc>
        <w:tc>
          <w:tcPr>
            <w:tcW w:w="988"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sidRPr="005753EC">
              <w:rPr>
                <w:rStyle w:val="FontStyle88"/>
                <w:rFonts w:ascii="Arial Narrow" w:hAnsi="Arial Narrow"/>
                <w:b/>
                <w:lang w:eastAsia="en-US"/>
              </w:rPr>
              <w:t>4 036 645 373</w:t>
            </w:r>
          </w:p>
        </w:tc>
        <w:tc>
          <w:tcPr>
            <w:tcW w:w="906" w:type="dxa"/>
            <w:shd w:val="clear" w:color="auto" w:fill="D9D9D9" w:themeFill="background1" w:themeFillShade="D9"/>
            <w:vAlign w:val="center"/>
          </w:tcPr>
          <w:p w:rsidR="0079492E" w:rsidRPr="005753EC" w:rsidRDefault="0079492E" w:rsidP="00A46625">
            <w:pPr>
              <w:pStyle w:val="Tab"/>
              <w:numPr>
                <w:ilvl w:val="0"/>
                <w:numId w:val="0"/>
              </w:numPr>
              <w:spacing w:before="0"/>
              <w:jc w:val="right"/>
              <w:rPr>
                <w:rFonts w:ascii="Arial Narrow" w:hAnsi="Arial Narrow"/>
                <w:b/>
                <w:sz w:val="14"/>
                <w:szCs w:val="14"/>
              </w:rPr>
            </w:pPr>
            <w:r>
              <w:rPr>
                <w:rFonts w:ascii="Arial Narrow" w:hAnsi="Arial Narrow"/>
                <w:b/>
                <w:sz w:val="14"/>
                <w:szCs w:val="14"/>
              </w:rPr>
              <w:t>244 671 205</w:t>
            </w:r>
          </w:p>
        </w:tc>
      </w:tr>
    </w:tbl>
    <w:p w:rsidR="0079492E" w:rsidRDefault="0079492E" w:rsidP="0079492E"/>
    <w:p w:rsidR="0079492E" w:rsidRPr="0079492E" w:rsidRDefault="0079492E" w:rsidP="0079492E"/>
    <w:p w:rsidR="0079492E" w:rsidRDefault="0079492E" w:rsidP="0079492E">
      <w:pPr>
        <w:pStyle w:val="Nadpis2"/>
        <w:tabs>
          <w:tab w:val="num" w:pos="851"/>
        </w:tabs>
        <w:spacing w:before="240"/>
        <w:jc w:val="both"/>
        <w:sectPr w:rsidR="0079492E" w:rsidSect="002E2353">
          <w:headerReference w:type="default" r:id="rId29"/>
          <w:footerReference w:type="default" r:id="rId30"/>
          <w:pgSz w:w="16838" w:h="11906" w:orient="landscape" w:code="9"/>
          <w:pgMar w:top="2041" w:right="1304" w:bottom="1474" w:left="1304" w:header="1474" w:footer="709" w:gutter="0"/>
          <w:cols w:space="708"/>
          <w:docGrid w:linePitch="360"/>
        </w:sectPr>
      </w:pPr>
      <w:bookmarkStart w:id="105" w:name="_Toc383209140"/>
      <w:bookmarkStart w:id="106" w:name="_Toc383236554"/>
    </w:p>
    <w:p w:rsidR="0079492E" w:rsidRDefault="0079492E" w:rsidP="0079492E">
      <w:pPr>
        <w:pStyle w:val="Nadpis2"/>
        <w:tabs>
          <w:tab w:val="num" w:pos="851"/>
        </w:tabs>
        <w:spacing w:before="240"/>
        <w:jc w:val="both"/>
      </w:pPr>
      <w:bookmarkStart w:id="107" w:name="_Toc385310744"/>
      <w:r w:rsidRPr="00273CD8">
        <w:lastRenderedPageBreak/>
        <w:t xml:space="preserve">Finančný plán </w:t>
      </w:r>
      <w:r>
        <w:t xml:space="preserve">operačného programu, ktorý stanovuje celkovú výšku finančných prostriedkov na programové obdobie 2014 – 2020 z každého fondu ako aj </w:t>
      </w:r>
      <w:r w:rsidRPr="001D46C6">
        <w:t xml:space="preserve">výšku národného spolufinancovania na úrovni programu a jednotlivých prioritných osí </w:t>
      </w:r>
      <w:r w:rsidRPr="00273CD8">
        <w:t>(EUR)</w:t>
      </w:r>
      <w:bookmarkEnd w:id="105"/>
      <w:bookmarkEnd w:id="106"/>
      <w:bookmarkEnd w:id="107"/>
    </w:p>
    <w:p w:rsidR="0079492E" w:rsidRDefault="0084414B" w:rsidP="0079492E">
      <w:pPr>
        <w:pStyle w:val="Tab"/>
      </w:pPr>
      <w:r>
        <w:t>Finančný plán operačného programu</w:t>
      </w:r>
    </w:p>
    <w:tbl>
      <w:tblPr>
        <w:tblW w:w="15077" w:type="dxa"/>
        <w:tblInd w:w="-244" w:type="dxa"/>
        <w:tblBorders>
          <w:top w:val="single" w:sz="6" w:space="0" w:color="auto"/>
          <w:left w:val="single" w:sz="6" w:space="0" w:color="auto"/>
          <w:bottom w:val="single" w:sz="6" w:space="0" w:color="auto"/>
          <w:right w:val="single" w:sz="6" w:space="0" w:color="auto"/>
          <w:insideH w:val="single" w:sz="4" w:space="0" w:color="auto"/>
          <w:insideV w:val="single" w:sz="6" w:space="0" w:color="auto"/>
        </w:tblBorders>
        <w:tblLayout w:type="fixed"/>
        <w:tblCellMar>
          <w:left w:w="40" w:type="dxa"/>
          <w:right w:w="40" w:type="dxa"/>
        </w:tblCellMar>
        <w:tblLook w:val="0000"/>
      </w:tblPr>
      <w:tblGrid>
        <w:gridCol w:w="704"/>
        <w:gridCol w:w="530"/>
        <w:gridCol w:w="879"/>
        <w:gridCol w:w="1194"/>
        <w:gridCol w:w="1068"/>
        <w:gridCol w:w="1057"/>
        <w:gridCol w:w="965"/>
        <w:gridCol w:w="980"/>
        <w:gridCol w:w="1148"/>
        <w:gridCol w:w="728"/>
        <w:gridCol w:w="784"/>
        <w:gridCol w:w="1080"/>
        <w:gridCol w:w="1023"/>
        <w:gridCol w:w="992"/>
        <w:gridCol w:w="952"/>
        <w:gridCol w:w="993"/>
      </w:tblGrid>
      <w:tr w:rsidR="0084414B" w:rsidRPr="00001F01" w:rsidTr="00A46625">
        <w:trPr>
          <w:trHeight w:val="492"/>
        </w:trPr>
        <w:tc>
          <w:tcPr>
            <w:tcW w:w="704" w:type="dxa"/>
            <w:vMerge w:val="restart"/>
            <w:shd w:val="clear" w:color="auto" w:fill="C6D9F1" w:themeFill="text2" w:themeFillTint="33"/>
            <w:vAlign w:val="center"/>
          </w:tcPr>
          <w:p w:rsidR="0084414B" w:rsidRPr="00001F01" w:rsidRDefault="0084414B" w:rsidP="00A46625">
            <w:pPr>
              <w:pStyle w:val="Style30"/>
              <w:widowControl/>
              <w:rPr>
                <w:rFonts w:ascii="Arial Narrow" w:hAnsi="Arial Narrow"/>
                <w:sz w:val="14"/>
                <w:szCs w:val="14"/>
              </w:rPr>
            </w:pPr>
            <w:r w:rsidRPr="00001F01">
              <w:rPr>
                <w:rFonts w:ascii="Arial Narrow" w:hAnsi="Arial Narrow"/>
                <w:sz w:val="14"/>
                <w:szCs w:val="14"/>
              </w:rPr>
              <w:t xml:space="preserve">Prioritná </w:t>
            </w:r>
          </w:p>
          <w:p w:rsidR="0084414B" w:rsidRPr="00001F01" w:rsidRDefault="0084414B" w:rsidP="00A46625">
            <w:pPr>
              <w:pStyle w:val="Style30"/>
              <w:widowControl/>
              <w:rPr>
                <w:rFonts w:ascii="Arial Narrow" w:hAnsi="Arial Narrow"/>
                <w:sz w:val="14"/>
                <w:szCs w:val="14"/>
              </w:rPr>
            </w:pPr>
            <w:r w:rsidRPr="00001F01">
              <w:rPr>
                <w:rFonts w:ascii="Arial Narrow" w:hAnsi="Arial Narrow"/>
                <w:sz w:val="14"/>
                <w:szCs w:val="14"/>
              </w:rPr>
              <w:t>os</w:t>
            </w:r>
          </w:p>
        </w:tc>
        <w:tc>
          <w:tcPr>
            <w:tcW w:w="530" w:type="dxa"/>
            <w:vMerge w:val="restart"/>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lang w:eastAsia="en-US"/>
              </w:rPr>
            </w:pPr>
            <w:r w:rsidRPr="00001F01">
              <w:rPr>
                <w:rStyle w:val="FontStyle88"/>
                <w:rFonts w:ascii="Arial Narrow" w:hAnsi="Arial Narrow"/>
                <w:lang w:eastAsia="en-US"/>
              </w:rPr>
              <w:t>Fond</w:t>
            </w:r>
          </w:p>
        </w:tc>
        <w:tc>
          <w:tcPr>
            <w:tcW w:w="879" w:type="dxa"/>
            <w:vMerge w:val="restart"/>
            <w:shd w:val="clear" w:color="auto" w:fill="C6D9F1" w:themeFill="text2" w:themeFillTint="33"/>
            <w:vAlign w:val="center"/>
          </w:tcPr>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Kategória regiónov</w:t>
            </w:r>
          </w:p>
        </w:tc>
        <w:tc>
          <w:tcPr>
            <w:tcW w:w="1194" w:type="dxa"/>
            <w:vMerge w:val="restart"/>
            <w:shd w:val="clear" w:color="auto" w:fill="C6D9F1" w:themeFill="text2" w:themeFillTint="33"/>
            <w:vAlign w:val="center"/>
          </w:tcPr>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Základ pre výpočet podpory EÚ</w:t>
            </w:r>
          </w:p>
          <w:p w:rsidR="0084414B" w:rsidRPr="00001F01" w:rsidRDefault="0084414B" w:rsidP="00A46625">
            <w:pPr>
              <w:pStyle w:val="Style24"/>
              <w:widowControl/>
              <w:spacing w:line="192" w:lineRule="exact"/>
              <w:jc w:val="center"/>
              <w:rPr>
                <w:rStyle w:val="FontStyle88"/>
                <w:rFonts w:ascii="Arial Narrow" w:hAnsi="Arial Narrow"/>
                <w:lang w:eastAsia="en-US"/>
              </w:rPr>
            </w:pPr>
            <w:r w:rsidRPr="00001F01">
              <w:rPr>
                <w:rStyle w:val="FontStyle88"/>
                <w:rFonts w:ascii="Arial Narrow" w:hAnsi="Arial Narrow"/>
                <w:lang w:eastAsia="en-US"/>
              </w:rPr>
              <w:t>(celkové oprávnené výdavky, alebo verejné oprávnené výdavky)</w:t>
            </w:r>
          </w:p>
        </w:tc>
        <w:tc>
          <w:tcPr>
            <w:tcW w:w="1068" w:type="dxa"/>
            <w:vMerge w:val="restart"/>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lang w:eastAsia="en-US"/>
              </w:rPr>
            </w:pPr>
            <w:r w:rsidRPr="00001F01">
              <w:rPr>
                <w:rStyle w:val="FontStyle88"/>
                <w:rFonts w:ascii="Arial Narrow" w:hAnsi="Arial Narrow"/>
                <w:lang w:eastAsia="en-US"/>
              </w:rPr>
              <w:t>Podpora EÚ</w:t>
            </w:r>
          </w:p>
        </w:tc>
        <w:tc>
          <w:tcPr>
            <w:tcW w:w="1057" w:type="dxa"/>
            <w:vMerge w:val="restart"/>
            <w:shd w:val="clear" w:color="auto" w:fill="C6D9F1" w:themeFill="text2" w:themeFillTint="33"/>
            <w:vAlign w:val="center"/>
          </w:tcPr>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Národné spolufinancovanie</w:t>
            </w:r>
          </w:p>
        </w:tc>
        <w:tc>
          <w:tcPr>
            <w:tcW w:w="1945" w:type="dxa"/>
            <w:gridSpan w:val="2"/>
            <w:shd w:val="clear" w:color="auto" w:fill="C6D9F1" w:themeFill="text2" w:themeFillTint="33"/>
            <w:vAlign w:val="center"/>
          </w:tcPr>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Indikatívne členenie národného spolufinancovania</w:t>
            </w:r>
          </w:p>
        </w:tc>
        <w:tc>
          <w:tcPr>
            <w:tcW w:w="1148" w:type="dxa"/>
            <w:vMerge w:val="restart"/>
            <w:shd w:val="clear" w:color="auto" w:fill="C6D9F1" w:themeFill="text2" w:themeFillTint="33"/>
            <w:vAlign w:val="center"/>
          </w:tcPr>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 xml:space="preserve">Celkové </w:t>
            </w:r>
          </w:p>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financovanie</w:t>
            </w:r>
          </w:p>
        </w:tc>
        <w:tc>
          <w:tcPr>
            <w:tcW w:w="728" w:type="dxa"/>
            <w:vMerge w:val="restart"/>
            <w:shd w:val="clear" w:color="auto" w:fill="C6D9F1" w:themeFill="text2" w:themeFillTint="33"/>
            <w:vAlign w:val="center"/>
          </w:tcPr>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Miera spolufinancovania</w:t>
            </w:r>
          </w:p>
        </w:tc>
        <w:tc>
          <w:tcPr>
            <w:tcW w:w="784" w:type="dxa"/>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lang w:eastAsia="en-US"/>
              </w:rPr>
            </w:pPr>
            <w:r w:rsidRPr="00001F01">
              <w:rPr>
                <w:rStyle w:val="FontStyle88"/>
                <w:rFonts w:ascii="Arial Narrow" w:hAnsi="Arial Narrow"/>
                <w:lang w:eastAsia="en-US"/>
              </w:rPr>
              <w:t>Pre</w:t>
            </w:r>
          </w:p>
          <w:p w:rsidR="0084414B" w:rsidRPr="00001F01" w:rsidRDefault="0084414B" w:rsidP="00A46625">
            <w:pPr>
              <w:pStyle w:val="Style24"/>
              <w:widowControl/>
              <w:spacing w:line="240" w:lineRule="auto"/>
              <w:jc w:val="center"/>
              <w:rPr>
                <w:rStyle w:val="FontStyle88"/>
                <w:rFonts w:ascii="Arial Narrow" w:hAnsi="Arial Narrow"/>
                <w:lang w:eastAsia="en-US"/>
              </w:rPr>
            </w:pPr>
            <w:r w:rsidRPr="00001F01">
              <w:rPr>
                <w:rStyle w:val="FontStyle88"/>
                <w:rFonts w:ascii="Arial Narrow" w:hAnsi="Arial Narrow"/>
                <w:lang w:eastAsia="en-US"/>
              </w:rPr>
              <w:t>informácie</w:t>
            </w:r>
          </w:p>
        </w:tc>
        <w:tc>
          <w:tcPr>
            <w:tcW w:w="2103" w:type="dxa"/>
            <w:gridSpan w:val="2"/>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lang w:eastAsia="en-US"/>
              </w:rPr>
            </w:pPr>
            <w:r w:rsidRPr="00001F01">
              <w:rPr>
                <w:rStyle w:val="FontStyle88"/>
                <w:rFonts w:ascii="Arial Narrow" w:hAnsi="Arial Narrow"/>
                <w:lang w:eastAsia="en-US"/>
              </w:rPr>
              <w:t>Hlavná alokácia</w:t>
            </w:r>
          </w:p>
        </w:tc>
        <w:tc>
          <w:tcPr>
            <w:tcW w:w="1944" w:type="dxa"/>
            <w:gridSpan w:val="2"/>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lang w:eastAsia="en-US"/>
              </w:rPr>
            </w:pPr>
            <w:r w:rsidRPr="00001F01">
              <w:rPr>
                <w:rStyle w:val="FontStyle88"/>
                <w:rFonts w:ascii="Arial Narrow" w:hAnsi="Arial Narrow"/>
                <w:lang w:eastAsia="en-US"/>
              </w:rPr>
              <w:t>Výkonnostná rezerva</w:t>
            </w:r>
          </w:p>
        </w:tc>
        <w:tc>
          <w:tcPr>
            <w:tcW w:w="993" w:type="dxa"/>
            <w:vMerge w:val="restart"/>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lang w:eastAsia="en-US"/>
              </w:rPr>
            </w:pPr>
            <w:r w:rsidRPr="00001F01">
              <w:rPr>
                <w:rFonts w:ascii="Arial Narrow" w:hAnsi="Arial Narrow"/>
                <w:sz w:val="14"/>
                <w:szCs w:val="14"/>
                <w:lang w:eastAsia="en-US"/>
              </w:rPr>
              <w:t>Podiel výkonnostnej rezervy (podpora EÚ) na celkovej podpore EÚ pre prioritnú</w:t>
            </w:r>
            <w:r>
              <w:rPr>
                <w:rFonts w:ascii="Arial Narrow" w:hAnsi="Arial Narrow"/>
                <w:sz w:val="14"/>
                <w:szCs w:val="14"/>
                <w:lang w:eastAsia="en-US"/>
              </w:rPr>
              <w:t xml:space="preserve"> os</w:t>
            </w:r>
          </w:p>
        </w:tc>
      </w:tr>
      <w:tr w:rsidR="0084414B" w:rsidRPr="00001F01" w:rsidTr="00A46625">
        <w:trPr>
          <w:trHeight w:val="144"/>
        </w:trPr>
        <w:tc>
          <w:tcPr>
            <w:tcW w:w="704" w:type="dxa"/>
            <w:vMerge/>
            <w:shd w:val="clear" w:color="auto" w:fill="C6D9F1" w:themeFill="text2" w:themeFillTint="33"/>
          </w:tcPr>
          <w:p w:rsidR="0084414B" w:rsidRPr="00001F01" w:rsidRDefault="0084414B" w:rsidP="00A46625">
            <w:pPr>
              <w:rPr>
                <w:rStyle w:val="FontStyle88"/>
                <w:rFonts w:ascii="Arial Narrow" w:hAnsi="Arial Narrow"/>
                <w:lang w:eastAsia="en-US"/>
              </w:rPr>
            </w:pPr>
          </w:p>
        </w:tc>
        <w:tc>
          <w:tcPr>
            <w:tcW w:w="530" w:type="dxa"/>
            <w:vMerge/>
            <w:shd w:val="clear" w:color="auto" w:fill="C6D9F1" w:themeFill="text2" w:themeFillTint="33"/>
          </w:tcPr>
          <w:p w:rsidR="0084414B" w:rsidRPr="00001F01" w:rsidRDefault="0084414B" w:rsidP="00A46625">
            <w:pPr>
              <w:pStyle w:val="Style30"/>
              <w:widowControl/>
              <w:rPr>
                <w:rFonts w:ascii="Arial Narrow" w:hAnsi="Arial Narrow"/>
                <w:sz w:val="14"/>
                <w:szCs w:val="14"/>
              </w:rPr>
            </w:pPr>
          </w:p>
        </w:tc>
        <w:tc>
          <w:tcPr>
            <w:tcW w:w="879" w:type="dxa"/>
            <w:vMerge/>
            <w:shd w:val="clear" w:color="auto" w:fill="C6D9F1" w:themeFill="text2" w:themeFillTint="33"/>
            <w:vAlign w:val="center"/>
          </w:tcPr>
          <w:p w:rsidR="0084414B" w:rsidRPr="00001F01" w:rsidRDefault="0084414B" w:rsidP="00A46625">
            <w:pPr>
              <w:pStyle w:val="Style30"/>
              <w:widowControl/>
              <w:jc w:val="center"/>
              <w:rPr>
                <w:rFonts w:ascii="Arial Narrow" w:hAnsi="Arial Narrow"/>
                <w:sz w:val="14"/>
                <w:szCs w:val="14"/>
              </w:rPr>
            </w:pPr>
          </w:p>
        </w:tc>
        <w:tc>
          <w:tcPr>
            <w:tcW w:w="1194" w:type="dxa"/>
            <w:vMerge/>
            <w:shd w:val="clear" w:color="auto" w:fill="C6D9F1" w:themeFill="text2" w:themeFillTint="33"/>
          </w:tcPr>
          <w:p w:rsidR="0084414B" w:rsidRPr="00001F01" w:rsidRDefault="0084414B" w:rsidP="00A46625">
            <w:pPr>
              <w:pStyle w:val="Style30"/>
              <w:widowControl/>
              <w:rPr>
                <w:rFonts w:ascii="Arial Narrow" w:hAnsi="Arial Narrow"/>
                <w:sz w:val="14"/>
                <w:szCs w:val="14"/>
              </w:rPr>
            </w:pPr>
          </w:p>
        </w:tc>
        <w:tc>
          <w:tcPr>
            <w:tcW w:w="1068" w:type="dxa"/>
            <w:vMerge/>
            <w:shd w:val="clear" w:color="auto" w:fill="C6D9F1" w:themeFill="text2" w:themeFillTint="33"/>
          </w:tcPr>
          <w:p w:rsidR="0084414B" w:rsidRPr="00001F01" w:rsidRDefault="0084414B" w:rsidP="00A46625">
            <w:pPr>
              <w:pStyle w:val="Style30"/>
              <w:widowControl/>
              <w:rPr>
                <w:rFonts w:ascii="Arial Narrow" w:hAnsi="Arial Narrow"/>
                <w:sz w:val="14"/>
                <w:szCs w:val="14"/>
              </w:rPr>
            </w:pPr>
          </w:p>
        </w:tc>
        <w:tc>
          <w:tcPr>
            <w:tcW w:w="1057" w:type="dxa"/>
            <w:vMerge/>
            <w:shd w:val="clear" w:color="auto" w:fill="C6D9F1" w:themeFill="text2" w:themeFillTint="33"/>
            <w:vAlign w:val="center"/>
          </w:tcPr>
          <w:p w:rsidR="0084414B" w:rsidRPr="00001F01" w:rsidRDefault="0084414B" w:rsidP="00A46625">
            <w:pPr>
              <w:pStyle w:val="Style30"/>
              <w:widowControl/>
              <w:jc w:val="center"/>
              <w:rPr>
                <w:rFonts w:ascii="Arial Narrow" w:hAnsi="Arial Narrow"/>
                <w:sz w:val="14"/>
                <w:szCs w:val="14"/>
              </w:rPr>
            </w:pPr>
          </w:p>
        </w:tc>
        <w:tc>
          <w:tcPr>
            <w:tcW w:w="965" w:type="dxa"/>
            <w:shd w:val="clear" w:color="auto" w:fill="C6D9F1" w:themeFill="text2" w:themeFillTint="33"/>
            <w:vAlign w:val="center"/>
          </w:tcPr>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 xml:space="preserve">Národné </w:t>
            </w:r>
          </w:p>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verejné financovanie</w:t>
            </w:r>
          </w:p>
        </w:tc>
        <w:tc>
          <w:tcPr>
            <w:tcW w:w="980" w:type="dxa"/>
            <w:shd w:val="clear" w:color="auto" w:fill="C6D9F1" w:themeFill="text2" w:themeFillTint="33"/>
            <w:vAlign w:val="center"/>
          </w:tcPr>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 xml:space="preserve">Národné </w:t>
            </w:r>
          </w:p>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súkromné financovanie</w:t>
            </w:r>
          </w:p>
        </w:tc>
        <w:tc>
          <w:tcPr>
            <w:tcW w:w="1148" w:type="dxa"/>
            <w:vMerge/>
            <w:shd w:val="clear" w:color="auto" w:fill="C6D9F1" w:themeFill="text2" w:themeFillTint="33"/>
            <w:vAlign w:val="center"/>
          </w:tcPr>
          <w:p w:rsidR="0084414B" w:rsidRPr="00001F01" w:rsidRDefault="0084414B" w:rsidP="00A46625">
            <w:pPr>
              <w:pStyle w:val="Style30"/>
              <w:widowControl/>
              <w:jc w:val="center"/>
              <w:rPr>
                <w:rFonts w:ascii="Arial Narrow" w:hAnsi="Arial Narrow"/>
                <w:sz w:val="14"/>
                <w:szCs w:val="14"/>
              </w:rPr>
            </w:pPr>
          </w:p>
        </w:tc>
        <w:tc>
          <w:tcPr>
            <w:tcW w:w="728" w:type="dxa"/>
            <w:vMerge/>
            <w:shd w:val="clear" w:color="auto" w:fill="C6D9F1" w:themeFill="text2" w:themeFillTint="33"/>
          </w:tcPr>
          <w:p w:rsidR="0084414B" w:rsidRPr="00001F01" w:rsidRDefault="0084414B" w:rsidP="00A46625">
            <w:pPr>
              <w:pStyle w:val="Style30"/>
              <w:widowControl/>
              <w:rPr>
                <w:rFonts w:ascii="Arial Narrow" w:hAnsi="Arial Narrow"/>
                <w:sz w:val="14"/>
                <w:szCs w:val="14"/>
              </w:rPr>
            </w:pPr>
          </w:p>
        </w:tc>
        <w:tc>
          <w:tcPr>
            <w:tcW w:w="784" w:type="dxa"/>
            <w:shd w:val="clear" w:color="auto" w:fill="C6D9F1" w:themeFill="text2" w:themeFillTint="33"/>
            <w:vAlign w:val="center"/>
          </w:tcPr>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 xml:space="preserve">Príspevky </w:t>
            </w:r>
          </w:p>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EIB</w:t>
            </w:r>
          </w:p>
        </w:tc>
        <w:tc>
          <w:tcPr>
            <w:tcW w:w="1080" w:type="dxa"/>
            <w:shd w:val="clear" w:color="auto" w:fill="C6D9F1" w:themeFill="text2" w:themeFillTint="33"/>
            <w:vAlign w:val="center"/>
          </w:tcPr>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 xml:space="preserve">Podpora </w:t>
            </w:r>
          </w:p>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EÚ</w:t>
            </w:r>
          </w:p>
        </w:tc>
        <w:tc>
          <w:tcPr>
            <w:tcW w:w="1023" w:type="dxa"/>
            <w:shd w:val="clear" w:color="auto" w:fill="C6D9F1" w:themeFill="text2" w:themeFillTint="33"/>
            <w:vAlign w:val="center"/>
          </w:tcPr>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Národné spolufinancovanie</w:t>
            </w:r>
          </w:p>
        </w:tc>
        <w:tc>
          <w:tcPr>
            <w:tcW w:w="992" w:type="dxa"/>
            <w:shd w:val="clear" w:color="auto" w:fill="C6D9F1" w:themeFill="text2" w:themeFillTint="33"/>
            <w:vAlign w:val="center"/>
          </w:tcPr>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 xml:space="preserve">Podpora </w:t>
            </w:r>
          </w:p>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EÚ</w:t>
            </w:r>
          </w:p>
        </w:tc>
        <w:tc>
          <w:tcPr>
            <w:tcW w:w="952" w:type="dxa"/>
            <w:shd w:val="clear" w:color="auto" w:fill="C6D9F1" w:themeFill="text2" w:themeFillTint="33"/>
            <w:vAlign w:val="center"/>
          </w:tcPr>
          <w:p w:rsidR="0084414B"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Národné spolufinanco</w:t>
            </w:r>
            <w:r>
              <w:rPr>
                <w:rStyle w:val="FontStyle88"/>
                <w:rFonts w:ascii="Arial Narrow" w:hAnsi="Arial Narrow"/>
                <w:lang w:eastAsia="en-US"/>
              </w:rPr>
              <w:t>-</w:t>
            </w:r>
          </w:p>
          <w:p w:rsidR="0084414B" w:rsidRPr="00001F01" w:rsidRDefault="0084414B" w:rsidP="00A46625">
            <w:pPr>
              <w:pStyle w:val="Style24"/>
              <w:widowControl/>
              <w:jc w:val="center"/>
              <w:rPr>
                <w:rStyle w:val="FontStyle88"/>
                <w:rFonts w:ascii="Arial Narrow" w:hAnsi="Arial Narrow"/>
                <w:lang w:eastAsia="en-US"/>
              </w:rPr>
            </w:pPr>
            <w:r w:rsidRPr="00001F01">
              <w:rPr>
                <w:rStyle w:val="FontStyle88"/>
                <w:rFonts w:ascii="Arial Narrow" w:hAnsi="Arial Narrow"/>
                <w:lang w:eastAsia="en-US"/>
              </w:rPr>
              <w:t>vanie</w:t>
            </w:r>
          </w:p>
        </w:tc>
        <w:tc>
          <w:tcPr>
            <w:tcW w:w="993" w:type="dxa"/>
            <w:vMerge/>
            <w:shd w:val="clear" w:color="auto" w:fill="C6D9F1" w:themeFill="text2" w:themeFillTint="33"/>
          </w:tcPr>
          <w:p w:rsidR="0084414B" w:rsidRPr="00001F01" w:rsidRDefault="0084414B" w:rsidP="00A46625">
            <w:pPr>
              <w:pStyle w:val="Style24"/>
              <w:widowControl/>
              <w:jc w:val="center"/>
              <w:rPr>
                <w:rStyle w:val="FontStyle88"/>
                <w:rFonts w:ascii="Arial Narrow" w:hAnsi="Arial Narrow"/>
                <w:lang w:eastAsia="en-US"/>
              </w:rPr>
            </w:pPr>
          </w:p>
        </w:tc>
      </w:tr>
      <w:tr w:rsidR="0084414B" w:rsidRPr="00001F01" w:rsidTr="00A46625">
        <w:trPr>
          <w:trHeight w:val="284"/>
        </w:trPr>
        <w:tc>
          <w:tcPr>
            <w:tcW w:w="704" w:type="dxa"/>
            <w:shd w:val="clear" w:color="auto" w:fill="C6D9F1" w:themeFill="text2" w:themeFillTint="33"/>
            <w:vAlign w:val="center"/>
          </w:tcPr>
          <w:p w:rsidR="0084414B" w:rsidRPr="00001F01" w:rsidRDefault="0084414B" w:rsidP="00A46625">
            <w:pPr>
              <w:jc w:val="center"/>
              <w:rPr>
                <w:rStyle w:val="FontStyle88"/>
                <w:rFonts w:ascii="Arial Narrow" w:hAnsi="Arial Narrow"/>
                <w:lang w:eastAsia="en-US"/>
              </w:rPr>
            </w:pPr>
          </w:p>
        </w:tc>
        <w:tc>
          <w:tcPr>
            <w:tcW w:w="530" w:type="dxa"/>
            <w:shd w:val="clear" w:color="auto" w:fill="C6D9F1" w:themeFill="text2" w:themeFillTint="33"/>
            <w:vAlign w:val="center"/>
          </w:tcPr>
          <w:p w:rsidR="0084414B" w:rsidRPr="00001F01" w:rsidRDefault="0084414B" w:rsidP="00A46625">
            <w:pPr>
              <w:pStyle w:val="Style30"/>
              <w:widowControl/>
              <w:jc w:val="center"/>
              <w:rPr>
                <w:rFonts w:ascii="Arial Narrow" w:hAnsi="Arial Narrow"/>
                <w:sz w:val="14"/>
                <w:szCs w:val="14"/>
              </w:rPr>
            </w:pPr>
          </w:p>
        </w:tc>
        <w:tc>
          <w:tcPr>
            <w:tcW w:w="879" w:type="dxa"/>
            <w:shd w:val="clear" w:color="auto" w:fill="C6D9F1" w:themeFill="text2" w:themeFillTint="33"/>
            <w:vAlign w:val="center"/>
          </w:tcPr>
          <w:p w:rsidR="0084414B" w:rsidRPr="00001F01" w:rsidRDefault="0084414B" w:rsidP="00A46625">
            <w:pPr>
              <w:pStyle w:val="Style30"/>
              <w:widowControl/>
              <w:jc w:val="center"/>
              <w:rPr>
                <w:rFonts w:ascii="Arial Narrow" w:hAnsi="Arial Narrow"/>
                <w:sz w:val="14"/>
                <w:szCs w:val="14"/>
              </w:rPr>
            </w:pPr>
          </w:p>
        </w:tc>
        <w:tc>
          <w:tcPr>
            <w:tcW w:w="1194" w:type="dxa"/>
            <w:shd w:val="clear" w:color="auto" w:fill="C6D9F1" w:themeFill="text2" w:themeFillTint="33"/>
            <w:vAlign w:val="center"/>
          </w:tcPr>
          <w:p w:rsidR="0084414B" w:rsidRPr="00001F01" w:rsidRDefault="0084414B" w:rsidP="00A46625">
            <w:pPr>
              <w:pStyle w:val="Style30"/>
              <w:widowControl/>
              <w:jc w:val="center"/>
              <w:rPr>
                <w:rFonts w:ascii="Arial Narrow" w:hAnsi="Arial Narrow"/>
                <w:sz w:val="14"/>
                <w:szCs w:val="14"/>
              </w:rPr>
            </w:pPr>
          </w:p>
        </w:tc>
        <w:tc>
          <w:tcPr>
            <w:tcW w:w="1068" w:type="dxa"/>
            <w:shd w:val="clear" w:color="auto" w:fill="C6D9F1" w:themeFill="text2" w:themeFillTint="33"/>
            <w:vAlign w:val="center"/>
          </w:tcPr>
          <w:p w:rsidR="0084414B" w:rsidRPr="00001F01" w:rsidRDefault="0084414B" w:rsidP="00A46625">
            <w:pPr>
              <w:pStyle w:val="Style30"/>
              <w:widowControl/>
              <w:jc w:val="center"/>
              <w:rPr>
                <w:rFonts w:ascii="Arial Narrow" w:hAnsi="Arial Narrow"/>
                <w:i/>
                <w:sz w:val="14"/>
                <w:szCs w:val="14"/>
              </w:rPr>
            </w:pPr>
            <w:r w:rsidRPr="00001F01">
              <w:rPr>
                <w:rFonts w:ascii="Arial Narrow" w:hAnsi="Arial Narrow"/>
                <w:i/>
                <w:sz w:val="14"/>
                <w:szCs w:val="14"/>
              </w:rPr>
              <w:t>(a)</w:t>
            </w:r>
          </w:p>
        </w:tc>
        <w:tc>
          <w:tcPr>
            <w:tcW w:w="1057" w:type="dxa"/>
            <w:shd w:val="clear" w:color="auto" w:fill="C6D9F1" w:themeFill="text2" w:themeFillTint="33"/>
            <w:vAlign w:val="center"/>
          </w:tcPr>
          <w:p w:rsidR="0084414B" w:rsidRPr="00001F01" w:rsidRDefault="0084414B" w:rsidP="00A46625">
            <w:pPr>
              <w:pStyle w:val="Style30"/>
              <w:widowControl/>
              <w:jc w:val="center"/>
              <w:rPr>
                <w:rFonts w:ascii="Arial Narrow" w:hAnsi="Arial Narrow"/>
                <w:i/>
                <w:sz w:val="14"/>
                <w:szCs w:val="14"/>
              </w:rPr>
            </w:pPr>
            <w:r w:rsidRPr="00001F01">
              <w:rPr>
                <w:rStyle w:val="FontStyle88"/>
                <w:rFonts w:ascii="Arial Narrow" w:hAnsi="Arial Narrow"/>
                <w:i/>
                <w:lang w:eastAsia="en-US"/>
              </w:rPr>
              <w:t>(b) = (c) + (d)</w:t>
            </w:r>
          </w:p>
        </w:tc>
        <w:tc>
          <w:tcPr>
            <w:tcW w:w="965" w:type="dxa"/>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i/>
                <w:lang w:eastAsia="en-US"/>
              </w:rPr>
            </w:pPr>
            <w:r w:rsidRPr="00001F01">
              <w:rPr>
                <w:rStyle w:val="FontStyle88"/>
                <w:rFonts w:ascii="Arial Narrow" w:hAnsi="Arial Narrow"/>
                <w:i/>
                <w:lang w:eastAsia="en-US"/>
              </w:rPr>
              <w:t>(c)</w:t>
            </w:r>
          </w:p>
        </w:tc>
        <w:tc>
          <w:tcPr>
            <w:tcW w:w="980" w:type="dxa"/>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i/>
                <w:lang w:eastAsia="en-US"/>
              </w:rPr>
            </w:pPr>
            <w:r w:rsidRPr="00001F01">
              <w:rPr>
                <w:rStyle w:val="FontStyle88"/>
                <w:rFonts w:ascii="Arial Narrow" w:hAnsi="Arial Narrow"/>
                <w:i/>
                <w:lang w:eastAsia="en-US"/>
              </w:rPr>
              <w:t>(d)</w:t>
            </w:r>
          </w:p>
        </w:tc>
        <w:tc>
          <w:tcPr>
            <w:tcW w:w="1148" w:type="dxa"/>
            <w:shd w:val="clear" w:color="auto" w:fill="C6D9F1" w:themeFill="text2" w:themeFillTint="33"/>
            <w:vAlign w:val="center"/>
          </w:tcPr>
          <w:p w:rsidR="0084414B" w:rsidRPr="00001F01" w:rsidRDefault="0084414B" w:rsidP="00A46625">
            <w:pPr>
              <w:pStyle w:val="Style30"/>
              <w:widowControl/>
              <w:jc w:val="center"/>
              <w:rPr>
                <w:rFonts w:ascii="Arial Narrow" w:hAnsi="Arial Narrow"/>
                <w:i/>
                <w:sz w:val="14"/>
                <w:szCs w:val="14"/>
              </w:rPr>
            </w:pPr>
            <w:r w:rsidRPr="00001F01">
              <w:rPr>
                <w:rStyle w:val="FontStyle88"/>
                <w:rFonts w:ascii="Arial Narrow" w:hAnsi="Arial Narrow"/>
                <w:i/>
                <w:lang w:val="en-US" w:eastAsia="en-US"/>
              </w:rPr>
              <w:t xml:space="preserve">(e) </w:t>
            </w:r>
            <w:r w:rsidRPr="00001F01">
              <w:rPr>
                <w:rStyle w:val="FontStyle88"/>
                <w:rFonts w:ascii="Arial Narrow" w:hAnsi="Arial Narrow"/>
                <w:i/>
                <w:lang w:eastAsia="en-US"/>
              </w:rPr>
              <w:t>= (a) + (b)</w:t>
            </w:r>
          </w:p>
        </w:tc>
        <w:tc>
          <w:tcPr>
            <w:tcW w:w="728" w:type="dxa"/>
            <w:shd w:val="clear" w:color="auto" w:fill="C6D9F1" w:themeFill="text2" w:themeFillTint="33"/>
            <w:vAlign w:val="center"/>
          </w:tcPr>
          <w:p w:rsidR="0084414B" w:rsidRPr="00001F01" w:rsidRDefault="0084414B" w:rsidP="00A46625">
            <w:pPr>
              <w:pStyle w:val="Style30"/>
              <w:widowControl/>
              <w:jc w:val="center"/>
              <w:rPr>
                <w:rFonts w:ascii="Arial Narrow" w:hAnsi="Arial Narrow"/>
                <w:i/>
                <w:sz w:val="14"/>
                <w:szCs w:val="14"/>
              </w:rPr>
            </w:pPr>
            <w:r w:rsidRPr="00001F01">
              <w:rPr>
                <w:rStyle w:val="FontStyle88"/>
                <w:rFonts w:ascii="Arial Narrow" w:hAnsi="Arial Narrow"/>
                <w:i/>
                <w:lang w:eastAsia="en-US"/>
              </w:rPr>
              <w:t>(f) = (a) / (</w:t>
            </w:r>
            <w:r>
              <w:rPr>
                <w:rStyle w:val="FontStyle88"/>
                <w:rFonts w:ascii="Arial Narrow" w:hAnsi="Arial Narrow"/>
                <w:i/>
                <w:lang w:eastAsia="en-US"/>
              </w:rPr>
              <w:t>e</w:t>
            </w:r>
            <w:r w:rsidRPr="00001F01">
              <w:rPr>
                <w:rStyle w:val="FontStyle88"/>
                <w:rFonts w:ascii="Arial Narrow" w:hAnsi="Arial Narrow"/>
                <w:i/>
                <w:lang w:eastAsia="en-US"/>
              </w:rPr>
              <w:t>)</w:t>
            </w:r>
          </w:p>
        </w:tc>
        <w:tc>
          <w:tcPr>
            <w:tcW w:w="784" w:type="dxa"/>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i/>
                <w:lang w:eastAsia="en-US"/>
              </w:rPr>
            </w:pPr>
            <w:r w:rsidRPr="00001F01">
              <w:rPr>
                <w:rStyle w:val="FontStyle88"/>
                <w:rFonts w:ascii="Arial Narrow" w:hAnsi="Arial Narrow"/>
                <w:i/>
                <w:lang w:eastAsia="en-US"/>
              </w:rPr>
              <w:t>(g)</w:t>
            </w:r>
          </w:p>
        </w:tc>
        <w:tc>
          <w:tcPr>
            <w:tcW w:w="1080" w:type="dxa"/>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i/>
                <w:lang w:eastAsia="en-US"/>
              </w:rPr>
            </w:pPr>
            <w:r w:rsidRPr="00001F01">
              <w:rPr>
                <w:rStyle w:val="FontStyle88"/>
                <w:rFonts w:ascii="Arial Narrow" w:hAnsi="Arial Narrow"/>
                <w:i/>
                <w:lang w:eastAsia="en-US"/>
              </w:rPr>
              <w:t>(h) = (a) – (j)</w:t>
            </w:r>
          </w:p>
        </w:tc>
        <w:tc>
          <w:tcPr>
            <w:tcW w:w="1023" w:type="dxa"/>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i/>
                <w:lang w:eastAsia="en-US"/>
              </w:rPr>
            </w:pPr>
            <w:r w:rsidRPr="00001F01">
              <w:rPr>
                <w:rStyle w:val="FontStyle88"/>
                <w:rFonts w:ascii="Arial Narrow" w:hAnsi="Arial Narrow"/>
                <w:i/>
                <w:lang w:eastAsia="en-US"/>
              </w:rPr>
              <w:t>(i) = (b) – (k)</w:t>
            </w:r>
          </w:p>
        </w:tc>
        <w:tc>
          <w:tcPr>
            <w:tcW w:w="992" w:type="dxa"/>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i/>
                <w:lang w:eastAsia="en-US"/>
              </w:rPr>
            </w:pPr>
            <w:r w:rsidRPr="00001F01">
              <w:rPr>
                <w:rStyle w:val="FontStyle88"/>
                <w:rFonts w:ascii="Arial Narrow" w:hAnsi="Arial Narrow"/>
                <w:i/>
                <w:lang w:eastAsia="en-US"/>
              </w:rPr>
              <w:t>(j)</w:t>
            </w:r>
          </w:p>
        </w:tc>
        <w:tc>
          <w:tcPr>
            <w:tcW w:w="952" w:type="dxa"/>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i/>
                <w:lang w:eastAsia="en-US"/>
              </w:rPr>
            </w:pPr>
            <w:r w:rsidRPr="00001F01">
              <w:rPr>
                <w:rStyle w:val="FontStyle88"/>
                <w:rFonts w:ascii="Arial Narrow" w:hAnsi="Arial Narrow"/>
                <w:i/>
                <w:lang w:eastAsia="en-US"/>
              </w:rPr>
              <w:t>(k)</w:t>
            </w:r>
          </w:p>
        </w:tc>
        <w:tc>
          <w:tcPr>
            <w:tcW w:w="993" w:type="dxa"/>
            <w:shd w:val="clear" w:color="auto" w:fill="C6D9F1" w:themeFill="text2" w:themeFillTint="33"/>
            <w:vAlign w:val="center"/>
          </w:tcPr>
          <w:p w:rsidR="0084414B" w:rsidRPr="00001F01" w:rsidRDefault="0084414B" w:rsidP="00A46625">
            <w:pPr>
              <w:pStyle w:val="Style24"/>
              <w:widowControl/>
              <w:spacing w:line="240" w:lineRule="auto"/>
              <w:jc w:val="center"/>
              <w:rPr>
                <w:rStyle w:val="FontStyle88"/>
                <w:rFonts w:ascii="Arial Narrow" w:hAnsi="Arial Narrow"/>
                <w:i/>
                <w:lang w:eastAsia="en-US"/>
              </w:rPr>
            </w:pPr>
          </w:p>
        </w:tc>
      </w:tr>
      <w:tr w:rsidR="0084414B" w:rsidRPr="00001F01" w:rsidTr="00A46625">
        <w:trPr>
          <w:trHeight w:val="339"/>
        </w:trPr>
        <w:tc>
          <w:tcPr>
            <w:tcW w:w="704" w:type="dxa"/>
            <w:vAlign w:val="center"/>
          </w:tcPr>
          <w:p w:rsidR="0084414B" w:rsidRPr="00001F01" w:rsidRDefault="0084414B" w:rsidP="00A46625">
            <w:pPr>
              <w:pStyle w:val="Style52"/>
              <w:widowControl/>
              <w:ind w:left="10" w:hanging="10"/>
              <w:jc w:val="left"/>
              <w:rPr>
                <w:rStyle w:val="FontStyle86"/>
                <w:rFonts w:ascii="Arial Narrow" w:eastAsiaTheme="majorEastAsia" w:hAnsi="Arial Narrow"/>
              </w:rPr>
            </w:pPr>
            <w:r w:rsidRPr="00001F01">
              <w:rPr>
                <w:rStyle w:val="FontStyle86"/>
                <w:rFonts w:ascii="Arial Narrow" w:eastAsiaTheme="majorEastAsia" w:hAnsi="Arial Narrow"/>
              </w:rPr>
              <w:t xml:space="preserve">PO 1 </w:t>
            </w:r>
          </w:p>
        </w:tc>
        <w:tc>
          <w:tcPr>
            <w:tcW w:w="530" w:type="dxa"/>
            <w:vAlign w:val="center"/>
          </w:tcPr>
          <w:p w:rsidR="0084414B" w:rsidRPr="00001F01" w:rsidRDefault="0084414B" w:rsidP="00A46625">
            <w:pPr>
              <w:pStyle w:val="Style24"/>
              <w:widowControl/>
              <w:spacing w:line="240" w:lineRule="auto"/>
              <w:jc w:val="center"/>
              <w:rPr>
                <w:rStyle w:val="FontStyle88"/>
                <w:rFonts w:ascii="Arial Narrow" w:hAnsi="Arial Narrow"/>
                <w:lang w:eastAsia="en-US"/>
              </w:rPr>
            </w:pPr>
            <w:r w:rsidRPr="00001F01">
              <w:rPr>
                <w:rStyle w:val="FontStyle88"/>
                <w:rFonts w:ascii="Arial Narrow" w:hAnsi="Arial Narrow"/>
                <w:lang w:eastAsia="en-US"/>
              </w:rPr>
              <w:t>KF</w:t>
            </w:r>
          </w:p>
        </w:tc>
        <w:tc>
          <w:tcPr>
            <w:tcW w:w="879" w:type="dxa"/>
            <w:vAlign w:val="center"/>
          </w:tcPr>
          <w:p w:rsidR="0084414B" w:rsidRPr="00001F01" w:rsidRDefault="0084414B" w:rsidP="00A46625">
            <w:pPr>
              <w:pStyle w:val="Style30"/>
              <w:widowControl/>
              <w:jc w:val="center"/>
              <w:rPr>
                <w:rFonts w:ascii="Arial Narrow" w:hAnsi="Arial Narrow"/>
                <w:i/>
                <w:sz w:val="14"/>
                <w:szCs w:val="14"/>
              </w:rPr>
            </w:pPr>
            <w:r w:rsidRPr="00001F01">
              <w:rPr>
                <w:rFonts w:ascii="Arial Narrow" w:hAnsi="Arial Narrow"/>
                <w:i/>
                <w:sz w:val="14"/>
                <w:szCs w:val="14"/>
              </w:rPr>
              <w:t>N/A</w:t>
            </w:r>
          </w:p>
        </w:tc>
        <w:tc>
          <w:tcPr>
            <w:tcW w:w="1194" w:type="dxa"/>
            <w:vAlign w:val="center"/>
          </w:tcPr>
          <w:p w:rsidR="0084414B" w:rsidRPr="00001F01" w:rsidRDefault="0084414B" w:rsidP="00197539">
            <w:pPr>
              <w:jc w:val="center"/>
              <w:rPr>
                <w:rFonts w:ascii="Arial Narrow" w:hAnsi="Arial Narrow"/>
                <w:bCs/>
                <w:color w:val="000000"/>
                <w:sz w:val="14"/>
                <w:szCs w:val="14"/>
              </w:rPr>
            </w:pPr>
            <w:r>
              <w:rPr>
                <w:rFonts w:ascii="Arial Narrow" w:hAnsi="Arial Narrow"/>
                <w:bCs/>
                <w:color w:val="000000"/>
                <w:sz w:val="14"/>
                <w:szCs w:val="14"/>
              </w:rPr>
              <w:t>Celkové oprávnené výdavky</w:t>
            </w:r>
          </w:p>
        </w:tc>
        <w:tc>
          <w:tcPr>
            <w:tcW w:w="1068" w:type="dxa"/>
            <w:vAlign w:val="center"/>
          </w:tcPr>
          <w:p w:rsidR="0084414B" w:rsidRPr="00001F01" w:rsidRDefault="0084414B" w:rsidP="00A46625">
            <w:pPr>
              <w:pStyle w:val="Style30"/>
              <w:widowControl/>
              <w:jc w:val="right"/>
              <w:rPr>
                <w:rFonts w:ascii="Arial Narrow" w:hAnsi="Arial Narrow"/>
                <w:sz w:val="14"/>
                <w:szCs w:val="14"/>
              </w:rPr>
            </w:pPr>
            <w:r w:rsidRPr="00522F37">
              <w:rPr>
                <w:rFonts w:ascii="Arial Narrow" w:hAnsi="Arial Narrow"/>
                <w:sz w:val="14"/>
                <w:szCs w:val="14"/>
              </w:rPr>
              <w:t>725 839 166</w:t>
            </w:r>
          </w:p>
        </w:tc>
        <w:tc>
          <w:tcPr>
            <w:tcW w:w="1057" w:type="dxa"/>
            <w:vAlign w:val="center"/>
          </w:tcPr>
          <w:p w:rsidR="0084414B" w:rsidRPr="00001F01" w:rsidRDefault="0084414B" w:rsidP="00A46625">
            <w:pPr>
              <w:jc w:val="right"/>
              <w:rPr>
                <w:rFonts w:ascii="Arial Narrow" w:hAnsi="Arial Narrow"/>
                <w:color w:val="000000"/>
                <w:sz w:val="14"/>
                <w:szCs w:val="14"/>
              </w:rPr>
            </w:pPr>
            <w:r w:rsidRPr="00522F37">
              <w:rPr>
                <w:rFonts w:ascii="Arial Narrow" w:hAnsi="Arial Narrow"/>
                <w:color w:val="000000"/>
                <w:sz w:val="14"/>
                <w:szCs w:val="14"/>
              </w:rPr>
              <w:t>128 089 265</w:t>
            </w:r>
          </w:p>
        </w:tc>
        <w:tc>
          <w:tcPr>
            <w:tcW w:w="965" w:type="dxa"/>
            <w:vAlign w:val="center"/>
          </w:tcPr>
          <w:p w:rsidR="0084414B" w:rsidRPr="00001F01" w:rsidRDefault="0084414B" w:rsidP="00A46625">
            <w:pPr>
              <w:jc w:val="right"/>
              <w:rPr>
                <w:rFonts w:ascii="Arial Narrow" w:hAnsi="Arial Narrow"/>
                <w:color w:val="000000"/>
                <w:sz w:val="14"/>
                <w:szCs w:val="14"/>
              </w:rPr>
            </w:pPr>
            <w:r>
              <w:rPr>
                <w:rFonts w:ascii="Arial Narrow" w:hAnsi="Arial Narrow"/>
                <w:color w:val="000000"/>
                <w:sz w:val="14"/>
                <w:szCs w:val="14"/>
              </w:rPr>
              <w:t>128 089 265</w:t>
            </w:r>
          </w:p>
        </w:tc>
        <w:tc>
          <w:tcPr>
            <w:tcW w:w="980" w:type="dxa"/>
            <w:vAlign w:val="center"/>
          </w:tcPr>
          <w:p w:rsidR="0084414B" w:rsidRPr="00001F01" w:rsidRDefault="0084414B" w:rsidP="00A46625">
            <w:pPr>
              <w:pStyle w:val="Style30"/>
              <w:widowControl/>
              <w:jc w:val="right"/>
              <w:rPr>
                <w:rFonts w:ascii="Arial Narrow" w:hAnsi="Arial Narrow"/>
                <w:sz w:val="14"/>
                <w:szCs w:val="14"/>
              </w:rPr>
            </w:pPr>
            <w:r>
              <w:rPr>
                <w:rFonts w:ascii="Arial Narrow" w:hAnsi="Arial Narrow"/>
                <w:sz w:val="14"/>
                <w:szCs w:val="14"/>
              </w:rPr>
              <w:t>0</w:t>
            </w:r>
          </w:p>
        </w:tc>
        <w:tc>
          <w:tcPr>
            <w:tcW w:w="1148" w:type="dxa"/>
            <w:vAlign w:val="center"/>
          </w:tcPr>
          <w:p w:rsidR="0084414B" w:rsidRPr="00001F01" w:rsidRDefault="0084414B" w:rsidP="00A46625">
            <w:pPr>
              <w:jc w:val="right"/>
              <w:rPr>
                <w:rFonts w:ascii="Arial Narrow" w:hAnsi="Arial Narrow"/>
                <w:b/>
                <w:bCs/>
                <w:color w:val="000000"/>
                <w:sz w:val="14"/>
                <w:szCs w:val="14"/>
              </w:rPr>
            </w:pPr>
            <w:r w:rsidRPr="00522F37">
              <w:rPr>
                <w:rFonts w:ascii="Arial Narrow" w:hAnsi="Arial Narrow"/>
                <w:b/>
                <w:bCs/>
                <w:color w:val="000000"/>
                <w:sz w:val="14"/>
                <w:szCs w:val="14"/>
              </w:rPr>
              <w:t>853 928 431</w:t>
            </w:r>
          </w:p>
        </w:tc>
        <w:tc>
          <w:tcPr>
            <w:tcW w:w="728" w:type="dxa"/>
            <w:vAlign w:val="center"/>
          </w:tcPr>
          <w:p w:rsidR="0084414B" w:rsidRPr="00001F01" w:rsidRDefault="0084414B" w:rsidP="00A46625">
            <w:pPr>
              <w:pStyle w:val="Style30"/>
              <w:widowControl/>
              <w:jc w:val="center"/>
              <w:rPr>
                <w:rFonts w:ascii="Arial Narrow" w:hAnsi="Arial Narrow"/>
                <w:sz w:val="14"/>
                <w:szCs w:val="14"/>
                <w:lang w:val="en-US"/>
              </w:rPr>
            </w:pPr>
            <w:r w:rsidRPr="00001F01">
              <w:rPr>
                <w:rFonts w:ascii="Arial Narrow" w:hAnsi="Arial Narrow"/>
                <w:sz w:val="14"/>
                <w:szCs w:val="14"/>
              </w:rPr>
              <w:t xml:space="preserve">85,0 </w:t>
            </w:r>
            <w:r w:rsidRPr="00001F01">
              <w:rPr>
                <w:rFonts w:ascii="Arial Narrow" w:hAnsi="Arial Narrow"/>
                <w:sz w:val="14"/>
                <w:szCs w:val="14"/>
                <w:lang w:val="en-US"/>
              </w:rPr>
              <w:t>%</w:t>
            </w:r>
          </w:p>
        </w:tc>
        <w:tc>
          <w:tcPr>
            <w:tcW w:w="784" w:type="dxa"/>
            <w:vAlign w:val="center"/>
          </w:tcPr>
          <w:p w:rsidR="0084414B" w:rsidRPr="00001F01" w:rsidRDefault="0084414B" w:rsidP="00A46625">
            <w:pPr>
              <w:pStyle w:val="Style30"/>
              <w:widowControl/>
              <w:jc w:val="center"/>
              <w:rPr>
                <w:rFonts w:ascii="Arial Narrow" w:hAnsi="Arial Narrow"/>
                <w:sz w:val="14"/>
                <w:szCs w:val="14"/>
              </w:rPr>
            </w:pPr>
          </w:p>
        </w:tc>
        <w:tc>
          <w:tcPr>
            <w:tcW w:w="1080"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513 088 816</w:t>
            </w:r>
          </w:p>
        </w:tc>
        <w:tc>
          <w:tcPr>
            <w:tcW w:w="1023" w:type="dxa"/>
            <w:vAlign w:val="center"/>
          </w:tcPr>
          <w:p w:rsidR="0084414B" w:rsidRPr="00001F01" w:rsidRDefault="0084414B" w:rsidP="00A46625">
            <w:pPr>
              <w:jc w:val="right"/>
              <w:rPr>
                <w:rFonts w:ascii="Arial Narrow" w:hAnsi="Arial Narrow"/>
                <w:color w:val="000000"/>
                <w:sz w:val="14"/>
                <w:szCs w:val="14"/>
              </w:rPr>
            </w:pPr>
            <w:r>
              <w:rPr>
                <w:rFonts w:ascii="Arial Narrow" w:hAnsi="Arial Narrow"/>
                <w:color w:val="000000"/>
                <w:sz w:val="14"/>
                <w:szCs w:val="14"/>
              </w:rPr>
              <w:t>120 403 909</w:t>
            </w:r>
          </w:p>
        </w:tc>
        <w:tc>
          <w:tcPr>
            <w:tcW w:w="992" w:type="dxa"/>
            <w:vAlign w:val="center"/>
          </w:tcPr>
          <w:p w:rsidR="0084414B" w:rsidRPr="00001F01" w:rsidRDefault="0084414B" w:rsidP="00A46625">
            <w:pPr>
              <w:jc w:val="right"/>
              <w:rPr>
                <w:rFonts w:ascii="Arial Narrow" w:hAnsi="Arial Narrow"/>
                <w:color w:val="000000"/>
                <w:sz w:val="14"/>
                <w:szCs w:val="14"/>
              </w:rPr>
            </w:pPr>
            <w:r>
              <w:rPr>
                <w:rFonts w:ascii="Arial Narrow" w:hAnsi="Arial Narrow"/>
                <w:color w:val="000000"/>
                <w:sz w:val="14"/>
                <w:szCs w:val="14"/>
              </w:rPr>
              <w:t>43 550 350</w:t>
            </w:r>
          </w:p>
        </w:tc>
        <w:tc>
          <w:tcPr>
            <w:tcW w:w="952" w:type="dxa"/>
            <w:vAlign w:val="center"/>
          </w:tcPr>
          <w:p w:rsidR="0084414B" w:rsidRPr="00001F01" w:rsidRDefault="0084414B" w:rsidP="00A46625">
            <w:pPr>
              <w:jc w:val="right"/>
              <w:rPr>
                <w:rFonts w:ascii="Arial Narrow" w:hAnsi="Arial Narrow"/>
                <w:color w:val="000000"/>
                <w:sz w:val="14"/>
                <w:szCs w:val="14"/>
              </w:rPr>
            </w:pPr>
            <w:r>
              <w:rPr>
                <w:rFonts w:ascii="Arial Narrow" w:hAnsi="Arial Narrow"/>
                <w:color w:val="000000"/>
                <w:sz w:val="14"/>
                <w:szCs w:val="14"/>
              </w:rPr>
              <w:t>7 685 356</w:t>
            </w:r>
          </w:p>
        </w:tc>
        <w:tc>
          <w:tcPr>
            <w:tcW w:w="993" w:type="dxa"/>
            <w:vAlign w:val="center"/>
          </w:tcPr>
          <w:p w:rsidR="0084414B" w:rsidRPr="00001F01" w:rsidRDefault="0084414B" w:rsidP="00A46625">
            <w:pPr>
              <w:pStyle w:val="Style30"/>
              <w:widowControl/>
              <w:jc w:val="center"/>
              <w:rPr>
                <w:rFonts w:ascii="Arial Narrow" w:hAnsi="Arial Narrow"/>
                <w:sz w:val="14"/>
                <w:szCs w:val="14"/>
                <w:lang w:val="en-US"/>
              </w:rPr>
            </w:pPr>
            <w:r w:rsidRPr="00001F01">
              <w:rPr>
                <w:rFonts w:ascii="Arial Narrow" w:hAnsi="Arial Narrow"/>
                <w:sz w:val="14"/>
                <w:szCs w:val="14"/>
              </w:rPr>
              <w:t xml:space="preserve">6 </w:t>
            </w:r>
            <w:r w:rsidRPr="00001F01">
              <w:rPr>
                <w:rFonts w:ascii="Arial Narrow" w:hAnsi="Arial Narrow"/>
                <w:sz w:val="14"/>
                <w:szCs w:val="14"/>
                <w:lang w:val="en-US"/>
              </w:rPr>
              <w:t>%</w:t>
            </w:r>
          </w:p>
        </w:tc>
      </w:tr>
      <w:tr w:rsidR="0084414B" w:rsidRPr="00001F01" w:rsidTr="00A46625">
        <w:trPr>
          <w:trHeight w:val="339"/>
        </w:trPr>
        <w:tc>
          <w:tcPr>
            <w:tcW w:w="704" w:type="dxa"/>
            <w:vAlign w:val="center"/>
          </w:tcPr>
          <w:p w:rsidR="0084414B" w:rsidRPr="00001F01" w:rsidRDefault="0084414B" w:rsidP="00A46625">
            <w:pPr>
              <w:pStyle w:val="Style52"/>
              <w:widowControl/>
              <w:ind w:left="10" w:hanging="10"/>
              <w:jc w:val="left"/>
              <w:rPr>
                <w:rStyle w:val="FontStyle86"/>
                <w:rFonts w:ascii="Arial Narrow" w:eastAsiaTheme="majorEastAsia" w:hAnsi="Arial Narrow"/>
              </w:rPr>
            </w:pPr>
            <w:r w:rsidRPr="00001F01">
              <w:rPr>
                <w:rStyle w:val="FontStyle86"/>
                <w:rFonts w:ascii="Arial Narrow" w:eastAsiaTheme="majorEastAsia" w:hAnsi="Arial Narrow"/>
              </w:rPr>
              <w:t xml:space="preserve">PO 2 </w:t>
            </w:r>
          </w:p>
        </w:tc>
        <w:tc>
          <w:tcPr>
            <w:tcW w:w="530" w:type="dxa"/>
            <w:vAlign w:val="center"/>
          </w:tcPr>
          <w:p w:rsidR="0084414B" w:rsidRPr="00001F01" w:rsidRDefault="0084414B" w:rsidP="00A46625">
            <w:pPr>
              <w:pStyle w:val="Style24"/>
              <w:widowControl/>
              <w:spacing w:line="240" w:lineRule="auto"/>
              <w:jc w:val="center"/>
              <w:rPr>
                <w:rStyle w:val="FontStyle88"/>
                <w:rFonts w:ascii="Arial Narrow" w:hAnsi="Arial Narrow"/>
                <w:lang w:eastAsia="en-US"/>
              </w:rPr>
            </w:pPr>
            <w:r w:rsidRPr="00001F01">
              <w:rPr>
                <w:rStyle w:val="FontStyle88"/>
                <w:rFonts w:ascii="Arial Narrow" w:hAnsi="Arial Narrow"/>
                <w:lang w:eastAsia="en-US"/>
              </w:rPr>
              <w:t>KF</w:t>
            </w:r>
          </w:p>
        </w:tc>
        <w:tc>
          <w:tcPr>
            <w:tcW w:w="879" w:type="dxa"/>
            <w:vAlign w:val="center"/>
          </w:tcPr>
          <w:p w:rsidR="0084414B" w:rsidRPr="00001F01" w:rsidRDefault="0084414B" w:rsidP="00A46625">
            <w:pPr>
              <w:pStyle w:val="Style30"/>
              <w:widowControl/>
              <w:jc w:val="center"/>
              <w:rPr>
                <w:rFonts w:ascii="Arial Narrow" w:hAnsi="Arial Narrow"/>
                <w:i/>
                <w:sz w:val="14"/>
                <w:szCs w:val="14"/>
              </w:rPr>
            </w:pPr>
            <w:r w:rsidRPr="00001F01">
              <w:rPr>
                <w:rFonts w:ascii="Arial Narrow" w:hAnsi="Arial Narrow"/>
                <w:i/>
                <w:sz w:val="14"/>
                <w:szCs w:val="14"/>
              </w:rPr>
              <w:t>N/A</w:t>
            </w:r>
          </w:p>
        </w:tc>
        <w:tc>
          <w:tcPr>
            <w:tcW w:w="1194" w:type="dxa"/>
            <w:vAlign w:val="center"/>
          </w:tcPr>
          <w:p w:rsidR="0084414B" w:rsidRPr="00001F01" w:rsidRDefault="0084414B" w:rsidP="00197539">
            <w:pPr>
              <w:jc w:val="center"/>
              <w:rPr>
                <w:rFonts w:ascii="Arial Narrow" w:hAnsi="Arial Narrow"/>
                <w:bCs/>
                <w:color w:val="000000"/>
                <w:sz w:val="14"/>
                <w:szCs w:val="14"/>
              </w:rPr>
            </w:pPr>
            <w:r>
              <w:rPr>
                <w:rFonts w:ascii="Arial Narrow" w:hAnsi="Arial Narrow"/>
                <w:bCs/>
                <w:color w:val="000000"/>
                <w:sz w:val="14"/>
                <w:szCs w:val="14"/>
              </w:rPr>
              <w:t>Celkové oprávnené výdavky</w:t>
            </w:r>
          </w:p>
        </w:tc>
        <w:tc>
          <w:tcPr>
            <w:tcW w:w="1068" w:type="dxa"/>
            <w:vAlign w:val="center"/>
          </w:tcPr>
          <w:p w:rsidR="0084414B" w:rsidRPr="00001F01" w:rsidRDefault="0084414B" w:rsidP="00A46625">
            <w:pPr>
              <w:pStyle w:val="Style30"/>
              <w:widowControl/>
              <w:jc w:val="right"/>
              <w:rPr>
                <w:rFonts w:ascii="Arial Narrow" w:hAnsi="Arial Narrow"/>
                <w:sz w:val="14"/>
                <w:szCs w:val="14"/>
              </w:rPr>
            </w:pPr>
            <w:r w:rsidRPr="00001F01">
              <w:rPr>
                <w:rFonts w:ascii="Arial Narrow" w:hAnsi="Arial Narrow"/>
                <w:sz w:val="14"/>
                <w:szCs w:val="14"/>
              </w:rPr>
              <w:t>1 142 500 000</w:t>
            </w:r>
          </w:p>
        </w:tc>
        <w:tc>
          <w:tcPr>
            <w:tcW w:w="1057"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201 617 64</w:t>
            </w:r>
            <w:r>
              <w:rPr>
                <w:rFonts w:ascii="Arial Narrow" w:hAnsi="Arial Narrow"/>
                <w:color w:val="000000"/>
                <w:sz w:val="14"/>
                <w:szCs w:val="14"/>
              </w:rPr>
              <w:t>8</w:t>
            </w:r>
          </w:p>
        </w:tc>
        <w:tc>
          <w:tcPr>
            <w:tcW w:w="965"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201 617 64</w:t>
            </w:r>
            <w:r>
              <w:rPr>
                <w:rFonts w:ascii="Arial Narrow" w:hAnsi="Arial Narrow"/>
                <w:color w:val="000000"/>
                <w:sz w:val="14"/>
                <w:szCs w:val="14"/>
              </w:rPr>
              <w:t>8</w:t>
            </w:r>
          </w:p>
        </w:tc>
        <w:tc>
          <w:tcPr>
            <w:tcW w:w="980" w:type="dxa"/>
            <w:vAlign w:val="center"/>
          </w:tcPr>
          <w:p w:rsidR="0084414B" w:rsidRPr="00001F01" w:rsidRDefault="0084414B" w:rsidP="00A46625">
            <w:pPr>
              <w:pStyle w:val="Style30"/>
              <w:widowControl/>
              <w:jc w:val="right"/>
              <w:rPr>
                <w:rFonts w:ascii="Arial Narrow" w:hAnsi="Arial Narrow"/>
                <w:sz w:val="14"/>
                <w:szCs w:val="14"/>
              </w:rPr>
            </w:pPr>
            <w:r>
              <w:rPr>
                <w:rFonts w:ascii="Arial Narrow" w:hAnsi="Arial Narrow"/>
                <w:sz w:val="14"/>
                <w:szCs w:val="14"/>
              </w:rPr>
              <w:t>0</w:t>
            </w:r>
          </w:p>
        </w:tc>
        <w:tc>
          <w:tcPr>
            <w:tcW w:w="1148" w:type="dxa"/>
            <w:vAlign w:val="center"/>
          </w:tcPr>
          <w:p w:rsidR="0084414B" w:rsidRPr="00EF14C2" w:rsidRDefault="0084414B" w:rsidP="00A46625">
            <w:pPr>
              <w:jc w:val="right"/>
              <w:rPr>
                <w:rFonts w:ascii="Arial Narrow" w:hAnsi="Arial Narrow"/>
                <w:b/>
                <w:bCs/>
                <w:color w:val="000000"/>
                <w:sz w:val="14"/>
                <w:szCs w:val="14"/>
              </w:rPr>
            </w:pPr>
            <w:r w:rsidRPr="00EF14C2">
              <w:rPr>
                <w:rFonts w:ascii="Arial Narrow" w:hAnsi="Arial Narrow"/>
                <w:b/>
                <w:bCs/>
                <w:color w:val="000000"/>
                <w:sz w:val="14"/>
                <w:szCs w:val="14"/>
              </w:rPr>
              <w:t>1 344 117 648</w:t>
            </w:r>
          </w:p>
        </w:tc>
        <w:tc>
          <w:tcPr>
            <w:tcW w:w="728"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 xml:space="preserve">85,0 </w:t>
            </w:r>
            <w:r w:rsidRPr="00001F01">
              <w:rPr>
                <w:rFonts w:ascii="Arial Narrow" w:hAnsi="Arial Narrow"/>
                <w:sz w:val="14"/>
                <w:szCs w:val="14"/>
                <w:lang w:val="en-US"/>
              </w:rPr>
              <w:t>%</w:t>
            </w:r>
          </w:p>
        </w:tc>
        <w:tc>
          <w:tcPr>
            <w:tcW w:w="784" w:type="dxa"/>
            <w:vAlign w:val="center"/>
          </w:tcPr>
          <w:p w:rsidR="0084414B" w:rsidRPr="00001F01" w:rsidRDefault="0084414B" w:rsidP="00A46625">
            <w:pPr>
              <w:pStyle w:val="Style30"/>
              <w:widowControl/>
              <w:jc w:val="center"/>
              <w:rPr>
                <w:rFonts w:ascii="Arial Narrow" w:hAnsi="Arial Narrow"/>
                <w:sz w:val="14"/>
                <w:szCs w:val="14"/>
              </w:rPr>
            </w:pPr>
          </w:p>
        </w:tc>
        <w:tc>
          <w:tcPr>
            <w:tcW w:w="1080"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1 073 950 000</w:t>
            </w:r>
          </w:p>
        </w:tc>
        <w:tc>
          <w:tcPr>
            <w:tcW w:w="1023"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189 520 58</w:t>
            </w:r>
            <w:r>
              <w:rPr>
                <w:rFonts w:ascii="Arial Narrow" w:hAnsi="Arial Narrow"/>
                <w:color w:val="000000"/>
                <w:sz w:val="14"/>
                <w:szCs w:val="14"/>
              </w:rPr>
              <w:t>9</w:t>
            </w:r>
          </w:p>
        </w:tc>
        <w:tc>
          <w:tcPr>
            <w:tcW w:w="992"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68 550 000</w:t>
            </w:r>
          </w:p>
        </w:tc>
        <w:tc>
          <w:tcPr>
            <w:tcW w:w="952"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12 097 059</w:t>
            </w:r>
          </w:p>
        </w:tc>
        <w:tc>
          <w:tcPr>
            <w:tcW w:w="993"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 xml:space="preserve">6 </w:t>
            </w:r>
            <w:r w:rsidRPr="00001F01">
              <w:rPr>
                <w:rFonts w:ascii="Arial Narrow" w:hAnsi="Arial Narrow"/>
                <w:sz w:val="14"/>
                <w:szCs w:val="14"/>
                <w:lang w:val="en-US"/>
              </w:rPr>
              <w:t>%</w:t>
            </w:r>
          </w:p>
        </w:tc>
      </w:tr>
      <w:tr w:rsidR="0084414B" w:rsidRPr="00001F01" w:rsidTr="00A46625">
        <w:trPr>
          <w:trHeight w:val="339"/>
        </w:trPr>
        <w:tc>
          <w:tcPr>
            <w:tcW w:w="704" w:type="dxa"/>
            <w:vAlign w:val="center"/>
          </w:tcPr>
          <w:p w:rsidR="0084414B" w:rsidRPr="00001F01" w:rsidRDefault="0084414B" w:rsidP="00A46625">
            <w:pPr>
              <w:pStyle w:val="Style52"/>
              <w:widowControl/>
              <w:ind w:left="14" w:hanging="14"/>
              <w:jc w:val="left"/>
              <w:rPr>
                <w:rStyle w:val="FontStyle86"/>
                <w:rFonts w:ascii="Arial Narrow" w:eastAsiaTheme="majorEastAsia" w:hAnsi="Arial Narrow"/>
                <w:i w:val="0"/>
              </w:rPr>
            </w:pPr>
            <w:r w:rsidRPr="00001F01">
              <w:rPr>
                <w:rStyle w:val="FontStyle86"/>
                <w:rFonts w:ascii="Arial Narrow" w:eastAsiaTheme="majorEastAsia" w:hAnsi="Arial Narrow"/>
              </w:rPr>
              <w:t>PO 3</w:t>
            </w:r>
          </w:p>
        </w:tc>
        <w:tc>
          <w:tcPr>
            <w:tcW w:w="530" w:type="dxa"/>
            <w:vAlign w:val="center"/>
          </w:tcPr>
          <w:p w:rsidR="0084414B" w:rsidRPr="00001F01" w:rsidRDefault="0084414B" w:rsidP="00A46625">
            <w:pPr>
              <w:pStyle w:val="Style68"/>
              <w:widowControl/>
              <w:jc w:val="center"/>
              <w:rPr>
                <w:rStyle w:val="FontStyle88"/>
                <w:rFonts w:ascii="Arial Narrow" w:hAnsi="Arial Narrow"/>
                <w:lang w:eastAsia="en-US"/>
              </w:rPr>
            </w:pPr>
            <w:r w:rsidRPr="00001F01">
              <w:rPr>
                <w:rStyle w:val="FontStyle88"/>
                <w:rFonts w:ascii="Arial Narrow" w:hAnsi="Arial Narrow"/>
                <w:lang w:eastAsia="en-US"/>
              </w:rPr>
              <w:t>KF</w:t>
            </w:r>
          </w:p>
        </w:tc>
        <w:tc>
          <w:tcPr>
            <w:tcW w:w="879"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i/>
                <w:sz w:val="14"/>
                <w:szCs w:val="14"/>
              </w:rPr>
              <w:t>N/A</w:t>
            </w:r>
          </w:p>
        </w:tc>
        <w:tc>
          <w:tcPr>
            <w:tcW w:w="1194" w:type="dxa"/>
            <w:vAlign w:val="center"/>
          </w:tcPr>
          <w:p w:rsidR="0084414B" w:rsidRPr="00001F01" w:rsidRDefault="0084414B" w:rsidP="00197539">
            <w:pPr>
              <w:jc w:val="center"/>
              <w:rPr>
                <w:rFonts w:ascii="Arial Narrow" w:hAnsi="Arial Narrow"/>
                <w:bCs/>
                <w:color w:val="000000"/>
                <w:sz w:val="14"/>
                <w:szCs w:val="14"/>
              </w:rPr>
            </w:pPr>
            <w:r>
              <w:rPr>
                <w:rFonts w:ascii="Arial Narrow" w:hAnsi="Arial Narrow"/>
                <w:bCs/>
                <w:color w:val="000000"/>
                <w:sz w:val="14"/>
                <w:szCs w:val="14"/>
              </w:rPr>
              <w:t>Celkové oprávnené výdavky</w:t>
            </w:r>
          </w:p>
        </w:tc>
        <w:tc>
          <w:tcPr>
            <w:tcW w:w="1068" w:type="dxa"/>
            <w:vAlign w:val="center"/>
          </w:tcPr>
          <w:p w:rsidR="0084414B" w:rsidRPr="00001F01" w:rsidRDefault="0084414B" w:rsidP="00A46625">
            <w:pPr>
              <w:pStyle w:val="Style30"/>
              <w:widowControl/>
              <w:jc w:val="right"/>
              <w:rPr>
                <w:rFonts w:ascii="Arial Narrow" w:hAnsi="Arial Narrow"/>
                <w:sz w:val="14"/>
                <w:szCs w:val="14"/>
              </w:rPr>
            </w:pPr>
            <w:r w:rsidRPr="00522F37">
              <w:rPr>
                <w:rFonts w:ascii="Arial Narrow" w:hAnsi="Arial Narrow"/>
                <w:bCs/>
                <w:color w:val="000000"/>
                <w:sz w:val="14"/>
                <w:szCs w:val="14"/>
              </w:rPr>
              <w:t>322 350 000</w:t>
            </w:r>
          </w:p>
        </w:tc>
        <w:tc>
          <w:tcPr>
            <w:tcW w:w="1057" w:type="dxa"/>
            <w:vAlign w:val="center"/>
          </w:tcPr>
          <w:p w:rsidR="0084414B" w:rsidRPr="00001F01" w:rsidRDefault="0084414B" w:rsidP="00A46625">
            <w:pPr>
              <w:jc w:val="right"/>
              <w:rPr>
                <w:rFonts w:ascii="Arial Narrow" w:hAnsi="Arial Narrow"/>
                <w:color w:val="000000"/>
                <w:sz w:val="14"/>
                <w:szCs w:val="14"/>
              </w:rPr>
            </w:pPr>
            <w:r w:rsidRPr="00522F37">
              <w:rPr>
                <w:rFonts w:ascii="Arial Narrow" w:hAnsi="Arial Narrow"/>
                <w:color w:val="000000"/>
                <w:sz w:val="14"/>
                <w:szCs w:val="14"/>
              </w:rPr>
              <w:t>56 885 29</w:t>
            </w:r>
            <w:r>
              <w:rPr>
                <w:rFonts w:ascii="Arial Narrow" w:hAnsi="Arial Narrow"/>
                <w:color w:val="000000"/>
                <w:sz w:val="14"/>
                <w:szCs w:val="14"/>
              </w:rPr>
              <w:t>5</w:t>
            </w:r>
          </w:p>
        </w:tc>
        <w:tc>
          <w:tcPr>
            <w:tcW w:w="965" w:type="dxa"/>
            <w:vAlign w:val="center"/>
          </w:tcPr>
          <w:p w:rsidR="0084414B" w:rsidRPr="004030E4" w:rsidRDefault="0084414B" w:rsidP="00A46625">
            <w:pPr>
              <w:jc w:val="right"/>
              <w:rPr>
                <w:rFonts w:ascii="Arial Narrow" w:hAnsi="Arial Narrow"/>
                <w:color w:val="000000"/>
                <w:sz w:val="14"/>
                <w:szCs w:val="14"/>
              </w:rPr>
            </w:pPr>
            <w:r>
              <w:rPr>
                <w:rFonts w:ascii="Arial Narrow" w:hAnsi="Arial Narrow"/>
                <w:color w:val="000000"/>
                <w:sz w:val="14"/>
                <w:szCs w:val="14"/>
              </w:rPr>
              <w:t>33 805 883</w:t>
            </w:r>
          </w:p>
        </w:tc>
        <w:tc>
          <w:tcPr>
            <w:tcW w:w="980" w:type="dxa"/>
            <w:vAlign w:val="center"/>
          </w:tcPr>
          <w:p w:rsidR="0084414B" w:rsidRPr="004030E4" w:rsidRDefault="0084414B" w:rsidP="00A46625">
            <w:pPr>
              <w:jc w:val="right"/>
              <w:rPr>
                <w:rFonts w:ascii="Arial Narrow" w:hAnsi="Arial Narrow"/>
                <w:color w:val="000000"/>
                <w:sz w:val="14"/>
                <w:szCs w:val="14"/>
              </w:rPr>
            </w:pPr>
            <w:r w:rsidRPr="004030E4">
              <w:rPr>
                <w:rFonts w:ascii="Arial Narrow" w:hAnsi="Arial Narrow"/>
                <w:color w:val="000000"/>
                <w:sz w:val="14"/>
                <w:szCs w:val="14"/>
              </w:rPr>
              <w:t>23 079 412</w:t>
            </w:r>
          </w:p>
        </w:tc>
        <w:tc>
          <w:tcPr>
            <w:tcW w:w="1148" w:type="dxa"/>
            <w:vAlign w:val="center"/>
          </w:tcPr>
          <w:p w:rsidR="0084414B" w:rsidRPr="00EF14C2" w:rsidRDefault="0084414B" w:rsidP="00A46625">
            <w:pPr>
              <w:jc w:val="right"/>
              <w:rPr>
                <w:rFonts w:ascii="Arial Narrow" w:hAnsi="Arial Narrow"/>
                <w:b/>
                <w:bCs/>
                <w:color w:val="000000"/>
                <w:sz w:val="14"/>
                <w:szCs w:val="14"/>
              </w:rPr>
            </w:pPr>
            <w:r w:rsidRPr="00522F37">
              <w:rPr>
                <w:rFonts w:ascii="Arial Narrow" w:hAnsi="Arial Narrow"/>
                <w:b/>
                <w:bCs/>
                <w:color w:val="000000"/>
                <w:sz w:val="14"/>
                <w:szCs w:val="14"/>
              </w:rPr>
              <w:t>379 235 29</w:t>
            </w:r>
            <w:r>
              <w:rPr>
                <w:rFonts w:ascii="Arial Narrow" w:hAnsi="Arial Narrow"/>
                <w:b/>
                <w:bCs/>
                <w:color w:val="000000"/>
                <w:sz w:val="14"/>
                <w:szCs w:val="14"/>
              </w:rPr>
              <w:t>5</w:t>
            </w:r>
          </w:p>
        </w:tc>
        <w:tc>
          <w:tcPr>
            <w:tcW w:w="728"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 xml:space="preserve">85,0 </w:t>
            </w:r>
            <w:r w:rsidRPr="00001F01">
              <w:rPr>
                <w:rFonts w:ascii="Arial Narrow" w:hAnsi="Arial Narrow"/>
                <w:sz w:val="14"/>
                <w:szCs w:val="14"/>
                <w:lang w:val="en-US"/>
              </w:rPr>
              <w:t>%</w:t>
            </w:r>
          </w:p>
        </w:tc>
        <w:tc>
          <w:tcPr>
            <w:tcW w:w="784" w:type="dxa"/>
            <w:vAlign w:val="center"/>
          </w:tcPr>
          <w:p w:rsidR="0084414B" w:rsidRPr="00001F01" w:rsidRDefault="0084414B" w:rsidP="00A46625">
            <w:pPr>
              <w:pStyle w:val="Style30"/>
              <w:widowControl/>
              <w:jc w:val="center"/>
              <w:rPr>
                <w:rFonts w:ascii="Arial Narrow" w:hAnsi="Arial Narrow"/>
                <w:sz w:val="14"/>
                <w:szCs w:val="14"/>
              </w:rPr>
            </w:pPr>
          </w:p>
        </w:tc>
        <w:tc>
          <w:tcPr>
            <w:tcW w:w="1080" w:type="dxa"/>
            <w:vAlign w:val="center"/>
          </w:tcPr>
          <w:p w:rsidR="0084414B" w:rsidRPr="00001F01" w:rsidRDefault="0084414B" w:rsidP="00A46625">
            <w:pPr>
              <w:jc w:val="right"/>
              <w:rPr>
                <w:rFonts w:ascii="Arial Narrow" w:hAnsi="Arial Narrow"/>
                <w:color w:val="000000"/>
                <w:sz w:val="14"/>
                <w:szCs w:val="14"/>
              </w:rPr>
            </w:pPr>
            <w:r>
              <w:rPr>
                <w:rFonts w:ascii="Arial Narrow" w:hAnsi="Arial Narrow"/>
                <w:color w:val="000000"/>
                <w:sz w:val="14"/>
                <w:szCs w:val="14"/>
              </w:rPr>
              <w:t>303 009 000</w:t>
            </w:r>
          </w:p>
        </w:tc>
        <w:tc>
          <w:tcPr>
            <w:tcW w:w="1023" w:type="dxa"/>
            <w:vAlign w:val="center"/>
          </w:tcPr>
          <w:p w:rsidR="0084414B" w:rsidRPr="00001F01" w:rsidRDefault="0084414B" w:rsidP="00A46625">
            <w:pPr>
              <w:jc w:val="right"/>
              <w:rPr>
                <w:rFonts w:ascii="Arial Narrow" w:hAnsi="Arial Narrow"/>
                <w:color w:val="000000"/>
                <w:sz w:val="14"/>
                <w:szCs w:val="14"/>
              </w:rPr>
            </w:pPr>
            <w:r>
              <w:rPr>
                <w:rFonts w:ascii="Arial Narrow" w:hAnsi="Arial Narrow"/>
                <w:color w:val="000000"/>
                <w:sz w:val="14"/>
                <w:szCs w:val="14"/>
              </w:rPr>
              <w:t>53 472 177</w:t>
            </w:r>
          </w:p>
        </w:tc>
        <w:tc>
          <w:tcPr>
            <w:tcW w:w="992" w:type="dxa"/>
            <w:vAlign w:val="center"/>
          </w:tcPr>
          <w:p w:rsidR="0084414B" w:rsidRPr="00001F01" w:rsidRDefault="0084414B" w:rsidP="00A46625">
            <w:pPr>
              <w:jc w:val="right"/>
              <w:rPr>
                <w:rFonts w:ascii="Arial Narrow" w:hAnsi="Arial Narrow"/>
                <w:color w:val="000000"/>
                <w:sz w:val="14"/>
                <w:szCs w:val="14"/>
              </w:rPr>
            </w:pPr>
            <w:r>
              <w:rPr>
                <w:rFonts w:ascii="Arial Narrow" w:hAnsi="Arial Narrow"/>
                <w:color w:val="000000"/>
                <w:sz w:val="14"/>
                <w:szCs w:val="14"/>
              </w:rPr>
              <w:t>19 341 000</w:t>
            </w:r>
          </w:p>
        </w:tc>
        <w:tc>
          <w:tcPr>
            <w:tcW w:w="952" w:type="dxa"/>
            <w:vAlign w:val="center"/>
          </w:tcPr>
          <w:p w:rsidR="0084414B" w:rsidRPr="00001F01" w:rsidRDefault="0084414B" w:rsidP="00A46625">
            <w:pPr>
              <w:jc w:val="right"/>
              <w:rPr>
                <w:rFonts w:ascii="Arial Narrow" w:hAnsi="Arial Narrow"/>
                <w:color w:val="000000"/>
                <w:sz w:val="14"/>
                <w:szCs w:val="14"/>
              </w:rPr>
            </w:pPr>
            <w:r>
              <w:rPr>
                <w:rFonts w:ascii="Arial Narrow" w:hAnsi="Arial Narrow"/>
                <w:color w:val="000000"/>
                <w:sz w:val="14"/>
                <w:szCs w:val="14"/>
              </w:rPr>
              <w:t>3 416 118</w:t>
            </w:r>
          </w:p>
        </w:tc>
        <w:tc>
          <w:tcPr>
            <w:tcW w:w="993"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 xml:space="preserve">6 </w:t>
            </w:r>
            <w:r w:rsidRPr="00001F01">
              <w:rPr>
                <w:rFonts w:ascii="Arial Narrow" w:hAnsi="Arial Narrow"/>
                <w:sz w:val="14"/>
                <w:szCs w:val="14"/>
                <w:lang w:val="en-US"/>
              </w:rPr>
              <w:t>%</w:t>
            </w:r>
          </w:p>
        </w:tc>
      </w:tr>
      <w:tr w:rsidR="0084414B" w:rsidRPr="00001F01" w:rsidTr="00A46625">
        <w:trPr>
          <w:trHeight w:val="339"/>
        </w:trPr>
        <w:tc>
          <w:tcPr>
            <w:tcW w:w="704" w:type="dxa"/>
            <w:vAlign w:val="center"/>
          </w:tcPr>
          <w:p w:rsidR="0084414B" w:rsidRPr="00001F01" w:rsidRDefault="0084414B" w:rsidP="00A46625">
            <w:pPr>
              <w:pStyle w:val="Style52"/>
              <w:widowControl/>
              <w:ind w:left="14" w:hanging="14"/>
              <w:jc w:val="left"/>
              <w:rPr>
                <w:rStyle w:val="FontStyle86"/>
                <w:rFonts w:ascii="Arial Narrow" w:eastAsiaTheme="majorEastAsia" w:hAnsi="Arial Narrow"/>
              </w:rPr>
            </w:pPr>
            <w:r w:rsidRPr="00001F01">
              <w:rPr>
                <w:rStyle w:val="FontStyle86"/>
                <w:rFonts w:ascii="Arial Narrow" w:eastAsiaTheme="majorEastAsia" w:hAnsi="Arial Narrow"/>
              </w:rPr>
              <w:t>PO 4</w:t>
            </w:r>
          </w:p>
        </w:tc>
        <w:tc>
          <w:tcPr>
            <w:tcW w:w="530" w:type="dxa"/>
            <w:vAlign w:val="center"/>
          </w:tcPr>
          <w:p w:rsidR="0084414B" w:rsidRPr="00001F01" w:rsidRDefault="0084414B" w:rsidP="00A46625">
            <w:pPr>
              <w:pStyle w:val="Style68"/>
              <w:widowControl/>
              <w:jc w:val="center"/>
              <w:rPr>
                <w:rStyle w:val="FontStyle88"/>
                <w:rFonts w:ascii="Arial Narrow" w:hAnsi="Arial Narrow"/>
                <w:lang w:eastAsia="en-US"/>
              </w:rPr>
            </w:pPr>
            <w:r w:rsidRPr="00001F01">
              <w:rPr>
                <w:rStyle w:val="FontStyle88"/>
                <w:rFonts w:ascii="Arial Narrow" w:hAnsi="Arial Narrow"/>
                <w:lang w:eastAsia="en-US"/>
              </w:rPr>
              <w:t>KF</w:t>
            </w:r>
          </w:p>
        </w:tc>
        <w:tc>
          <w:tcPr>
            <w:tcW w:w="879" w:type="dxa"/>
            <w:vAlign w:val="center"/>
          </w:tcPr>
          <w:p w:rsidR="0084414B" w:rsidRPr="00001F01" w:rsidRDefault="0084414B" w:rsidP="00A46625">
            <w:pPr>
              <w:pStyle w:val="Style30"/>
              <w:widowControl/>
              <w:jc w:val="center"/>
              <w:rPr>
                <w:rFonts w:ascii="Arial Narrow" w:hAnsi="Arial Narrow"/>
                <w:i/>
                <w:sz w:val="14"/>
                <w:szCs w:val="14"/>
              </w:rPr>
            </w:pPr>
            <w:r w:rsidRPr="00001F01">
              <w:rPr>
                <w:rFonts w:ascii="Arial Narrow" w:hAnsi="Arial Narrow"/>
                <w:i/>
                <w:sz w:val="14"/>
                <w:szCs w:val="14"/>
              </w:rPr>
              <w:t>N/A</w:t>
            </w:r>
          </w:p>
        </w:tc>
        <w:tc>
          <w:tcPr>
            <w:tcW w:w="1194" w:type="dxa"/>
            <w:vAlign w:val="center"/>
          </w:tcPr>
          <w:p w:rsidR="0084414B" w:rsidRPr="00001F01" w:rsidRDefault="0084414B" w:rsidP="00197539">
            <w:pPr>
              <w:jc w:val="center"/>
              <w:rPr>
                <w:rFonts w:ascii="Arial Narrow" w:hAnsi="Arial Narrow"/>
                <w:bCs/>
                <w:color w:val="000000"/>
                <w:sz w:val="14"/>
                <w:szCs w:val="14"/>
                <w:lang w:val="en-US"/>
              </w:rPr>
            </w:pPr>
            <w:r>
              <w:rPr>
                <w:rFonts w:ascii="Arial Narrow" w:hAnsi="Arial Narrow"/>
                <w:bCs/>
                <w:color w:val="000000"/>
                <w:sz w:val="14"/>
                <w:szCs w:val="14"/>
              </w:rPr>
              <w:t>Celkové oprávnené výdavky</w:t>
            </w:r>
          </w:p>
        </w:tc>
        <w:tc>
          <w:tcPr>
            <w:tcW w:w="1068" w:type="dxa"/>
            <w:vAlign w:val="center"/>
          </w:tcPr>
          <w:p w:rsidR="0084414B" w:rsidRPr="00001F01" w:rsidRDefault="0084414B" w:rsidP="00A46625">
            <w:pPr>
              <w:pStyle w:val="Style30"/>
              <w:widowControl/>
              <w:jc w:val="right"/>
              <w:rPr>
                <w:rFonts w:ascii="Arial Narrow" w:hAnsi="Arial Narrow"/>
                <w:sz w:val="14"/>
                <w:szCs w:val="14"/>
              </w:rPr>
            </w:pPr>
            <w:r w:rsidRPr="00001F01">
              <w:rPr>
                <w:rFonts w:ascii="Arial Narrow" w:hAnsi="Arial Narrow"/>
                <w:sz w:val="14"/>
                <w:szCs w:val="14"/>
              </w:rPr>
              <w:t>116 450 000</w:t>
            </w:r>
          </w:p>
        </w:tc>
        <w:tc>
          <w:tcPr>
            <w:tcW w:w="1057"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20 550 000</w:t>
            </w:r>
          </w:p>
        </w:tc>
        <w:tc>
          <w:tcPr>
            <w:tcW w:w="965" w:type="dxa"/>
            <w:vAlign w:val="center"/>
          </w:tcPr>
          <w:p w:rsidR="0084414B" w:rsidRPr="004030E4" w:rsidRDefault="0084414B" w:rsidP="00A46625">
            <w:pPr>
              <w:jc w:val="right"/>
              <w:rPr>
                <w:rFonts w:ascii="Arial Narrow" w:hAnsi="Arial Narrow"/>
                <w:color w:val="000000"/>
                <w:sz w:val="14"/>
                <w:szCs w:val="14"/>
              </w:rPr>
            </w:pPr>
            <w:r w:rsidRPr="004030E4">
              <w:rPr>
                <w:rFonts w:ascii="Arial Narrow" w:hAnsi="Arial Narrow"/>
                <w:color w:val="000000"/>
                <w:sz w:val="14"/>
                <w:szCs w:val="14"/>
              </w:rPr>
              <w:t>11 555 88</w:t>
            </w:r>
            <w:r>
              <w:rPr>
                <w:rFonts w:ascii="Arial Narrow" w:hAnsi="Arial Narrow"/>
                <w:color w:val="000000"/>
                <w:sz w:val="14"/>
                <w:szCs w:val="14"/>
              </w:rPr>
              <w:t>3</w:t>
            </w:r>
          </w:p>
        </w:tc>
        <w:tc>
          <w:tcPr>
            <w:tcW w:w="980" w:type="dxa"/>
            <w:vAlign w:val="center"/>
          </w:tcPr>
          <w:p w:rsidR="0084414B" w:rsidRPr="004030E4" w:rsidRDefault="0084414B" w:rsidP="00A46625">
            <w:pPr>
              <w:jc w:val="right"/>
              <w:rPr>
                <w:rFonts w:ascii="Arial Narrow" w:hAnsi="Arial Narrow"/>
                <w:color w:val="000000"/>
                <w:sz w:val="14"/>
                <w:szCs w:val="14"/>
              </w:rPr>
            </w:pPr>
            <w:r w:rsidRPr="004030E4">
              <w:rPr>
                <w:rFonts w:ascii="Arial Narrow" w:hAnsi="Arial Narrow"/>
                <w:color w:val="000000"/>
                <w:sz w:val="14"/>
                <w:szCs w:val="14"/>
              </w:rPr>
              <w:t>8 994 11</w:t>
            </w:r>
            <w:r>
              <w:rPr>
                <w:rFonts w:ascii="Arial Narrow" w:hAnsi="Arial Narrow"/>
                <w:color w:val="000000"/>
                <w:sz w:val="14"/>
                <w:szCs w:val="14"/>
              </w:rPr>
              <w:t>7</w:t>
            </w:r>
          </w:p>
        </w:tc>
        <w:tc>
          <w:tcPr>
            <w:tcW w:w="1148" w:type="dxa"/>
            <w:vAlign w:val="center"/>
          </w:tcPr>
          <w:p w:rsidR="0084414B" w:rsidRPr="00EF14C2" w:rsidRDefault="0084414B" w:rsidP="00A46625">
            <w:pPr>
              <w:jc w:val="right"/>
              <w:rPr>
                <w:rFonts w:ascii="Arial Narrow" w:hAnsi="Arial Narrow"/>
                <w:b/>
                <w:bCs/>
                <w:color w:val="000000"/>
                <w:sz w:val="14"/>
                <w:szCs w:val="14"/>
              </w:rPr>
            </w:pPr>
            <w:r w:rsidRPr="00EF14C2">
              <w:rPr>
                <w:rFonts w:ascii="Arial Narrow" w:hAnsi="Arial Narrow"/>
                <w:b/>
                <w:bCs/>
                <w:color w:val="000000"/>
                <w:sz w:val="14"/>
                <w:szCs w:val="14"/>
              </w:rPr>
              <w:t>137 000 000</w:t>
            </w:r>
          </w:p>
        </w:tc>
        <w:tc>
          <w:tcPr>
            <w:tcW w:w="728"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 xml:space="preserve">85,0 </w:t>
            </w:r>
            <w:r w:rsidRPr="00001F01">
              <w:rPr>
                <w:rFonts w:ascii="Arial Narrow" w:hAnsi="Arial Narrow"/>
                <w:sz w:val="14"/>
                <w:szCs w:val="14"/>
                <w:lang w:val="en-US"/>
              </w:rPr>
              <w:t>%</w:t>
            </w:r>
          </w:p>
        </w:tc>
        <w:tc>
          <w:tcPr>
            <w:tcW w:w="784" w:type="dxa"/>
            <w:vAlign w:val="center"/>
          </w:tcPr>
          <w:p w:rsidR="0084414B" w:rsidRPr="00001F01" w:rsidRDefault="0084414B" w:rsidP="00A46625">
            <w:pPr>
              <w:pStyle w:val="Style30"/>
              <w:widowControl/>
              <w:jc w:val="center"/>
              <w:rPr>
                <w:rFonts w:ascii="Arial Narrow" w:hAnsi="Arial Narrow"/>
                <w:sz w:val="14"/>
                <w:szCs w:val="14"/>
              </w:rPr>
            </w:pPr>
          </w:p>
        </w:tc>
        <w:tc>
          <w:tcPr>
            <w:tcW w:w="1080"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109 463 000</w:t>
            </w:r>
          </w:p>
        </w:tc>
        <w:tc>
          <w:tcPr>
            <w:tcW w:w="1023"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19 317 000</w:t>
            </w:r>
          </w:p>
        </w:tc>
        <w:tc>
          <w:tcPr>
            <w:tcW w:w="992"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6 987 000</w:t>
            </w:r>
          </w:p>
        </w:tc>
        <w:tc>
          <w:tcPr>
            <w:tcW w:w="952"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1 233 000</w:t>
            </w:r>
          </w:p>
        </w:tc>
        <w:tc>
          <w:tcPr>
            <w:tcW w:w="993"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 xml:space="preserve">6 </w:t>
            </w:r>
            <w:r w:rsidRPr="00001F01">
              <w:rPr>
                <w:rFonts w:ascii="Arial Narrow" w:hAnsi="Arial Narrow"/>
                <w:sz w:val="14"/>
                <w:szCs w:val="14"/>
                <w:lang w:val="en-US"/>
              </w:rPr>
              <w:t>%</w:t>
            </w:r>
          </w:p>
        </w:tc>
      </w:tr>
      <w:tr w:rsidR="0084414B" w:rsidRPr="00001F01" w:rsidTr="00A46625">
        <w:trPr>
          <w:trHeight w:val="339"/>
        </w:trPr>
        <w:tc>
          <w:tcPr>
            <w:tcW w:w="704" w:type="dxa"/>
            <w:vAlign w:val="center"/>
          </w:tcPr>
          <w:p w:rsidR="0084414B" w:rsidRPr="00001F01" w:rsidRDefault="0084414B" w:rsidP="00A46625">
            <w:pPr>
              <w:rPr>
                <w:rFonts w:ascii="Arial Narrow" w:hAnsi="Arial Narrow"/>
                <w:sz w:val="14"/>
                <w:szCs w:val="14"/>
              </w:rPr>
            </w:pPr>
            <w:r w:rsidRPr="00001F01">
              <w:rPr>
                <w:rStyle w:val="FontStyle86"/>
                <w:rFonts w:ascii="Arial Narrow" w:eastAsiaTheme="majorEastAsia" w:hAnsi="Arial Narrow"/>
              </w:rPr>
              <w:t>PO 5</w:t>
            </w:r>
          </w:p>
        </w:tc>
        <w:tc>
          <w:tcPr>
            <w:tcW w:w="530" w:type="dxa"/>
            <w:vAlign w:val="center"/>
          </w:tcPr>
          <w:p w:rsidR="0084414B" w:rsidRPr="00001F01" w:rsidRDefault="0084414B" w:rsidP="00A46625">
            <w:pPr>
              <w:pStyle w:val="Style68"/>
              <w:widowControl/>
              <w:jc w:val="center"/>
              <w:rPr>
                <w:rStyle w:val="FontStyle88"/>
                <w:rFonts w:ascii="Arial Narrow" w:hAnsi="Arial Narrow"/>
                <w:lang w:eastAsia="en-US"/>
              </w:rPr>
            </w:pPr>
            <w:r w:rsidRPr="00001F01">
              <w:rPr>
                <w:rStyle w:val="FontStyle88"/>
                <w:rFonts w:ascii="Arial Narrow" w:hAnsi="Arial Narrow"/>
                <w:lang w:eastAsia="en-US"/>
              </w:rPr>
              <w:t>EFRR</w:t>
            </w:r>
          </w:p>
        </w:tc>
        <w:tc>
          <w:tcPr>
            <w:tcW w:w="879" w:type="dxa"/>
            <w:shd w:val="clear" w:color="auto" w:fill="auto"/>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i/>
                <w:sz w:val="14"/>
                <w:szCs w:val="14"/>
              </w:rPr>
              <w:t>Menej rozvinuté</w:t>
            </w:r>
          </w:p>
        </w:tc>
        <w:tc>
          <w:tcPr>
            <w:tcW w:w="1194" w:type="dxa"/>
            <w:vAlign w:val="center"/>
          </w:tcPr>
          <w:p w:rsidR="0084414B" w:rsidRPr="00001F01" w:rsidRDefault="0084414B" w:rsidP="00197539">
            <w:pPr>
              <w:jc w:val="center"/>
              <w:rPr>
                <w:rFonts w:ascii="Arial Narrow" w:hAnsi="Arial Narrow"/>
                <w:bCs/>
                <w:color w:val="000000"/>
                <w:sz w:val="14"/>
                <w:szCs w:val="14"/>
              </w:rPr>
            </w:pPr>
            <w:r>
              <w:rPr>
                <w:rFonts w:ascii="Arial Narrow" w:hAnsi="Arial Narrow"/>
                <w:bCs/>
                <w:color w:val="000000"/>
                <w:sz w:val="14"/>
                <w:szCs w:val="14"/>
              </w:rPr>
              <w:t>Celkové oprávnené výdavky</w:t>
            </w:r>
          </w:p>
        </w:tc>
        <w:tc>
          <w:tcPr>
            <w:tcW w:w="1068" w:type="dxa"/>
            <w:vAlign w:val="center"/>
          </w:tcPr>
          <w:p w:rsidR="0084414B" w:rsidRPr="00001F01" w:rsidRDefault="0084414B" w:rsidP="00A46625">
            <w:pPr>
              <w:pStyle w:val="Style30"/>
              <w:widowControl/>
              <w:jc w:val="right"/>
              <w:rPr>
                <w:rFonts w:ascii="Arial Narrow" w:hAnsi="Arial Narrow"/>
                <w:sz w:val="14"/>
                <w:szCs w:val="14"/>
              </w:rPr>
            </w:pPr>
            <w:r w:rsidRPr="00001F01">
              <w:rPr>
                <w:rFonts w:ascii="Arial Narrow" w:hAnsi="Arial Narrow"/>
                <w:bCs/>
                <w:color w:val="000000"/>
                <w:sz w:val="14"/>
                <w:szCs w:val="14"/>
              </w:rPr>
              <w:t>300 482 227</w:t>
            </w:r>
          </w:p>
        </w:tc>
        <w:tc>
          <w:tcPr>
            <w:tcW w:w="1057"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53 026 27</w:t>
            </w:r>
            <w:r>
              <w:rPr>
                <w:rFonts w:ascii="Arial Narrow" w:hAnsi="Arial Narrow"/>
                <w:color w:val="000000"/>
                <w:sz w:val="14"/>
                <w:szCs w:val="14"/>
              </w:rPr>
              <w:t>6</w:t>
            </w:r>
          </w:p>
        </w:tc>
        <w:tc>
          <w:tcPr>
            <w:tcW w:w="965"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53 026 27</w:t>
            </w:r>
            <w:r>
              <w:rPr>
                <w:rFonts w:ascii="Arial Narrow" w:hAnsi="Arial Narrow"/>
                <w:color w:val="000000"/>
                <w:sz w:val="14"/>
                <w:szCs w:val="14"/>
              </w:rPr>
              <w:t>6</w:t>
            </w:r>
          </w:p>
        </w:tc>
        <w:tc>
          <w:tcPr>
            <w:tcW w:w="980" w:type="dxa"/>
            <w:vAlign w:val="center"/>
          </w:tcPr>
          <w:p w:rsidR="0084414B" w:rsidRPr="00001F01" w:rsidRDefault="0084414B" w:rsidP="00A46625">
            <w:pPr>
              <w:pStyle w:val="Style30"/>
              <w:widowControl/>
              <w:jc w:val="right"/>
              <w:rPr>
                <w:rFonts w:ascii="Arial Narrow" w:hAnsi="Arial Narrow"/>
                <w:sz w:val="14"/>
                <w:szCs w:val="14"/>
              </w:rPr>
            </w:pPr>
            <w:r>
              <w:rPr>
                <w:rFonts w:ascii="Arial Narrow" w:hAnsi="Arial Narrow"/>
                <w:sz w:val="14"/>
                <w:szCs w:val="14"/>
              </w:rPr>
              <w:t>0</w:t>
            </w:r>
          </w:p>
        </w:tc>
        <w:tc>
          <w:tcPr>
            <w:tcW w:w="1148" w:type="dxa"/>
            <w:vAlign w:val="center"/>
          </w:tcPr>
          <w:p w:rsidR="0084414B" w:rsidRPr="00EF14C2" w:rsidRDefault="0084414B" w:rsidP="00A46625">
            <w:pPr>
              <w:jc w:val="right"/>
              <w:rPr>
                <w:rFonts w:ascii="Arial Narrow" w:hAnsi="Arial Narrow"/>
                <w:b/>
                <w:bCs/>
                <w:color w:val="000000"/>
                <w:sz w:val="14"/>
                <w:szCs w:val="14"/>
              </w:rPr>
            </w:pPr>
            <w:r w:rsidRPr="00EF14C2">
              <w:rPr>
                <w:rFonts w:ascii="Arial Narrow" w:hAnsi="Arial Narrow"/>
                <w:b/>
                <w:bCs/>
                <w:color w:val="000000"/>
                <w:sz w:val="14"/>
                <w:szCs w:val="14"/>
              </w:rPr>
              <w:t>353 508 50</w:t>
            </w:r>
            <w:r>
              <w:rPr>
                <w:rFonts w:ascii="Arial Narrow" w:hAnsi="Arial Narrow"/>
                <w:b/>
                <w:bCs/>
                <w:color w:val="000000"/>
                <w:sz w:val="14"/>
                <w:szCs w:val="14"/>
              </w:rPr>
              <w:t>3</w:t>
            </w:r>
          </w:p>
        </w:tc>
        <w:tc>
          <w:tcPr>
            <w:tcW w:w="728"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 xml:space="preserve">85,0 </w:t>
            </w:r>
            <w:r w:rsidRPr="00001F01">
              <w:rPr>
                <w:rFonts w:ascii="Arial Narrow" w:hAnsi="Arial Narrow"/>
                <w:sz w:val="14"/>
                <w:szCs w:val="14"/>
                <w:lang w:val="en-US"/>
              </w:rPr>
              <w:t>%</w:t>
            </w:r>
          </w:p>
        </w:tc>
        <w:tc>
          <w:tcPr>
            <w:tcW w:w="784" w:type="dxa"/>
            <w:vAlign w:val="center"/>
          </w:tcPr>
          <w:p w:rsidR="0084414B" w:rsidRPr="00001F01" w:rsidRDefault="0084414B" w:rsidP="00A46625">
            <w:pPr>
              <w:pStyle w:val="Style30"/>
              <w:widowControl/>
              <w:jc w:val="center"/>
              <w:rPr>
                <w:rFonts w:ascii="Arial Narrow" w:hAnsi="Arial Narrow"/>
                <w:sz w:val="14"/>
                <w:szCs w:val="14"/>
              </w:rPr>
            </w:pPr>
          </w:p>
        </w:tc>
        <w:tc>
          <w:tcPr>
            <w:tcW w:w="1080" w:type="dxa"/>
            <w:vAlign w:val="center"/>
          </w:tcPr>
          <w:p w:rsidR="0084414B" w:rsidRPr="00D75627" w:rsidRDefault="0084414B" w:rsidP="00A46625">
            <w:pPr>
              <w:jc w:val="right"/>
              <w:rPr>
                <w:rFonts w:ascii="Arial Narrow" w:hAnsi="Arial Narrow"/>
                <w:color w:val="000000"/>
                <w:sz w:val="14"/>
                <w:szCs w:val="14"/>
              </w:rPr>
            </w:pPr>
            <w:r w:rsidRPr="00D75627">
              <w:rPr>
                <w:rFonts w:ascii="Arial Narrow" w:hAnsi="Arial Narrow"/>
                <w:color w:val="000000"/>
                <w:sz w:val="14"/>
                <w:szCs w:val="14"/>
              </w:rPr>
              <w:t>281 069 658</w:t>
            </w:r>
          </w:p>
        </w:tc>
        <w:tc>
          <w:tcPr>
            <w:tcW w:w="1023" w:type="dxa"/>
            <w:vAlign w:val="center"/>
          </w:tcPr>
          <w:p w:rsidR="0084414B" w:rsidRPr="00D75627" w:rsidRDefault="0084414B" w:rsidP="00A46625">
            <w:pPr>
              <w:jc w:val="right"/>
              <w:rPr>
                <w:rFonts w:ascii="Arial Narrow" w:hAnsi="Arial Narrow"/>
                <w:color w:val="000000"/>
                <w:sz w:val="14"/>
                <w:szCs w:val="14"/>
              </w:rPr>
            </w:pPr>
            <w:r w:rsidRPr="00D75627">
              <w:rPr>
                <w:rFonts w:ascii="Arial Narrow" w:hAnsi="Arial Narrow"/>
                <w:color w:val="000000"/>
                <w:sz w:val="14"/>
                <w:szCs w:val="14"/>
              </w:rPr>
              <w:t>49 600 52</w:t>
            </w:r>
            <w:r>
              <w:rPr>
                <w:rFonts w:ascii="Arial Narrow" w:hAnsi="Arial Narrow"/>
                <w:color w:val="000000"/>
                <w:sz w:val="14"/>
                <w:szCs w:val="14"/>
              </w:rPr>
              <w:t>9</w:t>
            </w:r>
          </w:p>
        </w:tc>
        <w:tc>
          <w:tcPr>
            <w:tcW w:w="992" w:type="dxa"/>
            <w:vAlign w:val="center"/>
          </w:tcPr>
          <w:p w:rsidR="0084414B" w:rsidRPr="00001F01" w:rsidRDefault="0084414B" w:rsidP="00A46625">
            <w:pPr>
              <w:jc w:val="right"/>
              <w:rPr>
                <w:rFonts w:ascii="Arial Narrow" w:hAnsi="Arial Narrow"/>
                <w:color w:val="000000"/>
                <w:sz w:val="14"/>
                <w:szCs w:val="14"/>
              </w:rPr>
            </w:pPr>
            <w:r>
              <w:rPr>
                <w:rFonts w:ascii="Arial Narrow" w:hAnsi="Arial Narrow"/>
                <w:color w:val="000000"/>
                <w:sz w:val="14"/>
                <w:szCs w:val="14"/>
              </w:rPr>
              <w:t>19 412 569</w:t>
            </w:r>
          </w:p>
        </w:tc>
        <w:tc>
          <w:tcPr>
            <w:tcW w:w="952" w:type="dxa"/>
            <w:vAlign w:val="center"/>
          </w:tcPr>
          <w:p w:rsidR="0084414B" w:rsidRPr="00D75627" w:rsidRDefault="0084414B" w:rsidP="00A46625">
            <w:pPr>
              <w:jc w:val="right"/>
              <w:rPr>
                <w:rFonts w:ascii="Arial Narrow" w:hAnsi="Arial Narrow"/>
                <w:color w:val="000000"/>
                <w:sz w:val="14"/>
                <w:szCs w:val="14"/>
              </w:rPr>
            </w:pPr>
            <w:r w:rsidRPr="00D75627">
              <w:rPr>
                <w:rFonts w:ascii="Arial Narrow" w:hAnsi="Arial Narrow"/>
                <w:color w:val="000000"/>
                <w:sz w:val="14"/>
                <w:szCs w:val="14"/>
              </w:rPr>
              <w:t>3 425 747</w:t>
            </w:r>
          </w:p>
        </w:tc>
        <w:tc>
          <w:tcPr>
            <w:tcW w:w="993"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6</w:t>
            </w:r>
            <w:r>
              <w:rPr>
                <w:rFonts w:ascii="Arial Narrow" w:hAnsi="Arial Narrow"/>
                <w:sz w:val="14"/>
                <w:szCs w:val="14"/>
              </w:rPr>
              <w:t>,46</w:t>
            </w:r>
            <w:r w:rsidRPr="00001F01">
              <w:rPr>
                <w:rFonts w:ascii="Arial Narrow" w:hAnsi="Arial Narrow"/>
                <w:sz w:val="14"/>
                <w:szCs w:val="14"/>
              </w:rPr>
              <w:t xml:space="preserve"> </w:t>
            </w:r>
            <w:r w:rsidRPr="00001F01">
              <w:rPr>
                <w:rFonts w:ascii="Arial Narrow" w:hAnsi="Arial Narrow"/>
                <w:sz w:val="14"/>
                <w:szCs w:val="14"/>
                <w:lang w:val="en-US"/>
              </w:rPr>
              <w:t>%</w:t>
            </w:r>
          </w:p>
        </w:tc>
      </w:tr>
      <w:tr w:rsidR="0084414B" w:rsidRPr="00001F01" w:rsidTr="00A46625">
        <w:trPr>
          <w:trHeight w:val="339"/>
        </w:trPr>
        <w:tc>
          <w:tcPr>
            <w:tcW w:w="704" w:type="dxa"/>
            <w:vAlign w:val="center"/>
          </w:tcPr>
          <w:p w:rsidR="0084414B" w:rsidRPr="00001F01" w:rsidRDefault="0084414B" w:rsidP="00A46625">
            <w:pPr>
              <w:rPr>
                <w:rFonts w:ascii="Arial Narrow" w:hAnsi="Arial Narrow"/>
                <w:sz w:val="14"/>
                <w:szCs w:val="14"/>
              </w:rPr>
            </w:pPr>
            <w:r w:rsidRPr="00001F01">
              <w:rPr>
                <w:rStyle w:val="FontStyle86"/>
                <w:rFonts w:ascii="Arial Narrow" w:eastAsiaTheme="majorEastAsia" w:hAnsi="Arial Narrow"/>
              </w:rPr>
              <w:t>PO 6</w:t>
            </w:r>
          </w:p>
        </w:tc>
        <w:tc>
          <w:tcPr>
            <w:tcW w:w="530" w:type="dxa"/>
            <w:vAlign w:val="center"/>
          </w:tcPr>
          <w:p w:rsidR="0084414B" w:rsidRPr="00001F01" w:rsidRDefault="0084414B" w:rsidP="00A46625">
            <w:pPr>
              <w:pStyle w:val="Style68"/>
              <w:widowControl/>
              <w:jc w:val="center"/>
              <w:rPr>
                <w:rStyle w:val="FontStyle88"/>
                <w:rFonts w:ascii="Arial Narrow" w:hAnsi="Arial Narrow"/>
                <w:lang w:eastAsia="en-US"/>
              </w:rPr>
            </w:pPr>
            <w:r w:rsidRPr="00001F01">
              <w:rPr>
                <w:rStyle w:val="FontStyle88"/>
                <w:rFonts w:ascii="Arial Narrow" w:hAnsi="Arial Narrow"/>
                <w:lang w:eastAsia="en-US"/>
              </w:rPr>
              <w:t>EFRR</w:t>
            </w:r>
          </w:p>
        </w:tc>
        <w:tc>
          <w:tcPr>
            <w:tcW w:w="879" w:type="dxa"/>
            <w:shd w:val="clear" w:color="auto" w:fill="auto"/>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i/>
                <w:sz w:val="14"/>
                <w:szCs w:val="14"/>
              </w:rPr>
              <w:t>Menej rozvinuté</w:t>
            </w:r>
          </w:p>
        </w:tc>
        <w:tc>
          <w:tcPr>
            <w:tcW w:w="1194" w:type="dxa"/>
            <w:vAlign w:val="center"/>
          </w:tcPr>
          <w:p w:rsidR="0084414B" w:rsidRPr="00001F01" w:rsidRDefault="0084414B" w:rsidP="00197539">
            <w:pPr>
              <w:jc w:val="center"/>
              <w:rPr>
                <w:rFonts w:ascii="Arial Narrow" w:hAnsi="Arial Narrow"/>
                <w:bCs/>
                <w:color w:val="000000"/>
                <w:sz w:val="14"/>
                <w:szCs w:val="14"/>
              </w:rPr>
            </w:pPr>
            <w:r>
              <w:rPr>
                <w:rFonts w:ascii="Arial Narrow" w:hAnsi="Arial Narrow"/>
                <w:bCs/>
                <w:color w:val="000000"/>
                <w:sz w:val="14"/>
                <w:szCs w:val="14"/>
              </w:rPr>
              <w:t>Celkové oprávnené výdavky</w:t>
            </w:r>
          </w:p>
        </w:tc>
        <w:tc>
          <w:tcPr>
            <w:tcW w:w="1068" w:type="dxa"/>
            <w:vAlign w:val="center"/>
          </w:tcPr>
          <w:p w:rsidR="0084414B" w:rsidRPr="00001F01" w:rsidRDefault="0084414B" w:rsidP="00A46625">
            <w:pPr>
              <w:pStyle w:val="Style30"/>
              <w:widowControl/>
              <w:jc w:val="right"/>
              <w:rPr>
                <w:rFonts w:ascii="Arial Narrow" w:hAnsi="Arial Narrow"/>
                <w:sz w:val="14"/>
                <w:szCs w:val="14"/>
              </w:rPr>
            </w:pPr>
            <w:r w:rsidRPr="00001F01">
              <w:rPr>
                <w:rFonts w:ascii="Arial Narrow" w:hAnsi="Arial Narrow"/>
                <w:sz w:val="14"/>
                <w:szCs w:val="14"/>
              </w:rPr>
              <w:t>503 007 228</w:t>
            </w:r>
          </w:p>
        </w:tc>
        <w:tc>
          <w:tcPr>
            <w:tcW w:w="1057"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88 765 98</w:t>
            </w:r>
            <w:r>
              <w:rPr>
                <w:rFonts w:ascii="Arial Narrow" w:hAnsi="Arial Narrow"/>
                <w:color w:val="000000"/>
                <w:sz w:val="14"/>
                <w:szCs w:val="14"/>
              </w:rPr>
              <w:t>2</w:t>
            </w:r>
          </w:p>
        </w:tc>
        <w:tc>
          <w:tcPr>
            <w:tcW w:w="965"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88 765 98</w:t>
            </w:r>
            <w:r>
              <w:rPr>
                <w:rFonts w:ascii="Arial Narrow" w:hAnsi="Arial Narrow"/>
                <w:color w:val="000000"/>
                <w:sz w:val="14"/>
                <w:szCs w:val="14"/>
              </w:rPr>
              <w:t>2</w:t>
            </w:r>
          </w:p>
        </w:tc>
        <w:tc>
          <w:tcPr>
            <w:tcW w:w="980" w:type="dxa"/>
            <w:vAlign w:val="center"/>
          </w:tcPr>
          <w:p w:rsidR="0084414B" w:rsidRPr="00001F01" w:rsidRDefault="0084414B" w:rsidP="00A46625">
            <w:pPr>
              <w:pStyle w:val="Style30"/>
              <w:widowControl/>
              <w:jc w:val="right"/>
              <w:rPr>
                <w:rFonts w:ascii="Arial Narrow" w:hAnsi="Arial Narrow"/>
                <w:sz w:val="14"/>
                <w:szCs w:val="14"/>
              </w:rPr>
            </w:pPr>
            <w:r>
              <w:rPr>
                <w:rFonts w:ascii="Arial Narrow" w:hAnsi="Arial Narrow"/>
                <w:sz w:val="14"/>
                <w:szCs w:val="14"/>
              </w:rPr>
              <w:t>0</w:t>
            </w:r>
          </w:p>
        </w:tc>
        <w:tc>
          <w:tcPr>
            <w:tcW w:w="1148" w:type="dxa"/>
            <w:vAlign w:val="center"/>
          </w:tcPr>
          <w:p w:rsidR="0084414B" w:rsidRPr="00EF14C2" w:rsidRDefault="0084414B" w:rsidP="00A46625">
            <w:pPr>
              <w:jc w:val="right"/>
              <w:rPr>
                <w:rFonts w:ascii="Arial Narrow" w:hAnsi="Arial Narrow"/>
                <w:b/>
                <w:bCs/>
                <w:color w:val="000000"/>
                <w:sz w:val="14"/>
                <w:szCs w:val="14"/>
              </w:rPr>
            </w:pPr>
            <w:r w:rsidRPr="00EF14C2">
              <w:rPr>
                <w:rFonts w:ascii="Arial Narrow" w:hAnsi="Arial Narrow"/>
                <w:b/>
                <w:bCs/>
                <w:color w:val="000000"/>
                <w:sz w:val="14"/>
                <w:szCs w:val="14"/>
              </w:rPr>
              <w:t>591 773 210</w:t>
            </w:r>
          </w:p>
        </w:tc>
        <w:tc>
          <w:tcPr>
            <w:tcW w:w="728"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 xml:space="preserve">85,0 </w:t>
            </w:r>
            <w:r w:rsidRPr="00001F01">
              <w:rPr>
                <w:rFonts w:ascii="Arial Narrow" w:hAnsi="Arial Narrow"/>
                <w:sz w:val="14"/>
                <w:szCs w:val="14"/>
                <w:lang w:val="en-US"/>
              </w:rPr>
              <w:t>%</w:t>
            </w:r>
          </w:p>
        </w:tc>
        <w:tc>
          <w:tcPr>
            <w:tcW w:w="784" w:type="dxa"/>
            <w:vAlign w:val="center"/>
          </w:tcPr>
          <w:p w:rsidR="0084414B" w:rsidRPr="00001F01" w:rsidRDefault="0084414B" w:rsidP="00A46625">
            <w:pPr>
              <w:pStyle w:val="Style30"/>
              <w:widowControl/>
              <w:jc w:val="center"/>
              <w:rPr>
                <w:rFonts w:ascii="Arial Narrow" w:hAnsi="Arial Narrow"/>
                <w:sz w:val="14"/>
                <w:szCs w:val="14"/>
              </w:rPr>
            </w:pPr>
          </w:p>
        </w:tc>
        <w:tc>
          <w:tcPr>
            <w:tcW w:w="1080" w:type="dxa"/>
            <w:vAlign w:val="center"/>
          </w:tcPr>
          <w:p w:rsidR="0084414B" w:rsidRPr="00D75627" w:rsidRDefault="0084414B" w:rsidP="00A46625">
            <w:pPr>
              <w:jc w:val="right"/>
              <w:rPr>
                <w:rFonts w:ascii="Arial Narrow" w:hAnsi="Arial Narrow"/>
                <w:color w:val="000000"/>
                <w:sz w:val="14"/>
                <w:szCs w:val="14"/>
              </w:rPr>
            </w:pPr>
            <w:r w:rsidRPr="00D75627">
              <w:rPr>
                <w:rFonts w:ascii="Arial Narrow" w:hAnsi="Arial Narrow"/>
                <w:color w:val="000000"/>
                <w:sz w:val="14"/>
                <w:szCs w:val="14"/>
              </w:rPr>
              <w:t>470 510 589</w:t>
            </w:r>
          </w:p>
        </w:tc>
        <w:tc>
          <w:tcPr>
            <w:tcW w:w="1023" w:type="dxa"/>
            <w:vAlign w:val="center"/>
          </w:tcPr>
          <w:p w:rsidR="0084414B" w:rsidRPr="00D75627" w:rsidRDefault="0084414B" w:rsidP="00A46625">
            <w:pPr>
              <w:jc w:val="right"/>
              <w:rPr>
                <w:rFonts w:ascii="Arial Narrow" w:hAnsi="Arial Narrow"/>
                <w:color w:val="000000"/>
                <w:sz w:val="14"/>
                <w:szCs w:val="14"/>
              </w:rPr>
            </w:pPr>
            <w:r w:rsidRPr="00D75627">
              <w:rPr>
                <w:rFonts w:ascii="Arial Narrow" w:hAnsi="Arial Narrow"/>
                <w:color w:val="000000"/>
                <w:sz w:val="14"/>
                <w:szCs w:val="14"/>
              </w:rPr>
              <w:t>83 031 28</w:t>
            </w:r>
            <w:r>
              <w:rPr>
                <w:rFonts w:ascii="Arial Narrow" w:hAnsi="Arial Narrow"/>
                <w:color w:val="000000"/>
                <w:sz w:val="14"/>
                <w:szCs w:val="14"/>
              </w:rPr>
              <w:t>1</w:t>
            </w:r>
          </w:p>
        </w:tc>
        <w:tc>
          <w:tcPr>
            <w:tcW w:w="992" w:type="dxa"/>
            <w:vAlign w:val="center"/>
          </w:tcPr>
          <w:p w:rsidR="0084414B" w:rsidRPr="00131E5C" w:rsidRDefault="0084414B" w:rsidP="00A46625">
            <w:pPr>
              <w:jc w:val="right"/>
              <w:rPr>
                <w:rFonts w:ascii="Arial Narrow" w:hAnsi="Arial Narrow"/>
                <w:color w:val="000000"/>
                <w:sz w:val="14"/>
                <w:szCs w:val="14"/>
              </w:rPr>
            </w:pPr>
            <w:r w:rsidRPr="00131E5C">
              <w:rPr>
                <w:rFonts w:ascii="Arial Narrow" w:hAnsi="Arial Narrow"/>
                <w:color w:val="000000"/>
                <w:sz w:val="14"/>
                <w:szCs w:val="14"/>
              </w:rPr>
              <w:t>32 496 639</w:t>
            </w:r>
          </w:p>
        </w:tc>
        <w:tc>
          <w:tcPr>
            <w:tcW w:w="952" w:type="dxa"/>
            <w:vAlign w:val="center"/>
          </w:tcPr>
          <w:p w:rsidR="0084414B" w:rsidRPr="00D75627" w:rsidRDefault="0084414B" w:rsidP="00A46625">
            <w:pPr>
              <w:jc w:val="right"/>
              <w:rPr>
                <w:rFonts w:ascii="Arial Narrow" w:hAnsi="Arial Narrow"/>
                <w:color w:val="000000"/>
                <w:sz w:val="14"/>
                <w:szCs w:val="14"/>
              </w:rPr>
            </w:pPr>
            <w:r w:rsidRPr="00D75627">
              <w:rPr>
                <w:rFonts w:ascii="Arial Narrow" w:hAnsi="Arial Narrow"/>
                <w:color w:val="000000"/>
                <w:sz w:val="14"/>
                <w:szCs w:val="14"/>
              </w:rPr>
              <w:t>5 734 701</w:t>
            </w:r>
          </w:p>
        </w:tc>
        <w:tc>
          <w:tcPr>
            <w:tcW w:w="993"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6</w:t>
            </w:r>
            <w:r>
              <w:rPr>
                <w:rFonts w:ascii="Arial Narrow" w:hAnsi="Arial Narrow"/>
                <w:sz w:val="14"/>
                <w:szCs w:val="14"/>
              </w:rPr>
              <w:t>,46</w:t>
            </w:r>
            <w:r w:rsidRPr="00001F01">
              <w:rPr>
                <w:rFonts w:ascii="Arial Narrow" w:hAnsi="Arial Narrow"/>
                <w:sz w:val="14"/>
                <w:szCs w:val="14"/>
              </w:rPr>
              <w:t xml:space="preserve"> </w:t>
            </w:r>
            <w:r w:rsidRPr="00001F01">
              <w:rPr>
                <w:rFonts w:ascii="Arial Narrow" w:hAnsi="Arial Narrow"/>
                <w:sz w:val="14"/>
                <w:szCs w:val="14"/>
                <w:lang w:val="en-US"/>
              </w:rPr>
              <w:t>%</w:t>
            </w:r>
          </w:p>
        </w:tc>
      </w:tr>
      <w:tr w:rsidR="0084414B" w:rsidRPr="00001F01" w:rsidTr="00A46625">
        <w:trPr>
          <w:trHeight w:val="339"/>
        </w:trPr>
        <w:tc>
          <w:tcPr>
            <w:tcW w:w="704" w:type="dxa"/>
            <w:vAlign w:val="center"/>
          </w:tcPr>
          <w:p w:rsidR="0084414B" w:rsidRPr="00001F01" w:rsidRDefault="0084414B" w:rsidP="00A46625">
            <w:pPr>
              <w:rPr>
                <w:rStyle w:val="FontStyle86"/>
                <w:rFonts w:ascii="Arial Narrow" w:eastAsiaTheme="majorEastAsia" w:hAnsi="Arial Narrow"/>
              </w:rPr>
            </w:pPr>
            <w:r w:rsidRPr="00001F01">
              <w:rPr>
                <w:rStyle w:val="FontStyle86"/>
                <w:rFonts w:ascii="Arial Narrow" w:eastAsiaTheme="majorEastAsia" w:hAnsi="Arial Narrow"/>
              </w:rPr>
              <w:t>PO 7</w:t>
            </w:r>
          </w:p>
        </w:tc>
        <w:tc>
          <w:tcPr>
            <w:tcW w:w="530" w:type="dxa"/>
            <w:vAlign w:val="center"/>
          </w:tcPr>
          <w:p w:rsidR="0084414B" w:rsidRPr="00001F01" w:rsidRDefault="0084414B" w:rsidP="00A46625">
            <w:pPr>
              <w:pStyle w:val="Style68"/>
              <w:widowControl/>
              <w:jc w:val="center"/>
              <w:rPr>
                <w:rStyle w:val="FontStyle88"/>
                <w:rFonts w:ascii="Arial Narrow" w:hAnsi="Arial Narrow"/>
                <w:lang w:eastAsia="en-US"/>
              </w:rPr>
            </w:pPr>
            <w:r w:rsidRPr="00001F01">
              <w:rPr>
                <w:rStyle w:val="FontStyle88"/>
                <w:rFonts w:ascii="Arial Narrow" w:hAnsi="Arial Narrow"/>
                <w:lang w:eastAsia="en-US"/>
              </w:rPr>
              <w:t>EFRR</w:t>
            </w:r>
          </w:p>
        </w:tc>
        <w:tc>
          <w:tcPr>
            <w:tcW w:w="879" w:type="dxa"/>
            <w:shd w:val="clear" w:color="auto" w:fill="auto"/>
            <w:vAlign w:val="center"/>
          </w:tcPr>
          <w:p w:rsidR="0084414B" w:rsidRPr="00001F01" w:rsidRDefault="0084414B" w:rsidP="00A46625">
            <w:pPr>
              <w:pStyle w:val="Style30"/>
              <w:widowControl/>
              <w:jc w:val="center"/>
              <w:rPr>
                <w:rFonts w:ascii="Arial Narrow" w:hAnsi="Arial Narrow"/>
                <w:i/>
                <w:sz w:val="14"/>
                <w:szCs w:val="14"/>
              </w:rPr>
            </w:pPr>
            <w:r w:rsidRPr="00001F01">
              <w:rPr>
                <w:rFonts w:ascii="Arial Narrow" w:hAnsi="Arial Narrow"/>
                <w:i/>
                <w:sz w:val="14"/>
                <w:szCs w:val="14"/>
              </w:rPr>
              <w:t>Menej rozvinuté</w:t>
            </w:r>
          </w:p>
        </w:tc>
        <w:tc>
          <w:tcPr>
            <w:tcW w:w="1194" w:type="dxa"/>
            <w:vAlign w:val="center"/>
          </w:tcPr>
          <w:p w:rsidR="0084414B" w:rsidRPr="00001F01" w:rsidRDefault="0084414B" w:rsidP="00197539">
            <w:pPr>
              <w:jc w:val="center"/>
              <w:rPr>
                <w:rFonts w:ascii="Arial Narrow" w:hAnsi="Arial Narrow"/>
                <w:bCs/>
                <w:color w:val="000000"/>
                <w:sz w:val="14"/>
                <w:szCs w:val="14"/>
              </w:rPr>
            </w:pPr>
            <w:r>
              <w:rPr>
                <w:rFonts w:ascii="Arial Narrow" w:hAnsi="Arial Narrow"/>
                <w:bCs/>
                <w:color w:val="000000"/>
                <w:sz w:val="14"/>
                <w:szCs w:val="14"/>
              </w:rPr>
              <w:t>Celkové oprávnené výdavky</w:t>
            </w:r>
          </w:p>
        </w:tc>
        <w:tc>
          <w:tcPr>
            <w:tcW w:w="1068" w:type="dxa"/>
            <w:vAlign w:val="center"/>
          </w:tcPr>
          <w:p w:rsidR="0084414B" w:rsidRPr="00001F01" w:rsidRDefault="0084414B" w:rsidP="00A46625">
            <w:pPr>
              <w:pStyle w:val="Style30"/>
              <w:widowControl/>
              <w:jc w:val="right"/>
              <w:rPr>
                <w:rFonts w:ascii="Arial Narrow" w:hAnsi="Arial Narrow"/>
                <w:sz w:val="14"/>
                <w:szCs w:val="14"/>
              </w:rPr>
            </w:pPr>
            <w:r w:rsidRPr="00001F01">
              <w:rPr>
                <w:rFonts w:ascii="Arial Narrow" w:hAnsi="Arial Narrow"/>
                <w:sz w:val="14"/>
                <w:szCs w:val="14"/>
              </w:rPr>
              <w:t>841 016 752</w:t>
            </w:r>
          </w:p>
        </w:tc>
        <w:tc>
          <w:tcPr>
            <w:tcW w:w="1057"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148 414 721</w:t>
            </w:r>
          </w:p>
        </w:tc>
        <w:tc>
          <w:tcPr>
            <w:tcW w:w="965"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148 414 721</w:t>
            </w:r>
          </w:p>
        </w:tc>
        <w:tc>
          <w:tcPr>
            <w:tcW w:w="980" w:type="dxa"/>
            <w:vAlign w:val="center"/>
          </w:tcPr>
          <w:p w:rsidR="0084414B" w:rsidRPr="00001F01" w:rsidRDefault="0084414B" w:rsidP="00A46625">
            <w:pPr>
              <w:pStyle w:val="Style30"/>
              <w:widowControl/>
              <w:jc w:val="right"/>
              <w:rPr>
                <w:rFonts w:ascii="Arial Narrow" w:hAnsi="Arial Narrow"/>
                <w:sz w:val="14"/>
                <w:szCs w:val="14"/>
              </w:rPr>
            </w:pPr>
            <w:r>
              <w:rPr>
                <w:rFonts w:ascii="Arial Narrow" w:hAnsi="Arial Narrow"/>
                <w:sz w:val="14"/>
                <w:szCs w:val="14"/>
              </w:rPr>
              <w:t>0</w:t>
            </w:r>
          </w:p>
        </w:tc>
        <w:tc>
          <w:tcPr>
            <w:tcW w:w="1148" w:type="dxa"/>
            <w:vAlign w:val="center"/>
          </w:tcPr>
          <w:p w:rsidR="0084414B" w:rsidRPr="00001F01" w:rsidRDefault="0084414B" w:rsidP="00A46625">
            <w:pPr>
              <w:jc w:val="right"/>
              <w:rPr>
                <w:rFonts w:ascii="Arial Narrow" w:hAnsi="Arial Narrow"/>
                <w:b/>
                <w:bCs/>
                <w:color w:val="000000"/>
                <w:sz w:val="14"/>
                <w:szCs w:val="14"/>
              </w:rPr>
            </w:pPr>
            <w:r w:rsidRPr="00001F01">
              <w:rPr>
                <w:rFonts w:ascii="Arial Narrow" w:hAnsi="Arial Narrow"/>
                <w:b/>
                <w:bCs/>
                <w:color w:val="000000"/>
                <w:sz w:val="14"/>
                <w:szCs w:val="14"/>
              </w:rPr>
              <w:t>989 431 473</w:t>
            </w:r>
          </w:p>
        </w:tc>
        <w:tc>
          <w:tcPr>
            <w:tcW w:w="728"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 xml:space="preserve">85,0 </w:t>
            </w:r>
            <w:r w:rsidRPr="00001F01">
              <w:rPr>
                <w:rFonts w:ascii="Arial Narrow" w:hAnsi="Arial Narrow"/>
                <w:sz w:val="14"/>
                <w:szCs w:val="14"/>
                <w:lang w:val="en-US"/>
              </w:rPr>
              <w:t>%</w:t>
            </w:r>
          </w:p>
        </w:tc>
        <w:tc>
          <w:tcPr>
            <w:tcW w:w="784" w:type="dxa"/>
            <w:vAlign w:val="center"/>
          </w:tcPr>
          <w:p w:rsidR="0084414B" w:rsidRPr="00001F01" w:rsidRDefault="0084414B" w:rsidP="00A46625">
            <w:pPr>
              <w:pStyle w:val="Style30"/>
              <w:widowControl/>
              <w:jc w:val="center"/>
              <w:rPr>
                <w:rFonts w:ascii="Arial Narrow" w:hAnsi="Arial Narrow"/>
                <w:sz w:val="14"/>
                <w:szCs w:val="14"/>
              </w:rPr>
            </w:pPr>
          </w:p>
        </w:tc>
        <w:tc>
          <w:tcPr>
            <w:tcW w:w="1080" w:type="dxa"/>
            <w:vAlign w:val="center"/>
          </w:tcPr>
          <w:p w:rsidR="0084414B" w:rsidRPr="00D75627" w:rsidRDefault="0084414B" w:rsidP="00A46625">
            <w:pPr>
              <w:jc w:val="right"/>
              <w:rPr>
                <w:rFonts w:ascii="Arial Narrow" w:hAnsi="Arial Narrow"/>
                <w:color w:val="000000"/>
                <w:sz w:val="14"/>
                <w:szCs w:val="14"/>
              </w:rPr>
            </w:pPr>
            <w:r w:rsidRPr="00D75627">
              <w:rPr>
                <w:rFonts w:ascii="Arial Narrow" w:hAnsi="Arial Narrow"/>
                <w:color w:val="000000"/>
                <w:sz w:val="14"/>
                <w:szCs w:val="14"/>
              </w:rPr>
              <w:t>786 683 10</w:t>
            </w:r>
            <w:r>
              <w:rPr>
                <w:rFonts w:ascii="Arial Narrow" w:hAnsi="Arial Narrow"/>
                <w:color w:val="000000"/>
                <w:sz w:val="14"/>
                <w:szCs w:val="14"/>
              </w:rPr>
              <w:t>4</w:t>
            </w:r>
          </w:p>
        </w:tc>
        <w:tc>
          <w:tcPr>
            <w:tcW w:w="1023" w:type="dxa"/>
            <w:vAlign w:val="center"/>
          </w:tcPr>
          <w:p w:rsidR="0084414B" w:rsidRPr="00D75627" w:rsidRDefault="0084414B" w:rsidP="00A46625">
            <w:pPr>
              <w:jc w:val="right"/>
              <w:rPr>
                <w:rFonts w:ascii="Arial Narrow" w:hAnsi="Arial Narrow"/>
                <w:color w:val="000000"/>
                <w:sz w:val="14"/>
                <w:szCs w:val="14"/>
              </w:rPr>
            </w:pPr>
            <w:r w:rsidRPr="00D75627">
              <w:rPr>
                <w:rFonts w:ascii="Arial Narrow" w:hAnsi="Arial Narrow"/>
                <w:color w:val="000000"/>
                <w:sz w:val="14"/>
                <w:szCs w:val="14"/>
              </w:rPr>
              <w:t>138 826 430</w:t>
            </w:r>
          </w:p>
        </w:tc>
        <w:tc>
          <w:tcPr>
            <w:tcW w:w="992" w:type="dxa"/>
            <w:vAlign w:val="center"/>
          </w:tcPr>
          <w:p w:rsidR="0084414B" w:rsidRPr="00131E5C" w:rsidRDefault="0084414B" w:rsidP="00A46625">
            <w:pPr>
              <w:jc w:val="right"/>
              <w:rPr>
                <w:rFonts w:ascii="Arial Narrow" w:hAnsi="Arial Narrow"/>
                <w:color w:val="000000"/>
                <w:sz w:val="14"/>
                <w:szCs w:val="14"/>
              </w:rPr>
            </w:pPr>
            <w:r w:rsidRPr="00131E5C">
              <w:rPr>
                <w:rFonts w:ascii="Arial Narrow" w:hAnsi="Arial Narrow"/>
                <w:color w:val="000000"/>
                <w:sz w:val="14"/>
                <w:szCs w:val="14"/>
              </w:rPr>
              <w:t>54 333 64</w:t>
            </w:r>
            <w:r>
              <w:rPr>
                <w:rFonts w:ascii="Arial Narrow" w:hAnsi="Arial Narrow"/>
                <w:color w:val="000000"/>
                <w:sz w:val="14"/>
                <w:szCs w:val="14"/>
              </w:rPr>
              <w:t>8</w:t>
            </w:r>
          </w:p>
        </w:tc>
        <w:tc>
          <w:tcPr>
            <w:tcW w:w="952" w:type="dxa"/>
            <w:vAlign w:val="center"/>
          </w:tcPr>
          <w:p w:rsidR="0084414B" w:rsidRPr="00D75627" w:rsidRDefault="0084414B" w:rsidP="00A46625">
            <w:pPr>
              <w:jc w:val="right"/>
              <w:rPr>
                <w:rFonts w:ascii="Arial Narrow" w:hAnsi="Arial Narrow"/>
                <w:color w:val="000000"/>
                <w:sz w:val="14"/>
                <w:szCs w:val="14"/>
              </w:rPr>
            </w:pPr>
            <w:r w:rsidRPr="00D75627">
              <w:rPr>
                <w:rFonts w:ascii="Arial Narrow" w:hAnsi="Arial Narrow"/>
                <w:color w:val="000000"/>
                <w:sz w:val="14"/>
                <w:szCs w:val="14"/>
              </w:rPr>
              <w:t>9 588 291</w:t>
            </w:r>
          </w:p>
        </w:tc>
        <w:tc>
          <w:tcPr>
            <w:tcW w:w="993"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6</w:t>
            </w:r>
            <w:r>
              <w:rPr>
                <w:rFonts w:ascii="Arial Narrow" w:hAnsi="Arial Narrow"/>
                <w:sz w:val="14"/>
                <w:szCs w:val="14"/>
              </w:rPr>
              <w:t>,46</w:t>
            </w:r>
            <w:r w:rsidRPr="00001F01">
              <w:rPr>
                <w:rFonts w:ascii="Arial Narrow" w:hAnsi="Arial Narrow"/>
                <w:sz w:val="14"/>
                <w:szCs w:val="14"/>
              </w:rPr>
              <w:t xml:space="preserve"> </w:t>
            </w:r>
            <w:r w:rsidRPr="00001F01">
              <w:rPr>
                <w:rFonts w:ascii="Arial Narrow" w:hAnsi="Arial Narrow"/>
                <w:sz w:val="14"/>
                <w:szCs w:val="14"/>
                <w:lang w:val="en-US"/>
              </w:rPr>
              <w:t>%</w:t>
            </w:r>
          </w:p>
        </w:tc>
      </w:tr>
      <w:tr w:rsidR="0084414B" w:rsidRPr="00001F01" w:rsidTr="00A46625">
        <w:trPr>
          <w:trHeight w:val="339"/>
        </w:trPr>
        <w:tc>
          <w:tcPr>
            <w:tcW w:w="704" w:type="dxa"/>
            <w:vAlign w:val="center"/>
          </w:tcPr>
          <w:p w:rsidR="0084414B" w:rsidRPr="00001F01" w:rsidRDefault="0084414B" w:rsidP="00A46625">
            <w:pPr>
              <w:rPr>
                <w:rStyle w:val="FontStyle86"/>
                <w:rFonts w:ascii="Arial Narrow" w:eastAsiaTheme="majorEastAsia" w:hAnsi="Arial Narrow"/>
              </w:rPr>
            </w:pPr>
            <w:r w:rsidRPr="00001F01">
              <w:rPr>
                <w:rStyle w:val="FontStyle86"/>
                <w:rFonts w:ascii="Arial Narrow" w:eastAsiaTheme="majorEastAsia" w:hAnsi="Arial Narrow"/>
              </w:rPr>
              <w:t>PO 8</w:t>
            </w:r>
          </w:p>
        </w:tc>
        <w:tc>
          <w:tcPr>
            <w:tcW w:w="530" w:type="dxa"/>
            <w:vAlign w:val="center"/>
          </w:tcPr>
          <w:p w:rsidR="0084414B" w:rsidRPr="00001F01" w:rsidRDefault="0084414B" w:rsidP="00A46625">
            <w:pPr>
              <w:pStyle w:val="Style68"/>
              <w:widowControl/>
              <w:jc w:val="center"/>
              <w:rPr>
                <w:rStyle w:val="FontStyle88"/>
                <w:rFonts w:ascii="Arial Narrow" w:hAnsi="Arial Narrow"/>
                <w:lang w:eastAsia="en-US"/>
              </w:rPr>
            </w:pPr>
            <w:r w:rsidRPr="00001F01">
              <w:rPr>
                <w:rStyle w:val="FontStyle88"/>
                <w:rFonts w:ascii="Arial Narrow" w:hAnsi="Arial Narrow"/>
                <w:lang w:eastAsia="en-US"/>
              </w:rPr>
              <w:t>EFRR</w:t>
            </w:r>
          </w:p>
        </w:tc>
        <w:tc>
          <w:tcPr>
            <w:tcW w:w="879"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i/>
                <w:sz w:val="14"/>
                <w:szCs w:val="14"/>
              </w:rPr>
              <w:t>N/A</w:t>
            </w:r>
          </w:p>
        </w:tc>
        <w:tc>
          <w:tcPr>
            <w:tcW w:w="1194" w:type="dxa"/>
            <w:vAlign w:val="center"/>
          </w:tcPr>
          <w:p w:rsidR="0084414B" w:rsidRPr="004741E0" w:rsidRDefault="0084414B" w:rsidP="00197539">
            <w:pPr>
              <w:jc w:val="center"/>
              <w:rPr>
                <w:rFonts w:ascii="Arial Narrow" w:hAnsi="Arial Narrow"/>
                <w:b/>
                <w:bCs/>
                <w:color w:val="000000"/>
                <w:sz w:val="14"/>
                <w:szCs w:val="14"/>
              </w:rPr>
            </w:pPr>
            <w:r>
              <w:rPr>
                <w:rFonts w:ascii="Arial Narrow" w:hAnsi="Arial Narrow"/>
                <w:bCs/>
                <w:color w:val="000000"/>
                <w:sz w:val="14"/>
                <w:szCs w:val="14"/>
              </w:rPr>
              <w:t>Celkové oprávnené výdavky</w:t>
            </w:r>
          </w:p>
        </w:tc>
        <w:tc>
          <w:tcPr>
            <w:tcW w:w="1068" w:type="dxa"/>
            <w:vAlign w:val="center"/>
          </w:tcPr>
          <w:p w:rsidR="0084414B" w:rsidRPr="00001F01" w:rsidRDefault="0084414B" w:rsidP="00A46625">
            <w:pPr>
              <w:pStyle w:val="Style30"/>
              <w:widowControl/>
              <w:jc w:val="right"/>
              <w:rPr>
                <w:rFonts w:ascii="Arial Narrow" w:hAnsi="Arial Narrow"/>
                <w:sz w:val="14"/>
                <w:szCs w:val="14"/>
              </w:rPr>
            </w:pPr>
            <w:r w:rsidRPr="00001F01">
              <w:rPr>
                <w:rFonts w:ascii="Arial Narrow" w:hAnsi="Arial Narrow"/>
                <w:sz w:val="14"/>
                <w:szCs w:val="14"/>
              </w:rPr>
              <w:t>85 000 000</w:t>
            </w:r>
          </w:p>
        </w:tc>
        <w:tc>
          <w:tcPr>
            <w:tcW w:w="1057"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15 000 000</w:t>
            </w:r>
          </w:p>
        </w:tc>
        <w:tc>
          <w:tcPr>
            <w:tcW w:w="965"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15 000 000</w:t>
            </w:r>
          </w:p>
        </w:tc>
        <w:tc>
          <w:tcPr>
            <w:tcW w:w="980" w:type="dxa"/>
            <w:vAlign w:val="center"/>
          </w:tcPr>
          <w:p w:rsidR="0084414B" w:rsidRPr="00001F01" w:rsidRDefault="0084414B" w:rsidP="00A46625">
            <w:pPr>
              <w:pStyle w:val="Style30"/>
              <w:widowControl/>
              <w:jc w:val="right"/>
              <w:rPr>
                <w:rFonts w:ascii="Arial Narrow" w:hAnsi="Arial Narrow"/>
                <w:sz w:val="14"/>
                <w:szCs w:val="14"/>
              </w:rPr>
            </w:pPr>
            <w:r>
              <w:rPr>
                <w:rFonts w:ascii="Arial Narrow" w:hAnsi="Arial Narrow"/>
                <w:sz w:val="14"/>
                <w:szCs w:val="14"/>
              </w:rPr>
              <w:t>0</w:t>
            </w:r>
          </w:p>
        </w:tc>
        <w:tc>
          <w:tcPr>
            <w:tcW w:w="1148" w:type="dxa"/>
            <w:vAlign w:val="center"/>
          </w:tcPr>
          <w:p w:rsidR="0084414B" w:rsidRPr="00001F01" w:rsidRDefault="0084414B" w:rsidP="00A46625">
            <w:pPr>
              <w:jc w:val="right"/>
              <w:rPr>
                <w:rFonts w:ascii="Arial Narrow" w:hAnsi="Arial Narrow"/>
                <w:b/>
                <w:bCs/>
                <w:color w:val="000000"/>
                <w:sz w:val="14"/>
                <w:szCs w:val="14"/>
              </w:rPr>
            </w:pPr>
            <w:r w:rsidRPr="00001F01">
              <w:rPr>
                <w:rFonts w:ascii="Arial Narrow" w:hAnsi="Arial Narrow"/>
                <w:b/>
                <w:bCs/>
                <w:color w:val="000000"/>
                <w:sz w:val="14"/>
                <w:szCs w:val="14"/>
              </w:rPr>
              <w:t>100 000 000</w:t>
            </w:r>
          </w:p>
        </w:tc>
        <w:tc>
          <w:tcPr>
            <w:tcW w:w="728" w:type="dxa"/>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 xml:space="preserve">85,0 </w:t>
            </w:r>
            <w:r w:rsidRPr="00001F01">
              <w:rPr>
                <w:rFonts w:ascii="Arial Narrow" w:hAnsi="Arial Narrow"/>
                <w:sz w:val="14"/>
                <w:szCs w:val="14"/>
                <w:lang w:val="en-US"/>
              </w:rPr>
              <w:t>%</w:t>
            </w:r>
          </w:p>
        </w:tc>
        <w:tc>
          <w:tcPr>
            <w:tcW w:w="784" w:type="dxa"/>
            <w:vAlign w:val="center"/>
          </w:tcPr>
          <w:p w:rsidR="0084414B" w:rsidRPr="00001F01" w:rsidRDefault="0084414B" w:rsidP="00A46625">
            <w:pPr>
              <w:pStyle w:val="Style30"/>
              <w:widowControl/>
              <w:jc w:val="center"/>
              <w:rPr>
                <w:rFonts w:ascii="Arial Narrow" w:hAnsi="Arial Narrow"/>
                <w:sz w:val="14"/>
                <w:szCs w:val="14"/>
              </w:rPr>
            </w:pPr>
          </w:p>
        </w:tc>
        <w:tc>
          <w:tcPr>
            <w:tcW w:w="1080" w:type="dxa"/>
            <w:vAlign w:val="center"/>
          </w:tcPr>
          <w:p w:rsidR="0084414B" w:rsidRPr="00001F01" w:rsidRDefault="0084414B" w:rsidP="00A46625">
            <w:pPr>
              <w:jc w:val="right"/>
              <w:rPr>
                <w:rFonts w:ascii="Arial Narrow" w:hAnsi="Arial Narrow"/>
                <w:color w:val="000000"/>
                <w:sz w:val="14"/>
                <w:szCs w:val="14"/>
              </w:rPr>
            </w:pPr>
            <w:r>
              <w:rPr>
                <w:rFonts w:ascii="Arial Narrow" w:hAnsi="Arial Narrow"/>
                <w:color w:val="000000"/>
                <w:sz w:val="14"/>
                <w:szCs w:val="14"/>
              </w:rPr>
              <w:t>85 000 000</w:t>
            </w:r>
          </w:p>
        </w:tc>
        <w:tc>
          <w:tcPr>
            <w:tcW w:w="1023" w:type="dxa"/>
            <w:vAlign w:val="center"/>
          </w:tcPr>
          <w:p w:rsidR="0084414B" w:rsidRPr="00001F01" w:rsidRDefault="0084414B" w:rsidP="00A46625">
            <w:pPr>
              <w:jc w:val="right"/>
              <w:rPr>
                <w:rFonts w:ascii="Arial Narrow" w:hAnsi="Arial Narrow"/>
                <w:color w:val="000000"/>
                <w:sz w:val="14"/>
                <w:szCs w:val="14"/>
              </w:rPr>
            </w:pPr>
            <w:r>
              <w:rPr>
                <w:rFonts w:ascii="Arial Narrow" w:hAnsi="Arial Narrow"/>
                <w:color w:val="000000"/>
                <w:sz w:val="14"/>
                <w:szCs w:val="14"/>
              </w:rPr>
              <w:t>15 000 000</w:t>
            </w:r>
          </w:p>
        </w:tc>
        <w:tc>
          <w:tcPr>
            <w:tcW w:w="992" w:type="dxa"/>
            <w:vAlign w:val="center"/>
          </w:tcPr>
          <w:p w:rsidR="0084414B" w:rsidRPr="00001F01" w:rsidRDefault="0084414B" w:rsidP="00A46625">
            <w:pPr>
              <w:jc w:val="right"/>
              <w:rPr>
                <w:rFonts w:ascii="Arial Narrow" w:hAnsi="Arial Narrow"/>
                <w:color w:val="000000"/>
                <w:sz w:val="14"/>
                <w:szCs w:val="14"/>
              </w:rPr>
            </w:pPr>
            <w:r>
              <w:rPr>
                <w:rFonts w:ascii="Arial Narrow" w:hAnsi="Arial Narrow"/>
                <w:color w:val="000000"/>
                <w:sz w:val="14"/>
                <w:szCs w:val="14"/>
              </w:rPr>
              <w:t>0</w:t>
            </w:r>
          </w:p>
        </w:tc>
        <w:tc>
          <w:tcPr>
            <w:tcW w:w="952" w:type="dxa"/>
            <w:vAlign w:val="center"/>
          </w:tcPr>
          <w:p w:rsidR="0084414B" w:rsidRPr="00001F01" w:rsidRDefault="0084414B" w:rsidP="00A46625">
            <w:pPr>
              <w:jc w:val="right"/>
              <w:rPr>
                <w:rFonts w:ascii="Arial Narrow" w:hAnsi="Arial Narrow"/>
                <w:color w:val="000000"/>
                <w:sz w:val="14"/>
                <w:szCs w:val="14"/>
              </w:rPr>
            </w:pPr>
            <w:r w:rsidRPr="00001F01">
              <w:rPr>
                <w:rFonts w:ascii="Arial Narrow" w:hAnsi="Arial Narrow"/>
                <w:color w:val="000000"/>
                <w:sz w:val="14"/>
                <w:szCs w:val="14"/>
              </w:rPr>
              <w:t>0</w:t>
            </w:r>
          </w:p>
        </w:tc>
        <w:tc>
          <w:tcPr>
            <w:tcW w:w="993" w:type="dxa"/>
            <w:vAlign w:val="center"/>
          </w:tcPr>
          <w:p w:rsidR="0084414B" w:rsidRPr="00001F01" w:rsidRDefault="0084414B" w:rsidP="00A46625">
            <w:pPr>
              <w:pStyle w:val="Style30"/>
              <w:widowControl/>
              <w:jc w:val="center"/>
              <w:rPr>
                <w:rFonts w:ascii="Arial Narrow" w:hAnsi="Arial Narrow"/>
                <w:sz w:val="14"/>
                <w:szCs w:val="14"/>
              </w:rPr>
            </w:pPr>
            <w:r>
              <w:rPr>
                <w:rFonts w:ascii="Arial Narrow" w:hAnsi="Arial Narrow"/>
                <w:sz w:val="14"/>
                <w:szCs w:val="14"/>
              </w:rPr>
              <w:t>-</w:t>
            </w:r>
          </w:p>
        </w:tc>
      </w:tr>
      <w:tr w:rsidR="0084414B" w:rsidRPr="00001F01" w:rsidTr="00A46625">
        <w:trPr>
          <w:trHeight w:val="339"/>
        </w:trPr>
        <w:tc>
          <w:tcPr>
            <w:tcW w:w="704" w:type="dxa"/>
            <w:shd w:val="clear" w:color="auto" w:fill="F2F2F2" w:themeFill="background1" w:themeFillShade="F2"/>
            <w:vAlign w:val="center"/>
          </w:tcPr>
          <w:p w:rsidR="0084414B" w:rsidRPr="00001F01" w:rsidRDefault="0084414B" w:rsidP="00A46625">
            <w:pPr>
              <w:pStyle w:val="Style68"/>
              <w:widowControl/>
              <w:jc w:val="left"/>
              <w:rPr>
                <w:rStyle w:val="FontStyle88"/>
                <w:rFonts w:ascii="Arial Narrow" w:hAnsi="Arial Narrow"/>
                <w:lang w:eastAsia="en-US"/>
              </w:rPr>
            </w:pPr>
            <w:r w:rsidRPr="00001F01">
              <w:rPr>
                <w:rStyle w:val="FontStyle88"/>
                <w:rFonts w:ascii="Arial Narrow" w:hAnsi="Arial Narrow"/>
                <w:lang w:eastAsia="en-US"/>
              </w:rPr>
              <w:t>Spolu</w:t>
            </w:r>
          </w:p>
        </w:tc>
        <w:tc>
          <w:tcPr>
            <w:tcW w:w="530" w:type="dxa"/>
            <w:shd w:val="clear" w:color="auto" w:fill="F2F2F2" w:themeFill="background1" w:themeFillShade="F2"/>
            <w:vAlign w:val="center"/>
          </w:tcPr>
          <w:p w:rsidR="0084414B" w:rsidRPr="00001F01" w:rsidRDefault="0084414B" w:rsidP="00A46625">
            <w:pPr>
              <w:pStyle w:val="Style68"/>
              <w:widowControl/>
              <w:jc w:val="center"/>
              <w:rPr>
                <w:rStyle w:val="FontStyle88"/>
                <w:rFonts w:ascii="Arial Narrow" w:hAnsi="Arial Narrow"/>
                <w:lang w:eastAsia="en-US"/>
              </w:rPr>
            </w:pPr>
            <w:r w:rsidRPr="00001F01">
              <w:rPr>
                <w:rStyle w:val="FontStyle88"/>
                <w:rFonts w:ascii="Arial Narrow" w:hAnsi="Arial Narrow"/>
                <w:lang w:eastAsia="en-US"/>
              </w:rPr>
              <w:t>KF</w:t>
            </w:r>
          </w:p>
        </w:tc>
        <w:tc>
          <w:tcPr>
            <w:tcW w:w="879" w:type="dxa"/>
            <w:shd w:val="clear" w:color="auto" w:fill="F2F2F2" w:themeFill="background1" w:themeFillShade="F2"/>
            <w:vAlign w:val="center"/>
          </w:tcPr>
          <w:p w:rsidR="0084414B" w:rsidRPr="00001F01" w:rsidRDefault="0084414B" w:rsidP="00A46625">
            <w:pPr>
              <w:pStyle w:val="Style68"/>
              <w:widowControl/>
              <w:jc w:val="center"/>
              <w:rPr>
                <w:rStyle w:val="FontStyle88"/>
                <w:rFonts w:ascii="Arial Narrow" w:hAnsi="Arial Narrow"/>
                <w:lang w:eastAsia="en-US"/>
              </w:rPr>
            </w:pPr>
            <w:r w:rsidRPr="00001F01">
              <w:rPr>
                <w:rFonts w:ascii="Arial Narrow" w:hAnsi="Arial Narrow"/>
                <w:i/>
                <w:sz w:val="14"/>
                <w:szCs w:val="14"/>
              </w:rPr>
              <w:t>N/A</w:t>
            </w:r>
          </w:p>
        </w:tc>
        <w:tc>
          <w:tcPr>
            <w:tcW w:w="1194"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b/>
                <w:sz w:val="14"/>
                <w:szCs w:val="14"/>
              </w:rPr>
            </w:pPr>
          </w:p>
        </w:tc>
        <w:tc>
          <w:tcPr>
            <w:tcW w:w="1068" w:type="dxa"/>
            <w:shd w:val="clear" w:color="auto" w:fill="F2F2F2" w:themeFill="background1" w:themeFillShade="F2"/>
            <w:vAlign w:val="center"/>
          </w:tcPr>
          <w:p w:rsidR="0084414B" w:rsidRPr="00001F01" w:rsidRDefault="0084414B" w:rsidP="00A46625">
            <w:pPr>
              <w:pStyle w:val="Style68"/>
              <w:widowControl/>
              <w:spacing w:line="187" w:lineRule="exact"/>
              <w:ind w:firstLine="5"/>
              <w:jc w:val="right"/>
              <w:rPr>
                <w:rStyle w:val="FontStyle88"/>
                <w:rFonts w:ascii="Arial Narrow" w:hAnsi="Arial Narrow"/>
                <w:b/>
                <w:lang w:eastAsia="en-US"/>
              </w:rPr>
            </w:pPr>
            <w:r w:rsidRPr="00001F01">
              <w:rPr>
                <w:rStyle w:val="FontStyle88"/>
                <w:rFonts w:ascii="Arial Narrow" w:hAnsi="Arial Narrow"/>
                <w:b/>
                <w:lang w:eastAsia="en-US"/>
              </w:rPr>
              <w:t>2 307 139 166</w:t>
            </w:r>
          </w:p>
        </w:tc>
        <w:tc>
          <w:tcPr>
            <w:tcW w:w="1057"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407 142 20</w:t>
            </w:r>
            <w:r>
              <w:rPr>
                <w:rFonts w:ascii="Arial Narrow" w:hAnsi="Arial Narrow"/>
                <w:b/>
                <w:sz w:val="14"/>
                <w:szCs w:val="14"/>
              </w:rPr>
              <w:t>8</w:t>
            </w:r>
          </w:p>
        </w:tc>
        <w:tc>
          <w:tcPr>
            <w:tcW w:w="965"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Pr>
                <w:rFonts w:ascii="Arial Narrow" w:hAnsi="Arial Narrow"/>
                <w:b/>
                <w:sz w:val="14"/>
                <w:szCs w:val="14"/>
              </w:rPr>
              <w:t>375 068 679</w:t>
            </w:r>
          </w:p>
        </w:tc>
        <w:tc>
          <w:tcPr>
            <w:tcW w:w="980"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Pr>
                <w:rFonts w:ascii="Arial Narrow" w:hAnsi="Arial Narrow"/>
                <w:b/>
                <w:sz w:val="14"/>
                <w:szCs w:val="14"/>
              </w:rPr>
              <w:t>32 073 529</w:t>
            </w:r>
          </w:p>
        </w:tc>
        <w:tc>
          <w:tcPr>
            <w:tcW w:w="1148"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2 714 281 37</w:t>
            </w:r>
            <w:r>
              <w:rPr>
                <w:rFonts w:ascii="Arial Narrow" w:hAnsi="Arial Narrow"/>
                <w:b/>
                <w:sz w:val="14"/>
                <w:szCs w:val="14"/>
              </w:rPr>
              <w:t>4</w:t>
            </w:r>
          </w:p>
        </w:tc>
        <w:tc>
          <w:tcPr>
            <w:tcW w:w="728"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b/>
                <w:sz w:val="14"/>
                <w:szCs w:val="14"/>
              </w:rPr>
            </w:pPr>
            <w:r w:rsidRPr="00001F01">
              <w:rPr>
                <w:rFonts w:ascii="Arial Narrow" w:hAnsi="Arial Narrow"/>
                <w:sz w:val="14"/>
                <w:szCs w:val="14"/>
              </w:rPr>
              <w:t xml:space="preserve">85,0 </w:t>
            </w:r>
            <w:r w:rsidRPr="00001F01">
              <w:rPr>
                <w:rFonts w:ascii="Arial Narrow" w:hAnsi="Arial Narrow"/>
                <w:sz w:val="14"/>
                <w:szCs w:val="14"/>
                <w:lang w:val="en-US"/>
              </w:rPr>
              <w:t>%</w:t>
            </w:r>
          </w:p>
        </w:tc>
        <w:tc>
          <w:tcPr>
            <w:tcW w:w="784"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b/>
                <w:sz w:val="14"/>
                <w:szCs w:val="14"/>
              </w:rPr>
            </w:pPr>
          </w:p>
        </w:tc>
        <w:tc>
          <w:tcPr>
            <w:tcW w:w="1080"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sidRPr="00001F01">
              <w:rPr>
                <w:rFonts w:ascii="Arial Narrow" w:hAnsi="Arial Narrow"/>
                <w:b/>
                <w:bCs/>
                <w:color w:val="000000"/>
                <w:sz w:val="14"/>
                <w:szCs w:val="14"/>
              </w:rPr>
              <w:t>2 168 710 816</w:t>
            </w:r>
          </w:p>
        </w:tc>
        <w:tc>
          <w:tcPr>
            <w:tcW w:w="1023"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sidRPr="00001F01">
              <w:rPr>
                <w:rFonts w:ascii="Arial Narrow" w:hAnsi="Arial Narrow"/>
                <w:b/>
                <w:bCs/>
                <w:color w:val="000000"/>
                <w:sz w:val="14"/>
                <w:szCs w:val="14"/>
              </w:rPr>
              <w:t>382 713 67</w:t>
            </w:r>
            <w:r>
              <w:rPr>
                <w:rFonts w:ascii="Arial Narrow" w:hAnsi="Arial Narrow"/>
                <w:b/>
                <w:bCs/>
                <w:color w:val="000000"/>
                <w:sz w:val="14"/>
                <w:szCs w:val="14"/>
              </w:rPr>
              <w:t>5</w:t>
            </w:r>
          </w:p>
        </w:tc>
        <w:tc>
          <w:tcPr>
            <w:tcW w:w="992"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sidRPr="00001F01">
              <w:rPr>
                <w:rFonts w:ascii="Arial Narrow" w:hAnsi="Arial Narrow"/>
                <w:b/>
                <w:bCs/>
                <w:color w:val="000000"/>
                <w:sz w:val="14"/>
                <w:szCs w:val="14"/>
              </w:rPr>
              <w:t>138 428 350</w:t>
            </w:r>
          </w:p>
        </w:tc>
        <w:tc>
          <w:tcPr>
            <w:tcW w:w="952"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sidRPr="00001F01">
              <w:rPr>
                <w:rFonts w:ascii="Arial Narrow" w:hAnsi="Arial Narrow"/>
                <w:b/>
                <w:bCs/>
                <w:color w:val="000000"/>
                <w:sz w:val="14"/>
                <w:szCs w:val="14"/>
              </w:rPr>
              <w:t>24 428 53</w:t>
            </w:r>
            <w:r>
              <w:rPr>
                <w:rFonts w:ascii="Arial Narrow" w:hAnsi="Arial Narrow"/>
                <w:b/>
                <w:bCs/>
                <w:color w:val="000000"/>
                <w:sz w:val="14"/>
                <w:szCs w:val="14"/>
              </w:rPr>
              <w:t>3</w:t>
            </w:r>
          </w:p>
        </w:tc>
        <w:tc>
          <w:tcPr>
            <w:tcW w:w="993" w:type="dxa"/>
            <w:shd w:val="clear" w:color="auto" w:fill="F2F2F2" w:themeFill="background1" w:themeFillShade="F2"/>
            <w:vAlign w:val="center"/>
          </w:tcPr>
          <w:p w:rsidR="0084414B" w:rsidRPr="00A166F8" w:rsidRDefault="00A166F8" w:rsidP="00A46625">
            <w:pPr>
              <w:pStyle w:val="Style30"/>
              <w:widowControl/>
              <w:jc w:val="center"/>
              <w:rPr>
                <w:rFonts w:ascii="Arial Narrow" w:hAnsi="Arial Narrow"/>
                <w:b/>
                <w:sz w:val="14"/>
                <w:szCs w:val="14"/>
              </w:rPr>
            </w:pPr>
            <w:r w:rsidRPr="00A166F8">
              <w:rPr>
                <w:rFonts w:ascii="Arial Narrow" w:hAnsi="Arial Narrow"/>
                <w:b/>
                <w:sz w:val="14"/>
                <w:szCs w:val="14"/>
              </w:rPr>
              <w:t xml:space="preserve">6 </w:t>
            </w:r>
            <w:r w:rsidRPr="00A166F8">
              <w:rPr>
                <w:rFonts w:ascii="Arial Narrow" w:hAnsi="Arial Narrow"/>
                <w:b/>
                <w:sz w:val="14"/>
                <w:szCs w:val="14"/>
                <w:lang w:val="en-US"/>
              </w:rPr>
              <w:t>%</w:t>
            </w:r>
          </w:p>
        </w:tc>
      </w:tr>
      <w:tr w:rsidR="0084414B" w:rsidRPr="00001F01" w:rsidTr="00A46625">
        <w:trPr>
          <w:trHeight w:val="339"/>
        </w:trPr>
        <w:tc>
          <w:tcPr>
            <w:tcW w:w="704" w:type="dxa"/>
            <w:shd w:val="clear" w:color="auto" w:fill="F2F2F2" w:themeFill="background1" w:themeFillShade="F2"/>
            <w:vAlign w:val="center"/>
          </w:tcPr>
          <w:p w:rsidR="0084414B" w:rsidRPr="00001F01" w:rsidRDefault="0084414B" w:rsidP="00A46625">
            <w:pPr>
              <w:pStyle w:val="Style68"/>
              <w:widowControl/>
              <w:jc w:val="left"/>
              <w:rPr>
                <w:rStyle w:val="FontStyle88"/>
                <w:rFonts w:ascii="Arial Narrow" w:hAnsi="Arial Narrow"/>
                <w:lang w:eastAsia="en-US"/>
              </w:rPr>
            </w:pPr>
            <w:r w:rsidRPr="00001F01">
              <w:rPr>
                <w:rStyle w:val="FontStyle88"/>
                <w:rFonts w:ascii="Arial Narrow" w:hAnsi="Arial Narrow"/>
                <w:lang w:eastAsia="en-US"/>
              </w:rPr>
              <w:t>Spolu</w:t>
            </w:r>
          </w:p>
        </w:tc>
        <w:tc>
          <w:tcPr>
            <w:tcW w:w="530" w:type="dxa"/>
            <w:shd w:val="clear" w:color="auto" w:fill="F2F2F2" w:themeFill="background1" w:themeFillShade="F2"/>
            <w:vAlign w:val="center"/>
          </w:tcPr>
          <w:p w:rsidR="0084414B" w:rsidRPr="00001F01" w:rsidRDefault="0084414B" w:rsidP="00A46625">
            <w:pPr>
              <w:pStyle w:val="Style68"/>
              <w:widowControl/>
              <w:jc w:val="center"/>
              <w:rPr>
                <w:rStyle w:val="FontStyle88"/>
                <w:rFonts w:ascii="Arial Narrow" w:hAnsi="Arial Narrow"/>
                <w:lang w:eastAsia="en-US"/>
              </w:rPr>
            </w:pPr>
            <w:r w:rsidRPr="00001F01">
              <w:rPr>
                <w:rStyle w:val="FontStyle88"/>
                <w:rFonts w:ascii="Arial Narrow" w:hAnsi="Arial Narrow"/>
                <w:lang w:eastAsia="en-US"/>
              </w:rPr>
              <w:t>EFRR</w:t>
            </w:r>
          </w:p>
        </w:tc>
        <w:tc>
          <w:tcPr>
            <w:tcW w:w="879" w:type="dxa"/>
            <w:shd w:val="clear" w:color="auto" w:fill="F2F2F2" w:themeFill="background1" w:themeFillShade="F2"/>
            <w:vAlign w:val="center"/>
          </w:tcPr>
          <w:p w:rsidR="0084414B" w:rsidRPr="00001F01" w:rsidRDefault="0084414B" w:rsidP="00A46625">
            <w:pPr>
              <w:pStyle w:val="Style68"/>
              <w:widowControl/>
              <w:jc w:val="center"/>
              <w:rPr>
                <w:rStyle w:val="FontStyle88"/>
                <w:rFonts w:ascii="Arial Narrow" w:hAnsi="Arial Narrow"/>
                <w:i/>
                <w:lang w:eastAsia="en-US"/>
              </w:rPr>
            </w:pPr>
            <w:r w:rsidRPr="00001F01">
              <w:rPr>
                <w:rStyle w:val="FontStyle88"/>
                <w:rFonts w:ascii="Arial Narrow" w:hAnsi="Arial Narrow"/>
                <w:i/>
                <w:lang w:eastAsia="en-US"/>
              </w:rPr>
              <w:t>Menej rozvinuté</w:t>
            </w:r>
          </w:p>
        </w:tc>
        <w:tc>
          <w:tcPr>
            <w:tcW w:w="1194"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sz w:val="14"/>
                <w:szCs w:val="14"/>
              </w:rPr>
            </w:pPr>
          </w:p>
        </w:tc>
        <w:tc>
          <w:tcPr>
            <w:tcW w:w="1068" w:type="dxa"/>
            <w:shd w:val="clear" w:color="auto" w:fill="F2F2F2" w:themeFill="background1" w:themeFillShade="F2"/>
            <w:vAlign w:val="center"/>
          </w:tcPr>
          <w:p w:rsidR="0084414B" w:rsidRPr="00001F01" w:rsidRDefault="0084414B" w:rsidP="00A46625">
            <w:pPr>
              <w:pStyle w:val="Style68"/>
              <w:widowControl/>
              <w:spacing w:line="187" w:lineRule="exact"/>
              <w:ind w:firstLine="5"/>
              <w:jc w:val="right"/>
              <w:rPr>
                <w:rStyle w:val="FontStyle88"/>
                <w:rFonts w:ascii="Arial Narrow" w:hAnsi="Arial Narrow"/>
                <w:b/>
                <w:lang w:eastAsia="en-US"/>
              </w:rPr>
            </w:pPr>
            <w:r w:rsidRPr="00001F01">
              <w:rPr>
                <w:rStyle w:val="FontStyle88"/>
                <w:rFonts w:ascii="Arial Narrow" w:hAnsi="Arial Narrow"/>
                <w:b/>
                <w:lang w:eastAsia="en-US"/>
              </w:rPr>
              <w:t>1 644 506 207</w:t>
            </w:r>
          </w:p>
        </w:tc>
        <w:tc>
          <w:tcPr>
            <w:tcW w:w="1057"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290 206 97</w:t>
            </w:r>
            <w:r>
              <w:rPr>
                <w:rFonts w:ascii="Arial Narrow" w:hAnsi="Arial Narrow"/>
                <w:b/>
                <w:sz w:val="14"/>
                <w:szCs w:val="14"/>
              </w:rPr>
              <w:t>9</w:t>
            </w:r>
          </w:p>
        </w:tc>
        <w:tc>
          <w:tcPr>
            <w:tcW w:w="965"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sz w:val="14"/>
                <w:szCs w:val="14"/>
              </w:rPr>
            </w:pPr>
            <w:r w:rsidRPr="00001F01">
              <w:rPr>
                <w:rFonts w:ascii="Arial Narrow" w:hAnsi="Arial Narrow"/>
                <w:b/>
                <w:sz w:val="14"/>
                <w:szCs w:val="14"/>
              </w:rPr>
              <w:t>290 206 97</w:t>
            </w:r>
            <w:r>
              <w:rPr>
                <w:rFonts w:ascii="Arial Narrow" w:hAnsi="Arial Narrow"/>
                <w:b/>
                <w:sz w:val="14"/>
                <w:szCs w:val="14"/>
              </w:rPr>
              <w:t>9</w:t>
            </w:r>
          </w:p>
        </w:tc>
        <w:tc>
          <w:tcPr>
            <w:tcW w:w="980" w:type="dxa"/>
            <w:shd w:val="clear" w:color="auto" w:fill="F2F2F2" w:themeFill="background1" w:themeFillShade="F2"/>
            <w:vAlign w:val="center"/>
          </w:tcPr>
          <w:p w:rsidR="0084414B" w:rsidRPr="00C469BD" w:rsidRDefault="0084414B" w:rsidP="00A46625">
            <w:pPr>
              <w:pStyle w:val="Style30"/>
              <w:widowControl/>
              <w:jc w:val="right"/>
              <w:rPr>
                <w:rFonts w:ascii="Arial Narrow" w:hAnsi="Arial Narrow"/>
                <w:b/>
                <w:sz w:val="14"/>
                <w:szCs w:val="14"/>
              </w:rPr>
            </w:pPr>
            <w:r w:rsidRPr="00C469BD">
              <w:rPr>
                <w:rFonts w:ascii="Arial Narrow" w:hAnsi="Arial Narrow"/>
                <w:b/>
                <w:sz w:val="14"/>
                <w:szCs w:val="14"/>
              </w:rPr>
              <w:t>0</w:t>
            </w:r>
          </w:p>
        </w:tc>
        <w:tc>
          <w:tcPr>
            <w:tcW w:w="1148"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1 934 713 18</w:t>
            </w:r>
            <w:r>
              <w:rPr>
                <w:rFonts w:ascii="Arial Narrow" w:hAnsi="Arial Narrow"/>
                <w:b/>
                <w:sz w:val="14"/>
                <w:szCs w:val="14"/>
              </w:rPr>
              <w:t>6</w:t>
            </w:r>
          </w:p>
        </w:tc>
        <w:tc>
          <w:tcPr>
            <w:tcW w:w="728"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 xml:space="preserve">85,0 </w:t>
            </w:r>
            <w:r w:rsidRPr="00001F01">
              <w:rPr>
                <w:rFonts w:ascii="Arial Narrow" w:hAnsi="Arial Narrow"/>
                <w:sz w:val="14"/>
                <w:szCs w:val="14"/>
                <w:lang w:val="en-US"/>
              </w:rPr>
              <w:t>%</w:t>
            </w:r>
          </w:p>
        </w:tc>
        <w:tc>
          <w:tcPr>
            <w:tcW w:w="784"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sz w:val="14"/>
                <w:szCs w:val="14"/>
              </w:rPr>
            </w:pPr>
          </w:p>
        </w:tc>
        <w:tc>
          <w:tcPr>
            <w:tcW w:w="1080" w:type="dxa"/>
            <w:shd w:val="clear" w:color="auto" w:fill="F2F2F2" w:themeFill="background1" w:themeFillShade="F2"/>
            <w:vAlign w:val="center"/>
          </w:tcPr>
          <w:p w:rsidR="0084414B" w:rsidRPr="00D75627" w:rsidRDefault="0084414B" w:rsidP="00A46625">
            <w:pPr>
              <w:jc w:val="right"/>
              <w:rPr>
                <w:rFonts w:ascii="Arial Narrow" w:hAnsi="Arial Narrow"/>
                <w:b/>
                <w:bCs/>
                <w:color w:val="000000"/>
                <w:sz w:val="14"/>
                <w:szCs w:val="14"/>
              </w:rPr>
            </w:pPr>
            <w:r w:rsidRPr="00D75627">
              <w:rPr>
                <w:rFonts w:ascii="Arial Narrow" w:hAnsi="Arial Narrow"/>
                <w:b/>
                <w:bCs/>
                <w:color w:val="000000"/>
                <w:sz w:val="14"/>
                <w:szCs w:val="14"/>
              </w:rPr>
              <w:t>1 538 263 35</w:t>
            </w:r>
            <w:r>
              <w:rPr>
                <w:rFonts w:ascii="Arial Narrow" w:hAnsi="Arial Narrow"/>
                <w:b/>
                <w:bCs/>
                <w:color w:val="000000"/>
                <w:sz w:val="14"/>
                <w:szCs w:val="14"/>
              </w:rPr>
              <w:t>2</w:t>
            </w:r>
          </w:p>
        </w:tc>
        <w:tc>
          <w:tcPr>
            <w:tcW w:w="1023" w:type="dxa"/>
            <w:shd w:val="clear" w:color="auto" w:fill="F2F2F2" w:themeFill="background1" w:themeFillShade="F2"/>
            <w:vAlign w:val="center"/>
          </w:tcPr>
          <w:p w:rsidR="0084414B" w:rsidRPr="00D75627" w:rsidRDefault="0084414B" w:rsidP="00A46625">
            <w:pPr>
              <w:jc w:val="right"/>
              <w:rPr>
                <w:rFonts w:ascii="Arial Narrow" w:hAnsi="Arial Narrow"/>
                <w:b/>
                <w:bCs/>
                <w:color w:val="000000"/>
                <w:sz w:val="14"/>
                <w:szCs w:val="14"/>
              </w:rPr>
            </w:pPr>
            <w:r w:rsidRPr="00D75627">
              <w:rPr>
                <w:rFonts w:ascii="Arial Narrow" w:hAnsi="Arial Narrow"/>
                <w:b/>
                <w:bCs/>
                <w:color w:val="000000"/>
                <w:sz w:val="14"/>
                <w:szCs w:val="14"/>
              </w:rPr>
              <w:t>271 458 2</w:t>
            </w:r>
            <w:r>
              <w:rPr>
                <w:rFonts w:ascii="Arial Narrow" w:hAnsi="Arial Narrow"/>
                <w:b/>
                <w:bCs/>
                <w:color w:val="000000"/>
                <w:sz w:val="14"/>
                <w:szCs w:val="14"/>
              </w:rPr>
              <w:t>40</w:t>
            </w:r>
          </w:p>
        </w:tc>
        <w:tc>
          <w:tcPr>
            <w:tcW w:w="992" w:type="dxa"/>
            <w:shd w:val="clear" w:color="auto" w:fill="F2F2F2" w:themeFill="background1" w:themeFillShade="F2"/>
            <w:vAlign w:val="center"/>
          </w:tcPr>
          <w:p w:rsidR="0084414B" w:rsidRPr="00D75627" w:rsidRDefault="0084414B" w:rsidP="00A46625">
            <w:pPr>
              <w:jc w:val="right"/>
              <w:rPr>
                <w:rFonts w:ascii="Arial Narrow" w:hAnsi="Arial Narrow"/>
                <w:b/>
                <w:bCs/>
                <w:color w:val="000000"/>
                <w:sz w:val="14"/>
                <w:szCs w:val="14"/>
              </w:rPr>
            </w:pPr>
            <w:r w:rsidRPr="00D75627">
              <w:rPr>
                <w:rFonts w:ascii="Arial Narrow" w:hAnsi="Arial Narrow"/>
                <w:b/>
                <w:bCs/>
                <w:color w:val="000000"/>
                <w:sz w:val="14"/>
                <w:szCs w:val="14"/>
              </w:rPr>
              <w:t>106 242 855</w:t>
            </w:r>
          </w:p>
        </w:tc>
        <w:tc>
          <w:tcPr>
            <w:tcW w:w="952" w:type="dxa"/>
            <w:shd w:val="clear" w:color="auto" w:fill="F2F2F2" w:themeFill="background1" w:themeFillShade="F2"/>
            <w:vAlign w:val="center"/>
          </w:tcPr>
          <w:p w:rsidR="0084414B" w:rsidRPr="00D75627" w:rsidRDefault="0084414B" w:rsidP="00A46625">
            <w:pPr>
              <w:jc w:val="right"/>
              <w:rPr>
                <w:rFonts w:ascii="Arial Narrow" w:hAnsi="Arial Narrow"/>
                <w:b/>
                <w:bCs/>
                <w:color w:val="000000"/>
                <w:sz w:val="14"/>
                <w:szCs w:val="14"/>
              </w:rPr>
            </w:pPr>
            <w:r w:rsidRPr="00D75627">
              <w:rPr>
                <w:rFonts w:ascii="Arial Narrow" w:hAnsi="Arial Narrow"/>
                <w:b/>
                <w:bCs/>
                <w:color w:val="000000"/>
                <w:sz w:val="14"/>
                <w:szCs w:val="14"/>
              </w:rPr>
              <w:t>18 748 739</w:t>
            </w:r>
          </w:p>
        </w:tc>
        <w:tc>
          <w:tcPr>
            <w:tcW w:w="993" w:type="dxa"/>
            <w:shd w:val="clear" w:color="auto" w:fill="F2F2F2" w:themeFill="background1" w:themeFillShade="F2"/>
            <w:vAlign w:val="center"/>
          </w:tcPr>
          <w:p w:rsidR="0084414B" w:rsidRPr="00A166F8" w:rsidRDefault="00A166F8" w:rsidP="00A46625">
            <w:pPr>
              <w:pStyle w:val="Style30"/>
              <w:widowControl/>
              <w:jc w:val="center"/>
              <w:rPr>
                <w:rFonts w:ascii="Arial Narrow" w:hAnsi="Arial Narrow"/>
                <w:b/>
                <w:sz w:val="14"/>
                <w:szCs w:val="14"/>
              </w:rPr>
            </w:pPr>
            <w:r w:rsidRPr="00A166F8">
              <w:rPr>
                <w:rFonts w:ascii="Arial Narrow" w:hAnsi="Arial Narrow"/>
                <w:b/>
                <w:sz w:val="14"/>
                <w:szCs w:val="14"/>
              </w:rPr>
              <w:t xml:space="preserve">6,46 </w:t>
            </w:r>
            <w:r w:rsidRPr="00A166F8">
              <w:rPr>
                <w:rFonts w:ascii="Arial Narrow" w:hAnsi="Arial Narrow"/>
                <w:b/>
                <w:sz w:val="14"/>
                <w:szCs w:val="14"/>
                <w:lang w:val="en-US"/>
              </w:rPr>
              <w:t>%</w:t>
            </w:r>
          </w:p>
        </w:tc>
      </w:tr>
      <w:tr w:rsidR="0084414B" w:rsidRPr="00001F01" w:rsidTr="00A46625">
        <w:trPr>
          <w:trHeight w:val="339"/>
        </w:trPr>
        <w:tc>
          <w:tcPr>
            <w:tcW w:w="704" w:type="dxa"/>
            <w:shd w:val="clear" w:color="auto" w:fill="F2F2F2" w:themeFill="background1" w:themeFillShade="F2"/>
            <w:vAlign w:val="center"/>
          </w:tcPr>
          <w:p w:rsidR="0084414B" w:rsidRPr="00001F01" w:rsidRDefault="0084414B" w:rsidP="00A46625">
            <w:pPr>
              <w:pStyle w:val="Style68"/>
              <w:widowControl/>
              <w:jc w:val="left"/>
              <w:rPr>
                <w:rStyle w:val="FontStyle88"/>
                <w:rFonts w:ascii="Arial Narrow" w:hAnsi="Arial Narrow"/>
                <w:lang w:eastAsia="en-US"/>
              </w:rPr>
            </w:pPr>
            <w:r w:rsidRPr="00001F01">
              <w:rPr>
                <w:rStyle w:val="FontStyle88"/>
                <w:rFonts w:ascii="Arial Narrow" w:hAnsi="Arial Narrow"/>
                <w:lang w:eastAsia="en-US"/>
              </w:rPr>
              <w:t>Spolu</w:t>
            </w:r>
          </w:p>
        </w:tc>
        <w:tc>
          <w:tcPr>
            <w:tcW w:w="530" w:type="dxa"/>
            <w:shd w:val="clear" w:color="auto" w:fill="F2F2F2" w:themeFill="background1" w:themeFillShade="F2"/>
            <w:vAlign w:val="center"/>
          </w:tcPr>
          <w:p w:rsidR="0084414B" w:rsidRPr="00001F01" w:rsidRDefault="0084414B" w:rsidP="00A46625">
            <w:pPr>
              <w:pStyle w:val="Style68"/>
              <w:widowControl/>
              <w:jc w:val="center"/>
              <w:rPr>
                <w:rStyle w:val="FontStyle88"/>
                <w:rFonts w:ascii="Arial Narrow" w:hAnsi="Arial Narrow"/>
                <w:lang w:eastAsia="en-US"/>
              </w:rPr>
            </w:pPr>
            <w:r w:rsidRPr="00001F01">
              <w:rPr>
                <w:rStyle w:val="FontStyle88"/>
                <w:rFonts w:ascii="Arial Narrow" w:hAnsi="Arial Narrow"/>
                <w:lang w:eastAsia="en-US"/>
              </w:rPr>
              <w:t>EFRR</w:t>
            </w:r>
          </w:p>
        </w:tc>
        <w:tc>
          <w:tcPr>
            <w:tcW w:w="879" w:type="dxa"/>
            <w:shd w:val="clear" w:color="auto" w:fill="F2F2F2" w:themeFill="background1" w:themeFillShade="F2"/>
            <w:vAlign w:val="center"/>
          </w:tcPr>
          <w:p w:rsidR="0084414B" w:rsidRPr="00001F01" w:rsidRDefault="0084414B" w:rsidP="00A46625">
            <w:pPr>
              <w:pStyle w:val="Style68"/>
              <w:widowControl/>
              <w:jc w:val="center"/>
              <w:rPr>
                <w:rStyle w:val="FontStyle88"/>
                <w:rFonts w:ascii="Arial Narrow" w:hAnsi="Arial Narrow"/>
                <w:i/>
                <w:lang w:eastAsia="en-US"/>
              </w:rPr>
            </w:pPr>
            <w:r w:rsidRPr="00001F01">
              <w:rPr>
                <w:rStyle w:val="FontStyle88"/>
                <w:rFonts w:ascii="Arial Narrow" w:hAnsi="Arial Narrow"/>
                <w:i/>
                <w:lang w:eastAsia="en-US"/>
              </w:rPr>
              <w:t>Prechodné</w:t>
            </w:r>
          </w:p>
        </w:tc>
        <w:tc>
          <w:tcPr>
            <w:tcW w:w="1194"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b/>
                <w:sz w:val="14"/>
                <w:szCs w:val="14"/>
              </w:rPr>
            </w:pPr>
          </w:p>
        </w:tc>
        <w:tc>
          <w:tcPr>
            <w:tcW w:w="1068" w:type="dxa"/>
            <w:shd w:val="clear" w:color="auto" w:fill="F2F2F2" w:themeFill="background1" w:themeFillShade="F2"/>
            <w:vAlign w:val="center"/>
          </w:tcPr>
          <w:p w:rsidR="0084414B" w:rsidRPr="00001F01" w:rsidRDefault="0084414B" w:rsidP="00A46625">
            <w:pPr>
              <w:pStyle w:val="Style68"/>
              <w:widowControl/>
              <w:spacing w:line="187" w:lineRule="exact"/>
              <w:ind w:firstLine="5"/>
              <w:jc w:val="right"/>
              <w:rPr>
                <w:rStyle w:val="FontStyle88"/>
                <w:rFonts w:ascii="Arial Narrow" w:hAnsi="Arial Narrow"/>
                <w:b/>
                <w:lang w:eastAsia="en-US"/>
              </w:rPr>
            </w:pPr>
            <w:r w:rsidRPr="00001F01">
              <w:rPr>
                <w:rStyle w:val="FontStyle88"/>
                <w:rFonts w:ascii="Arial Narrow" w:hAnsi="Arial Narrow"/>
                <w:b/>
                <w:lang w:eastAsia="en-US"/>
              </w:rPr>
              <w:t>0</w:t>
            </w:r>
          </w:p>
        </w:tc>
        <w:tc>
          <w:tcPr>
            <w:tcW w:w="1057"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0</w:t>
            </w:r>
          </w:p>
        </w:tc>
        <w:tc>
          <w:tcPr>
            <w:tcW w:w="965"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0</w:t>
            </w:r>
          </w:p>
        </w:tc>
        <w:tc>
          <w:tcPr>
            <w:tcW w:w="980"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Pr>
                <w:rFonts w:ascii="Arial Narrow" w:hAnsi="Arial Narrow"/>
                <w:b/>
                <w:sz w:val="14"/>
                <w:szCs w:val="14"/>
              </w:rPr>
              <w:t>0</w:t>
            </w:r>
          </w:p>
        </w:tc>
        <w:tc>
          <w:tcPr>
            <w:tcW w:w="1148"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0</w:t>
            </w:r>
          </w:p>
        </w:tc>
        <w:tc>
          <w:tcPr>
            <w:tcW w:w="728"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sz w:val="14"/>
                <w:szCs w:val="14"/>
              </w:rPr>
            </w:pPr>
          </w:p>
        </w:tc>
        <w:tc>
          <w:tcPr>
            <w:tcW w:w="784"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sz w:val="14"/>
                <w:szCs w:val="14"/>
              </w:rPr>
            </w:pPr>
          </w:p>
        </w:tc>
        <w:tc>
          <w:tcPr>
            <w:tcW w:w="1080"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Pr>
                <w:rFonts w:ascii="Arial Narrow" w:hAnsi="Arial Narrow"/>
                <w:b/>
                <w:bCs/>
                <w:color w:val="000000"/>
                <w:sz w:val="14"/>
                <w:szCs w:val="14"/>
              </w:rPr>
              <w:t xml:space="preserve">0 </w:t>
            </w:r>
          </w:p>
        </w:tc>
        <w:tc>
          <w:tcPr>
            <w:tcW w:w="1023"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Pr>
                <w:rFonts w:ascii="Arial Narrow" w:hAnsi="Arial Narrow"/>
                <w:b/>
                <w:bCs/>
                <w:color w:val="000000"/>
                <w:sz w:val="14"/>
                <w:szCs w:val="14"/>
              </w:rPr>
              <w:t>0</w:t>
            </w:r>
          </w:p>
        </w:tc>
        <w:tc>
          <w:tcPr>
            <w:tcW w:w="992"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Pr>
                <w:rFonts w:ascii="Arial Narrow" w:hAnsi="Arial Narrow"/>
                <w:b/>
                <w:bCs/>
                <w:color w:val="000000"/>
                <w:sz w:val="14"/>
                <w:szCs w:val="14"/>
              </w:rPr>
              <w:t>0</w:t>
            </w:r>
          </w:p>
        </w:tc>
        <w:tc>
          <w:tcPr>
            <w:tcW w:w="952"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Pr>
                <w:rFonts w:ascii="Arial Narrow" w:hAnsi="Arial Narrow"/>
                <w:b/>
                <w:bCs/>
                <w:color w:val="000000"/>
                <w:sz w:val="14"/>
                <w:szCs w:val="14"/>
              </w:rPr>
              <w:t>0</w:t>
            </w:r>
          </w:p>
        </w:tc>
        <w:tc>
          <w:tcPr>
            <w:tcW w:w="993" w:type="dxa"/>
            <w:shd w:val="clear" w:color="auto" w:fill="F2F2F2" w:themeFill="background1" w:themeFillShade="F2"/>
            <w:vAlign w:val="center"/>
          </w:tcPr>
          <w:p w:rsidR="0084414B" w:rsidRPr="00001F01" w:rsidRDefault="00A166F8" w:rsidP="00A46625">
            <w:pPr>
              <w:pStyle w:val="Style30"/>
              <w:widowControl/>
              <w:jc w:val="center"/>
              <w:rPr>
                <w:rFonts w:ascii="Arial Narrow" w:hAnsi="Arial Narrow"/>
                <w:sz w:val="14"/>
                <w:szCs w:val="14"/>
              </w:rPr>
            </w:pPr>
            <w:r>
              <w:rPr>
                <w:rFonts w:ascii="Arial Narrow" w:hAnsi="Arial Narrow"/>
                <w:sz w:val="14"/>
                <w:szCs w:val="14"/>
              </w:rPr>
              <w:t>-</w:t>
            </w:r>
          </w:p>
        </w:tc>
      </w:tr>
      <w:tr w:rsidR="0084414B" w:rsidRPr="00001F01" w:rsidTr="00A46625">
        <w:trPr>
          <w:trHeight w:val="339"/>
        </w:trPr>
        <w:tc>
          <w:tcPr>
            <w:tcW w:w="704" w:type="dxa"/>
            <w:shd w:val="clear" w:color="auto" w:fill="F2F2F2" w:themeFill="background1" w:themeFillShade="F2"/>
            <w:vAlign w:val="center"/>
          </w:tcPr>
          <w:p w:rsidR="0084414B" w:rsidRPr="00001F01" w:rsidRDefault="0084414B" w:rsidP="00A46625">
            <w:pPr>
              <w:pStyle w:val="Style68"/>
              <w:widowControl/>
              <w:jc w:val="left"/>
              <w:rPr>
                <w:rStyle w:val="FontStyle88"/>
                <w:rFonts w:ascii="Arial Narrow" w:hAnsi="Arial Narrow"/>
                <w:lang w:eastAsia="en-US"/>
              </w:rPr>
            </w:pPr>
            <w:r w:rsidRPr="00001F01">
              <w:rPr>
                <w:rStyle w:val="FontStyle88"/>
                <w:rFonts w:ascii="Arial Narrow" w:hAnsi="Arial Narrow"/>
                <w:lang w:eastAsia="en-US"/>
              </w:rPr>
              <w:t>Spolu</w:t>
            </w:r>
          </w:p>
        </w:tc>
        <w:tc>
          <w:tcPr>
            <w:tcW w:w="530" w:type="dxa"/>
            <w:shd w:val="clear" w:color="auto" w:fill="F2F2F2" w:themeFill="background1" w:themeFillShade="F2"/>
            <w:vAlign w:val="center"/>
          </w:tcPr>
          <w:p w:rsidR="0084414B" w:rsidRPr="00001F01" w:rsidRDefault="0084414B" w:rsidP="00A46625">
            <w:pPr>
              <w:pStyle w:val="Style68"/>
              <w:widowControl/>
              <w:jc w:val="center"/>
              <w:rPr>
                <w:rStyle w:val="FontStyle88"/>
                <w:rFonts w:ascii="Arial Narrow" w:hAnsi="Arial Narrow"/>
                <w:lang w:eastAsia="en-US"/>
              </w:rPr>
            </w:pPr>
            <w:r w:rsidRPr="00001F01">
              <w:rPr>
                <w:rStyle w:val="FontStyle88"/>
                <w:rFonts w:ascii="Arial Narrow" w:hAnsi="Arial Narrow"/>
                <w:lang w:eastAsia="en-US"/>
              </w:rPr>
              <w:t>EFRR</w:t>
            </w:r>
          </w:p>
        </w:tc>
        <w:tc>
          <w:tcPr>
            <w:tcW w:w="879" w:type="dxa"/>
            <w:shd w:val="clear" w:color="auto" w:fill="F2F2F2" w:themeFill="background1" w:themeFillShade="F2"/>
            <w:vAlign w:val="center"/>
          </w:tcPr>
          <w:p w:rsidR="0084414B" w:rsidRPr="00001F01" w:rsidRDefault="0084414B" w:rsidP="00A46625">
            <w:pPr>
              <w:pStyle w:val="Style68"/>
              <w:widowControl/>
              <w:jc w:val="center"/>
              <w:rPr>
                <w:rStyle w:val="FontStyle88"/>
                <w:rFonts w:ascii="Arial Narrow" w:hAnsi="Arial Narrow"/>
                <w:i/>
                <w:lang w:eastAsia="en-US"/>
              </w:rPr>
            </w:pPr>
            <w:r w:rsidRPr="00001F01">
              <w:rPr>
                <w:rStyle w:val="FontStyle88"/>
                <w:rFonts w:ascii="Arial Narrow" w:hAnsi="Arial Narrow"/>
                <w:i/>
                <w:lang w:eastAsia="en-US"/>
              </w:rPr>
              <w:t>Viac rozvinuté</w:t>
            </w:r>
          </w:p>
        </w:tc>
        <w:tc>
          <w:tcPr>
            <w:tcW w:w="1194"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b/>
                <w:sz w:val="14"/>
                <w:szCs w:val="14"/>
              </w:rPr>
            </w:pPr>
          </w:p>
        </w:tc>
        <w:tc>
          <w:tcPr>
            <w:tcW w:w="1068" w:type="dxa"/>
            <w:shd w:val="clear" w:color="auto" w:fill="F2F2F2" w:themeFill="background1" w:themeFillShade="F2"/>
            <w:vAlign w:val="center"/>
          </w:tcPr>
          <w:p w:rsidR="0084414B" w:rsidRPr="00001F01" w:rsidRDefault="0084414B" w:rsidP="00A46625">
            <w:pPr>
              <w:pStyle w:val="Style68"/>
              <w:widowControl/>
              <w:spacing w:line="187" w:lineRule="exact"/>
              <w:ind w:firstLine="5"/>
              <w:jc w:val="right"/>
              <w:rPr>
                <w:rFonts w:ascii="Arial Narrow" w:hAnsi="Arial Narrow"/>
                <w:b/>
                <w:bCs/>
                <w:sz w:val="14"/>
                <w:szCs w:val="14"/>
              </w:rPr>
            </w:pPr>
            <w:r w:rsidRPr="00001F01">
              <w:rPr>
                <w:rFonts w:ascii="Arial Narrow" w:hAnsi="Arial Narrow"/>
                <w:b/>
                <w:bCs/>
                <w:sz w:val="14"/>
                <w:szCs w:val="14"/>
              </w:rPr>
              <w:t>0</w:t>
            </w:r>
          </w:p>
        </w:tc>
        <w:tc>
          <w:tcPr>
            <w:tcW w:w="1057"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0</w:t>
            </w:r>
          </w:p>
        </w:tc>
        <w:tc>
          <w:tcPr>
            <w:tcW w:w="965"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0</w:t>
            </w:r>
          </w:p>
        </w:tc>
        <w:tc>
          <w:tcPr>
            <w:tcW w:w="980"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Pr>
                <w:rFonts w:ascii="Arial Narrow" w:hAnsi="Arial Narrow"/>
                <w:b/>
                <w:sz w:val="14"/>
                <w:szCs w:val="14"/>
              </w:rPr>
              <w:t>0</w:t>
            </w:r>
          </w:p>
        </w:tc>
        <w:tc>
          <w:tcPr>
            <w:tcW w:w="1148"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0</w:t>
            </w:r>
          </w:p>
        </w:tc>
        <w:tc>
          <w:tcPr>
            <w:tcW w:w="728"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sz w:val="14"/>
                <w:szCs w:val="14"/>
              </w:rPr>
            </w:pPr>
          </w:p>
        </w:tc>
        <w:tc>
          <w:tcPr>
            <w:tcW w:w="784"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sz w:val="14"/>
                <w:szCs w:val="14"/>
              </w:rPr>
            </w:pPr>
          </w:p>
        </w:tc>
        <w:tc>
          <w:tcPr>
            <w:tcW w:w="1080"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sidRPr="00001F01">
              <w:rPr>
                <w:rFonts w:ascii="Arial Narrow" w:hAnsi="Arial Narrow"/>
                <w:b/>
                <w:bCs/>
                <w:color w:val="000000"/>
                <w:sz w:val="14"/>
                <w:szCs w:val="14"/>
              </w:rPr>
              <w:t>0</w:t>
            </w:r>
          </w:p>
        </w:tc>
        <w:tc>
          <w:tcPr>
            <w:tcW w:w="1023"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sidRPr="00001F01">
              <w:rPr>
                <w:rFonts w:ascii="Arial Narrow" w:hAnsi="Arial Narrow"/>
                <w:b/>
                <w:bCs/>
                <w:color w:val="000000"/>
                <w:sz w:val="14"/>
                <w:szCs w:val="14"/>
              </w:rPr>
              <w:t>0</w:t>
            </w:r>
          </w:p>
        </w:tc>
        <w:tc>
          <w:tcPr>
            <w:tcW w:w="992"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sidRPr="00001F01">
              <w:rPr>
                <w:rFonts w:ascii="Arial Narrow" w:hAnsi="Arial Narrow"/>
                <w:b/>
                <w:bCs/>
                <w:color w:val="000000"/>
                <w:sz w:val="14"/>
                <w:szCs w:val="14"/>
              </w:rPr>
              <w:t>0</w:t>
            </w:r>
          </w:p>
        </w:tc>
        <w:tc>
          <w:tcPr>
            <w:tcW w:w="952"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sidRPr="00001F01">
              <w:rPr>
                <w:rFonts w:ascii="Arial Narrow" w:hAnsi="Arial Narrow"/>
                <w:b/>
                <w:bCs/>
                <w:color w:val="000000"/>
                <w:sz w:val="14"/>
                <w:szCs w:val="14"/>
              </w:rPr>
              <w:t>0</w:t>
            </w:r>
          </w:p>
        </w:tc>
        <w:tc>
          <w:tcPr>
            <w:tcW w:w="993" w:type="dxa"/>
            <w:shd w:val="clear" w:color="auto" w:fill="F2F2F2" w:themeFill="background1" w:themeFillShade="F2"/>
            <w:vAlign w:val="center"/>
          </w:tcPr>
          <w:p w:rsidR="0084414B" w:rsidRPr="00001F01" w:rsidRDefault="00A166F8" w:rsidP="00A46625">
            <w:pPr>
              <w:pStyle w:val="Style30"/>
              <w:widowControl/>
              <w:jc w:val="center"/>
              <w:rPr>
                <w:rFonts w:ascii="Arial Narrow" w:hAnsi="Arial Narrow"/>
                <w:sz w:val="14"/>
                <w:szCs w:val="14"/>
              </w:rPr>
            </w:pPr>
            <w:r>
              <w:rPr>
                <w:rFonts w:ascii="Arial Narrow" w:hAnsi="Arial Narrow"/>
                <w:sz w:val="14"/>
                <w:szCs w:val="14"/>
              </w:rPr>
              <w:t>-</w:t>
            </w:r>
          </w:p>
        </w:tc>
      </w:tr>
      <w:tr w:rsidR="0084414B" w:rsidRPr="00001F01" w:rsidTr="00A46625">
        <w:trPr>
          <w:trHeight w:val="339"/>
        </w:trPr>
        <w:tc>
          <w:tcPr>
            <w:tcW w:w="704" w:type="dxa"/>
            <w:shd w:val="clear" w:color="auto" w:fill="F2F2F2" w:themeFill="background1" w:themeFillShade="F2"/>
            <w:vAlign w:val="center"/>
          </w:tcPr>
          <w:p w:rsidR="0084414B" w:rsidRPr="00001F01" w:rsidRDefault="0084414B" w:rsidP="00A46625">
            <w:pPr>
              <w:pStyle w:val="Style68"/>
              <w:widowControl/>
              <w:jc w:val="left"/>
              <w:rPr>
                <w:rStyle w:val="FontStyle88"/>
                <w:rFonts w:ascii="Arial Narrow" w:hAnsi="Arial Narrow"/>
                <w:lang w:eastAsia="en-US"/>
              </w:rPr>
            </w:pPr>
            <w:r w:rsidRPr="00001F01">
              <w:rPr>
                <w:rStyle w:val="FontStyle88"/>
                <w:rFonts w:ascii="Arial Narrow" w:hAnsi="Arial Narrow"/>
                <w:lang w:eastAsia="en-US"/>
              </w:rPr>
              <w:t>Spolu</w:t>
            </w:r>
          </w:p>
        </w:tc>
        <w:tc>
          <w:tcPr>
            <w:tcW w:w="530" w:type="dxa"/>
            <w:shd w:val="clear" w:color="auto" w:fill="F2F2F2" w:themeFill="background1" w:themeFillShade="F2"/>
            <w:vAlign w:val="center"/>
          </w:tcPr>
          <w:p w:rsidR="0084414B" w:rsidRPr="00001F01" w:rsidRDefault="0084414B" w:rsidP="00A46625">
            <w:pPr>
              <w:pStyle w:val="Style68"/>
              <w:widowControl/>
              <w:jc w:val="center"/>
              <w:rPr>
                <w:rStyle w:val="FontStyle88"/>
                <w:rFonts w:ascii="Arial Narrow" w:hAnsi="Arial Narrow"/>
                <w:lang w:eastAsia="en-US"/>
              </w:rPr>
            </w:pPr>
            <w:r w:rsidRPr="00001F01">
              <w:rPr>
                <w:rStyle w:val="FontStyle88"/>
                <w:rFonts w:ascii="Arial Narrow" w:hAnsi="Arial Narrow"/>
                <w:lang w:eastAsia="en-US"/>
              </w:rPr>
              <w:t>EFRR</w:t>
            </w:r>
          </w:p>
        </w:tc>
        <w:tc>
          <w:tcPr>
            <w:tcW w:w="879" w:type="dxa"/>
            <w:shd w:val="clear" w:color="auto" w:fill="F2F2F2" w:themeFill="background1" w:themeFillShade="F2"/>
            <w:vAlign w:val="center"/>
          </w:tcPr>
          <w:p w:rsidR="0084414B" w:rsidRPr="00001F01" w:rsidRDefault="0084414B" w:rsidP="00A46625">
            <w:pPr>
              <w:pStyle w:val="Style68"/>
              <w:widowControl/>
              <w:jc w:val="center"/>
              <w:rPr>
                <w:rStyle w:val="FontStyle88"/>
                <w:rFonts w:ascii="Arial Narrow" w:hAnsi="Arial Narrow"/>
                <w:i/>
                <w:lang w:eastAsia="en-US"/>
              </w:rPr>
            </w:pPr>
            <w:r w:rsidRPr="00001F01">
              <w:rPr>
                <w:rStyle w:val="FontStyle88"/>
                <w:rFonts w:ascii="Arial Narrow" w:hAnsi="Arial Narrow"/>
                <w:i/>
                <w:lang w:eastAsia="en-US"/>
              </w:rPr>
              <w:t>N/A</w:t>
            </w:r>
          </w:p>
        </w:tc>
        <w:tc>
          <w:tcPr>
            <w:tcW w:w="1194"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b/>
                <w:sz w:val="14"/>
                <w:szCs w:val="14"/>
              </w:rPr>
            </w:pPr>
          </w:p>
        </w:tc>
        <w:tc>
          <w:tcPr>
            <w:tcW w:w="1068" w:type="dxa"/>
            <w:shd w:val="clear" w:color="auto" w:fill="F2F2F2" w:themeFill="background1" w:themeFillShade="F2"/>
            <w:vAlign w:val="center"/>
          </w:tcPr>
          <w:p w:rsidR="0084414B" w:rsidRPr="00001F01" w:rsidRDefault="0084414B" w:rsidP="00A46625">
            <w:pPr>
              <w:pStyle w:val="Style68"/>
              <w:widowControl/>
              <w:ind w:firstLine="6"/>
              <w:jc w:val="right"/>
              <w:rPr>
                <w:rFonts w:ascii="Arial Narrow" w:hAnsi="Arial Narrow"/>
                <w:b/>
                <w:bCs/>
                <w:sz w:val="14"/>
                <w:szCs w:val="14"/>
              </w:rPr>
            </w:pPr>
            <w:r w:rsidRPr="00001F01">
              <w:rPr>
                <w:rFonts w:ascii="Arial Narrow" w:hAnsi="Arial Narrow"/>
                <w:b/>
                <w:sz w:val="14"/>
                <w:szCs w:val="14"/>
              </w:rPr>
              <w:t>85 000 000</w:t>
            </w:r>
          </w:p>
        </w:tc>
        <w:tc>
          <w:tcPr>
            <w:tcW w:w="1057"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15 000 000</w:t>
            </w:r>
          </w:p>
        </w:tc>
        <w:tc>
          <w:tcPr>
            <w:tcW w:w="965"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15 000 000</w:t>
            </w:r>
          </w:p>
        </w:tc>
        <w:tc>
          <w:tcPr>
            <w:tcW w:w="980"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Pr>
                <w:rFonts w:ascii="Arial Narrow" w:hAnsi="Arial Narrow"/>
                <w:b/>
                <w:sz w:val="14"/>
                <w:szCs w:val="14"/>
              </w:rPr>
              <w:t>0</w:t>
            </w:r>
          </w:p>
        </w:tc>
        <w:tc>
          <w:tcPr>
            <w:tcW w:w="1148" w:type="dxa"/>
            <w:shd w:val="clear" w:color="auto" w:fill="F2F2F2" w:themeFill="background1" w:themeFillShade="F2"/>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100 000 000</w:t>
            </w:r>
          </w:p>
        </w:tc>
        <w:tc>
          <w:tcPr>
            <w:tcW w:w="728"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sz w:val="14"/>
                <w:szCs w:val="14"/>
              </w:rPr>
            </w:pPr>
            <w:r w:rsidRPr="00001F01">
              <w:rPr>
                <w:rFonts w:ascii="Arial Narrow" w:hAnsi="Arial Narrow"/>
                <w:sz w:val="14"/>
                <w:szCs w:val="14"/>
              </w:rPr>
              <w:t xml:space="preserve">85,0 </w:t>
            </w:r>
            <w:r w:rsidRPr="00001F01">
              <w:rPr>
                <w:rFonts w:ascii="Arial Narrow" w:hAnsi="Arial Narrow"/>
                <w:sz w:val="14"/>
                <w:szCs w:val="14"/>
                <w:lang w:val="en-US"/>
              </w:rPr>
              <w:t>%</w:t>
            </w:r>
          </w:p>
        </w:tc>
        <w:tc>
          <w:tcPr>
            <w:tcW w:w="784" w:type="dxa"/>
            <w:shd w:val="clear" w:color="auto" w:fill="F2F2F2" w:themeFill="background1" w:themeFillShade="F2"/>
            <w:vAlign w:val="center"/>
          </w:tcPr>
          <w:p w:rsidR="0084414B" w:rsidRPr="00001F01" w:rsidRDefault="0084414B" w:rsidP="00A46625">
            <w:pPr>
              <w:pStyle w:val="Style30"/>
              <w:widowControl/>
              <w:jc w:val="center"/>
              <w:rPr>
                <w:rFonts w:ascii="Arial Narrow" w:hAnsi="Arial Narrow"/>
                <w:sz w:val="14"/>
                <w:szCs w:val="14"/>
              </w:rPr>
            </w:pPr>
          </w:p>
        </w:tc>
        <w:tc>
          <w:tcPr>
            <w:tcW w:w="1080"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Pr>
                <w:rFonts w:ascii="Arial Narrow" w:hAnsi="Arial Narrow"/>
                <w:b/>
                <w:bCs/>
                <w:color w:val="000000"/>
                <w:sz w:val="14"/>
                <w:szCs w:val="14"/>
              </w:rPr>
              <w:t>85 000 000</w:t>
            </w:r>
          </w:p>
        </w:tc>
        <w:tc>
          <w:tcPr>
            <w:tcW w:w="1023"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Pr>
                <w:rFonts w:ascii="Arial Narrow" w:hAnsi="Arial Narrow"/>
                <w:b/>
                <w:bCs/>
                <w:color w:val="000000"/>
                <w:sz w:val="14"/>
                <w:szCs w:val="14"/>
              </w:rPr>
              <w:t>15 000 000</w:t>
            </w:r>
          </w:p>
        </w:tc>
        <w:tc>
          <w:tcPr>
            <w:tcW w:w="992"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Pr>
                <w:rFonts w:ascii="Arial Narrow" w:hAnsi="Arial Narrow"/>
                <w:b/>
                <w:bCs/>
                <w:color w:val="000000"/>
                <w:sz w:val="14"/>
                <w:szCs w:val="14"/>
              </w:rPr>
              <w:t>0</w:t>
            </w:r>
          </w:p>
        </w:tc>
        <w:tc>
          <w:tcPr>
            <w:tcW w:w="952" w:type="dxa"/>
            <w:shd w:val="clear" w:color="auto" w:fill="F2F2F2" w:themeFill="background1" w:themeFillShade="F2"/>
            <w:vAlign w:val="center"/>
          </w:tcPr>
          <w:p w:rsidR="0084414B" w:rsidRPr="00001F01" w:rsidRDefault="0084414B" w:rsidP="00A46625">
            <w:pPr>
              <w:jc w:val="right"/>
              <w:rPr>
                <w:rFonts w:ascii="Arial Narrow" w:hAnsi="Arial Narrow"/>
                <w:b/>
                <w:bCs/>
                <w:color w:val="000000"/>
                <w:sz w:val="14"/>
                <w:szCs w:val="14"/>
              </w:rPr>
            </w:pPr>
            <w:r>
              <w:rPr>
                <w:rFonts w:ascii="Arial Narrow" w:hAnsi="Arial Narrow"/>
                <w:b/>
                <w:bCs/>
                <w:color w:val="000000"/>
                <w:sz w:val="14"/>
                <w:szCs w:val="14"/>
              </w:rPr>
              <w:t>0</w:t>
            </w:r>
          </w:p>
        </w:tc>
        <w:tc>
          <w:tcPr>
            <w:tcW w:w="993" w:type="dxa"/>
            <w:shd w:val="clear" w:color="auto" w:fill="F2F2F2" w:themeFill="background1" w:themeFillShade="F2"/>
            <w:vAlign w:val="center"/>
          </w:tcPr>
          <w:p w:rsidR="0084414B" w:rsidRPr="00001F01" w:rsidRDefault="00A166F8" w:rsidP="00A46625">
            <w:pPr>
              <w:pStyle w:val="Style30"/>
              <w:widowControl/>
              <w:jc w:val="center"/>
              <w:rPr>
                <w:rFonts w:ascii="Arial Narrow" w:hAnsi="Arial Narrow"/>
                <w:sz w:val="14"/>
                <w:szCs w:val="14"/>
              </w:rPr>
            </w:pPr>
            <w:r>
              <w:rPr>
                <w:rFonts w:ascii="Arial Narrow" w:hAnsi="Arial Narrow"/>
                <w:sz w:val="14"/>
                <w:szCs w:val="14"/>
              </w:rPr>
              <w:t>-</w:t>
            </w:r>
          </w:p>
        </w:tc>
      </w:tr>
      <w:tr w:rsidR="0084414B" w:rsidRPr="00001F01" w:rsidTr="00A46625">
        <w:trPr>
          <w:trHeight w:val="339"/>
        </w:trPr>
        <w:tc>
          <w:tcPr>
            <w:tcW w:w="704" w:type="dxa"/>
            <w:shd w:val="clear" w:color="auto" w:fill="D9D9D9" w:themeFill="background1" w:themeFillShade="D9"/>
            <w:vAlign w:val="center"/>
          </w:tcPr>
          <w:p w:rsidR="0084414B" w:rsidRPr="00001F01" w:rsidRDefault="0084414B" w:rsidP="00A46625">
            <w:pPr>
              <w:pStyle w:val="Style68"/>
              <w:widowControl/>
              <w:jc w:val="left"/>
              <w:rPr>
                <w:rStyle w:val="FontStyle88"/>
                <w:rFonts w:ascii="Arial Narrow" w:hAnsi="Arial Narrow"/>
                <w:b/>
                <w:lang w:eastAsia="en-US"/>
              </w:rPr>
            </w:pPr>
            <w:r w:rsidRPr="00001F01">
              <w:rPr>
                <w:rStyle w:val="FontStyle88"/>
                <w:rFonts w:ascii="Arial Narrow" w:hAnsi="Arial Narrow"/>
                <w:b/>
                <w:lang w:eastAsia="en-US"/>
              </w:rPr>
              <w:t>SPOLU</w:t>
            </w:r>
          </w:p>
        </w:tc>
        <w:tc>
          <w:tcPr>
            <w:tcW w:w="530" w:type="dxa"/>
            <w:shd w:val="clear" w:color="auto" w:fill="D9D9D9" w:themeFill="background1" w:themeFillShade="D9"/>
            <w:vAlign w:val="center"/>
          </w:tcPr>
          <w:p w:rsidR="0084414B" w:rsidRPr="00001F01" w:rsidRDefault="0084414B" w:rsidP="00A46625">
            <w:pPr>
              <w:pStyle w:val="Style30"/>
              <w:widowControl/>
              <w:ind w:right="57"/>
              <w:jc w:val="right"/>
              <w:rPr>
                <w:rFonts w:ascii="Arial Narrow" w:hAnsi="Arial Narrow"/>
                <w:b/>
                <w:sz w:val="14"/>
                <w:szCs w:val="14"/>
              </w:rPr>
            </w:pPr>
          </w:p>
        </w:tc>
        <w:tc>
          <w:tcPr>
            <w:tcW w:w="879" w:type="dxa"/>
            <w:shd w:val="clear" w:color="auto" w:fill="D9D9D9" w:themeFill="background1" w:themeFillShade="D9"/>
            <w:vAlign w:val="center"/>
          </w:tcPr>
          <w:p w:rsidR="0084414B" w:rsidRPr="00001F01" w:rsidRDefault="0084414B" w:rsidP="00A46625">
            <w:pPr>
              <w:pStyle w:val="Style30"/>
              <w:widowControl/>
              <w:ind w:right="57"/>
              <w:jc w:val="right"/>
              <w:rPr>
                <w:rFonts w:ascii="Arial Narrow" w:hAnsi="Arial Narrow"/>
                <w:b/>
                <w:sz w:val="14"/>
                <w:szCs w:val="14"/>
              </w:rPr>
            </w:pPr>
          </w:p>
        </w:tc>
        <w:tc>
          <w:tcPr>
            <w:tcW w:w="1194" w:type="dxa"/>
            <w:shd w:val="clear" w:color="auto" w:fill="D9D9D9" w:themeFill="background1" w:themeFillShade="D9"/>
            <w:vAlign w:val="center"/>
          </w:tcPr>
          <w:p w:rsidR="0084414B" w:rsidRPr="00001F01" w:rsidRDefault="0084414B" w:rsidP="00A46625">
            <w:pPr>
              <w:pStyle w:val="Style30"/>
              <w:widowControl/>
              <w:jc w:val="center"/>
              <w:rPr>
                <w:rFonts w:ascii="Arial Narrow" w:hAnsi="Arial Narrow"/>
                <w:b/>
                <w:sz w:val="14"/>
                <w:szCs w:val="14"/>
              </w:rPr>
            </w:pPr>
          </w:p>
        </w:tc>
        <w:tc>
          <w:tcPr>
            <w:tcW w:w="1068" w:type="dxa"/>
            <w:shd w:val="clear" w:color="auto" w:fill="D9D9D9" w:themeFill="background1" w:themeFillShade="D9"/>
            <w:vAlign w:val="center"/>
          </w:tcPr>
          <w:p w:rsidR="0084414B" w:rsidRPr="00001F01" w:rsidRDefault="0084414B" w:rsidP="00A46625">
            <w:pPr>
              <w:pStyle w:val="Style68"/>
              <w:widowControl/>
              <w:ind w:firstLine="5"/>
              <w:jc w:val="right"/>
              <w:rPr>
                <w:rStyle w:val="FontStyle88"/>
                <w:rFonts w:ascii="Arial Narrow" w:hAnsi="Arial Narrow"/>
                <w:b/>
                <w:lang w:eastAsia="en-US"/>
              </w:rPr>
            </w:pPr>
            <w:r w:rsidRPr="00001F01">
              <w:rPr>
                <w:rStyle w:val="FontStyle88"/>
                <w:rFonts w:ascii="Arial Narrow" w:hAnsi="Arial Narrow"/>
                <w:b/>
                <w:lang w:eastAsia="en-US"/>
              </w:rPr>
              <w:t>4 036 645 373</w:t>
            </w:r>
          </w:p>
        </w:tc>
        <w:tc>
          <w:tcPr>
            <w:tcW w:w="1057" w:type="dxa"/>
            <w:shd w:val="clear" w:color="auto" w:fill="D9D9D9" w:themeFill="background1" w:themeFillShade="D9"/>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712 349</w:t>
            </w:r>
            <w:r>
              <w:rPr>
                <w:rFonts w:ascii="Arial Narrow" w:hAnsi="Arial Narrow"/>
                <w:b/>
                <w:sz w:val="14"/>
                <w:szCs w:val="14"/>
              </w:rPr>
              <w:t> </w:t>
            </w:r>
            <w:r w:rsidRPr="00001F01">
              <w:rPr>
                <w:rFonts w:ascii="Arial Narrow" w:hAnsi="Arial Narrow"/>
                <w:b/>
                <w:sz w:val="14"/>
                <w:szCs w:val="14"/>
              </w:rPr>
              <w:t>18</w:t>
            </w:r>
            <w:r>
              <w:rPr>
                <w:rFonts w:ascii="Arial Narrow" w:hAnsi="Arial Narrow"/>
                <w:b/>
                <w:sz w:val="14"/>
                <w:szCs w:val="14"/>
              </w:rPr>
              <w:t>7</w:t>
            </w:r>
          </w:p>
        </w:tc>
        <w:tc>
          <w:tcPr>
            <w:tcW w:w="965" w:type="dxa"/>
            <w:shd w:val="clear" w:color="auto" w:fill="D9D9D9" w:themeFill="background1" w:themeFillShade="D9"/>
            <w:vAlign w:val="center"/>
          </w:tcPr>
          <w:p w:rsidR="0084414B" w:rsidRPr="00B50BE6" w:rsidRDefault="0084414B" w:rsidP="00A46625">
            <w:pPr>
              <w:pStyle w:val="Style30"/>
              <w:widowControl/>
              <w:jc w:val="right"/>
              <w:rPr>
                <w:rFonts w:ascii="Arial Narrow" w:hAnsi="Arial Narrow"/>
                <w:b/>
                <w:sz w:val="14"/>
                <w:szCs w:val="14"/>
              </w:rPr>
            </w:pPr>
            <w:r w:rsidRPr="00B50BE6">
              <w:rPr>
                <w:rFonts w:ascii="Arial Narrow" w:hAnsi="Arial Narrow"/>
                <w:b/>
                <w:sz w:val="14"/>
                <w:szCs w:val="14"/>
              </w:rPr>
              <w:t>680 275 65</w:t>
            </w:r>
            <w:r>
              <w:rPr>
                <w:rFonts w:ascii="Arial Narrow" w:hAnsi="Arial Narrow"/>
                <w:b/>
                <w:sz w:val="14"/>
                <w:szCs w:val="14"/>
              </w:rPr>
              <w:t>8</w:t>
            </w:r>
          </w:p>
        </w:tc>
        <w:tc>
          <w:tcPr>
            <w:tcW w:w="980" w:type="dxa"/>
            <w:shd w:val="clear" w:color="auto" w:fill="D9D9D9" w:themeFill="background1" w:themeFillShade="D9"/>
            <w:vAlign w:val="center"/>
          </w:tcPr>
          <w:p w:rsidR="0084414B" w:rsidRPr="00B50BE6" w:rsidRDefault="0084414B" w:rsidP="00A46625">
            <w:pPr>
              <w:pStyle w:val="Style30"/>
              <w:widowControl/>
              <w:jc w:val="right"/>
              <w:rPr>
                <w:rFonts w:ascii="Arial Narrow" w:hAnsi="Arial Narrow"/>
                <w:b/>
                <w:sz w:val="14"/>
                <w:szCs w:val="14"/>
              </w:rPr>
            </w:pPr>
            <w:r w:rsidRPr="00B50BE6">
              <w:rPr>
                <w:rFonts w:ascii="Arial Narrow" w:hAnsi="Arial Narrow"/>
                <w:b/>
                <w:sz w:val="14"/>
                <w:szCs w:val="14"/>
              </w:rPr>
              <w:t>32 073 5</w:t>
            </w:r>
            <w:r>
              <w:rPr>
                <w:rFonts w:ascii="Arial Narrow" w:hAnsi="Arial Narrow"/>
                <w:b/>
                <w:sz w:val="14"/>
                <w:szCs w:val="14"/>
              </w:rPr>
              <w:t>29</w:t>
            </w:r>
          </w:p>
        </w:tc>
        <w:tc>
          <w:tcPr>
            <w:tcW w:w="1148" w:type="dxa"/>
            <w:shd w:val="clear" w:color="auto" w:fill="D9D9D9" w:themeFill="background1" w:themeFillShade="D9"/>
            <w:vAlign w:val="center"/>
          </w:tcPr>
          <w:p w:rsidR="0084414B" w:rsidRPr="00001F01" w:rsidRDefault="0084414B" w:rsidP="00A46625">
            <w:pPr>
              <w:pStyle w:val="Style30"/>
              <w:widowControl/>
              <w:jc w:val="right"/>
              <w:rPr>
                <w:rFonts w:ascii="Arial Narrow" w:hAnsi="Arial Narrow"/>
                <w:b/>
                <w:sz w:val="14"/>
                <w:szCs w:val="14"/>
              </w:rPr>
            </w:pPr>
            <w:r w:rsidRPr="00001F01">
              <w:rPr>
                <w:rFonts w:ascii="Arial Narrow" w:hAnsi="Arial Narrow"/>
                <w:b/>
                <w:sz w:val="14"/>
                <w:szCs w:val="14"/>
              </w:rPr>
              <w:t>4 748 994 5</w:t>
            </w:r>
            <w:r>
              <w:rPr>
                <w:rFonts w:ascii="Arial Narrow" w:hAnsi="Arial Narrow"/>
                <w:b/>
                <w:sz w:val="14"/>
                <w:szCs w:val="14"/>
              </w:rPr>
              <w:t>60</w:t>
            </w:r>
          </w:p>
        </w:tc>
        <w:tc>
          <w:tcPr>
            <w:tcW w:w="728" w:type="dxa"/>
            <w:shd w:val="clear" w:color="auto" w:fill="D9D9D9" w:themeFill="background1" w:themeFillShade="D9"/>
            <w:vAlign w:val="center"/>
          </w:tcPr>
          <w:p w:rsidR="0084414B" w:rsidRPr="00001F01" w:rsidRDefault="0084414B" w:rsidP="00A46625">
            <w:pPr>
              <w:pStyle w:val="Style30"/>
              <w:widowControl/>
              <w:jc w:val="center"/>
              <w:rPr>
                <w:rFonts w:ascii="Arial Narrow" w:hAnsi="Arial Narrow"/>
                <w:b/>
                <w:sz w:val="14"/>
                <w:szCs w:val="14"/>
              </w:rPr>
            </w:pPr>
          </w:p>
        </w:tc>
        <w:tc>
          <w:tcPr>
            <w:tcW w:w="784" w:type="dxa"/>
            <w:shd w:val="clear" w:color="auto" w:fill="D9D9D9" w:themeFill="background1" w:themeFillShade="D9"/>
            <w:vAlign w:val="center"/>
          </w:tcPr>
          <w:p w:rsidR="0084414B" w:rsidRPr="00001F01" w:rsidRDefault="0084414B" w:rsidP="00A46625">
            <w:pPr>
              <w:pStyle w:val="Style30"/>
              <w:widowControl/>
              <w:jc w:val="center"/>
              <w:rPr>
                <w:rFonts w:ascii="Arial Narrow" w:hAnsi="Arial Narrow"/>
                <w:b/>
                <w:sz w:val="14"/>
                <w:szCs w:val="14"/>
              </w:rPr>
            </w:pPr>
          </w:p>
        </w:tc>
        <w:tc>
          <w:tcPr>
            <w:tcW w:w="1080" w:type="dxa"/>
            <w:shd w:val="clear" w:color="auto" w:fill="D9D9D9" w:themeFill="background1" w:themeFillShade="D9"/>
            <w:vAlign w:val="center"/>
          </w:tcPr>
          <w:p w:rsidR="0084414B" w:rsidRPr="00697149" w:rsidRDefault="0084414B" w:rsidP="00A46625">
            <w:pPr>
              <w:jc w:val="right"/>
              <w:rPr>
                <w:rFonts w:ascii="Arial Narrow" w:hAnsi="Arial Narrow"/>
                <w:b/>
                <w:bCs/>
                <w:color w:val="000000"/>
                <w:sz w:val="14"/>
                <w:szCs w:val="14"/>
              </w:rPr>
            </w:pPr>
            <w:r w:rsidRPr="00697149">
              <w:rPr>
                <w:rFonts w:ascii="Arial Narrow" w:hAnsi="Arial Narrow"/>
                <w:b/>
                <w:bCs/>
                <w:color w:val="000000"/>
                <w:sz w:val="14"/>
                <w:szCs w:val="14"/>
              </w:rPr>
              <w:t>3 791 974 16</w:t>
            </w:r>
            <w:r>
              <w:rPr>
                <w:rFonts w:ascii="Arial Narrow" w:hAnsi="Arial Narrow"/>
                <w:b/>
                <w:bCs/>
                <w:color w:val="000000"/>
                <w:sz w:val="14"/>
                <w:szCs w:val="14"/>
              </w:rPr>
              <w:t>8</w:t>
            </w:r>
          </w:p>
        </w:tc>
        <w:tc>
          <w:tcPr>
            <w:tcW w:w="1023" w:type="dxa"/>
            <w:shd w:val="clear" w:color="auto" w:fill="D9D9D9" w:themeFill="background1" w:themeFillShade="D9"/>
            <w:vAlign w:val="center"/>
          </w:tcPr>
          <w:p w:rsidR="0084414B" w:rsidRPr="00697149" w:rsidRDefault="0084414B" w:rsidP="00A46625">
            <w:pPr>
              <w:jc w:val="right"/>
              <w:rPr>
                <w:rFonts w:ascii="Arial Narrow" w:hAnsi="Arial Narrow"/>
                <w:b/>
                <w:bCs/>
                <w:color w:val="000000"/>
                <w:sz w:val="14"/>
                <w:szCs w:val="14"/>
              </w:rPr>
            </w:pPr>
            <w:r w:rsidRPr="00697149">
              <w:rPr>
                <w:rFonts w:ascii="Arial Narrow" w:hAnsi="Arial Narrow"/>
                <w:b/>
                <w:bCs/>
                <w:color w:val="000000"/>
                <w:sz w:val="14"/>
                <w:szCs w:val="14"/>
              </w:rPr>
              <w:t>669 171 91</w:t>
            </w:r>
            <w:r>
              <w:rPr>
                <w:rFonts w:ascii="Arial Narrow" w:hAnsi="Arial Narrow"/>
                <w:b/>
                <w:bCs/>
                <w:color w:val="000000"/>
                <w:sz w:val="14"/>
                <w:szCs w:val="14"/>
              </w:rPr>
              <w:t>5</w:t>
            </w:r>
          </w:p>
        </w:tc>
        <w:tc>
          <w:tcPr>
            <w:tcW w:w="992" w:type="dxa"/>
            <w:shd w:val="clear" w:color="auto" w:fill="D9D9D9" w:themeFill="background1" w:themeFillShade="D9"/>
            <w:vAlign w:val="center"/>
          </w:tcPr>
          <w:p w:rsidR="0084414B" w:rsidRPr="00D75627" w:rsidRDefault="0084414B" w:rsidP="00A46625">
            <w:pPr>
              <w:jc w:val="right"/>
              <w:rPr>
                <w:rFonts w:ascii="Arial Narrow" w:hAnsi="Arial Narrow"/>
                <w:b/>
                <w:bCs/>
                <w:color w:val="000000"/>
                <w:sz w:val="14"/>
                <w:szCs w:val="14"/>
              </w:rPr>
            </w:pPr>
            <w:r w:rsidRPr="00D75627">
              <w:rPr>
                <w:rFonts w:ascii="Arial Narrow" w:hAnsi="Arial Narrow"/>
                <w:b/>
                <w:bCs/>
                <w:color w:val="000000"/>
                <w:sz w:val="14"/>
                <w:szCs w:val="14"/>
              </w:rPr>
              <w:t>244 671 205</w:t>
            </w:r>
          </w:p>
        </w:tc>
        <w:tc>
          <w:tcPr>
            <w:tcW w:w="952" w:type="dxa"/>
            <w:shd w:val="clear" w:color="auto" w:fill="D9D9D9" w:themeFill="background1" w:themeFillShade="D9"/>
            <w:vAlign w:val="center"/>
          </w:tcPr>
          <w:p w:rsidR="0084414B" w:rsidRPr="00D75627" w:rsidRDefault="0084414B" w:rsidP="00A46625">
            <w:pPr>
              <w:jc w:val="right"/>
              <w:rPr>
                <w:rFonts w:ascii="Arial Narrow" w:hAnsi="Arial Narrow"/>
                <w:b/>
                <w:bCs/>
                <w:color w:val="000000"/>
                <w:sz w:val="14"/>
                <w:szCs w:val="14"/>
              </w:rPr>
            </w:pPr>
            <w:r w:rsidRPr="00D75627">
              <w:rPr>
                <w:rFonts w:ascii="Arial Narrow" w:hAnsi="Arial Narrow"/>
                <w:b/>
                <w:bCs/>
                <w:color w:val="000000"/>
                <w:sz w:val="14"/>
                <w:szCs w:val="14"/>
              </w:rPr>
              <w:t>43 177 27</w:t>
            </w:r>
            <w:r>
              <w:rPr>
                <w:rFonts w:ascii="Arial Narrow" w:hAnsi="Arial Narrow"/>
                <w:b/>
                <w:bCs/>
                <w:color w:val="000000"/>
                <w:sz w:val="14"/>
                <w:szCs w:val="14"/>
              </w:rPr>
              <w:t>2</w:t>
            </w:r>
          </w:p>
        </w:tc>
        <w:tc>
          <w:tcPr>
            <w:tcW w:w="993" w:type="dxa"/>
            <w:shd w:val="clear" w:color="auto" w:fill="D9D9D9" w:themeFill="background1" w:themeFillShade="D9"/>
            <w:vAlign w:val="center"/>
          </w:tcPr>
          <w:p w:rsidR="0084414B" w:rsidRPr="00A166F8" w:rsidRDefault="00A166F8" w:rsidP="00A46625">
            <w:pPr>
              <w:pStyle w:val="Style30"/>
              <w:widowControl/>
              <w:jc w:val="center"/>
              <w:rPr>
                <w:rFonts w:ascii="Arial Narrow" w:hAnsi="Arial Narrow"/>
                <w:b/>
                <w:sz w:val="14"/>
                <w:szCs w:val="14"/>
              </w:rPr>
            </w:pPr>
            <w:r w:rsidRPr="00A166F8">
              <w:rPr>
                <w:rFonts w:ascii="Arial Narrow" w:hAnsi="Arial Narrow"/>
                <w:b/>
                <w:sz w:val="14"/>
                <w:szCs w:val="14"/>
              </w:rPr>
              <w:t xml:space="preserve">6,06 </w:t>
            </w:r>
            <w:r w:rsidRPr="00A166F8">
              <w:rPr>
                <w:rFonts w:ascii="Arial Narrow" w:hAnsi="Arial Narrow"/>
                <w:b/>
                <w:sz w:val="14"/>
                <w:szCs w:val="14"/>
                <w:lang w:val="en-US"/>
              </w:rPr>
              <w:t>%</w:t>
            </w:r>
          </w:p>
        </w:tc>
      </w:tr>
    </w:tbl>
    <w:p w:rsidR="0084414B" w:rsidRDefault="0084414B" w:rsidP="0084414B">
      <w:pPr>
        <w:spacing w:before="120"/>
        <w:ind w:left="-284" w:right="-566"/>
        <w:jc w:val="both"/>
        <w:rPr>
          <w:sz w:val="20"/>
          <w:szCs w:val="20"/>
        </w:rPr>
      </w:pPr>
      <w:r w:rsidRPr="008911FD">
        <w:rPr>
          <w:sz w:val="20"/>
          <w:szCs w:val="20"/>
          <w:u w:val="single"/>
        </w:rPr>
        <w:t>Poznámka</w:t>
      </w:r>
      <w:r w:rsidRPr="008911FD">
        <w:rPr>
          <w:sz w:val="20"/>
          <w:szCs w:val="20"/>
        </w:rPr>
        <w:t>: Vyčlenené budú 3 % z prostriedkov predbežne alokovaných pre operačný program na úrovni prioritných osí z Kohézneho fondu, z Európskeh</w:t>
      </w:r>
      <w:r>
        <w:rPr>
          <w:sz w:val="20"/>
          <w:szCs w:val="20"/>
        </w:rPr>
        <w:t>o fondu regionálneho rozvoja na </w:t>
      </w:r>
      <w:r w:rsidRPr="008911FD">
        <w:rPr>
          <w:sz w:val="20"/>
          <w:szCs w:val="20"/>
        </w:rPr>
        <w:t>alokáciu do Slovak Investment Holding, a. s., ktorá bude následne použitá na tematické ci</w:t>
      </w:r>
      <w:r w:rsidR="00197539">
        <w:rPr>
          <w:sz w:val="20"/>
          <w:szCs w:val="20"/>
        </w:rPr>
        <w:t>ele primárne v rámci operačného</w:t>
      </w:r>
      <w:r w:rsidRPr="008911FD">
        <w:rPr>
          <w:sz w:val="20"/>
          <w:szCs w:val="20"/>
        </w:rPr>
        <w:t xml:space="preserve"> programu, avšak definitív</w:t>
      </w:r>
      <w:r>
        <w:rPr>
          <w:sz w:val="20"/>
          <w:szCs w:val="20"/>
        </w:rPr>
        <w:t>ne v závislosti od výsledkov ex </w:t>
      </w:r>
      <w:r w:rsidRPr="008911FD">
        <w:rPr>
          <w:sz w:val="20"/>
          <w:szCs w:val="20"/>
        </w:rPr>
        <w:t>ante hodnotenia pre využitie finančných nástrojov v programovom období 2014 – 2020; v prípade vzájomnej dohody dotknutých rezortov a Ministerstva financií SR existuje možnosť navýšiť alokáciu pri niektorých prioritných osiach a v prísluš</w:t>
      </w:r>
      <w:r>
        <w:rPr>
          <w:sz w:val="20"/>
          <w:szCs w:val="20"/>
        </w:rPr>
        <w:t>nom objeme ju znížiť pri iných.</w:t>
      </w:r>
    </w:p>
    <w:p w:rsidR="0084414B" w:rsidRDefault="0084414B" w:rsidP="0042523B">
      <w:pPr>
        <w:pStyle w:val="NzovTabuky"/>
        <w:numPr>
          <w:ilvl w:val="0"/>
          <w:numId w:val="15"/>
        </w:numPr>
      </w:pPr>
      <w:r w:rsidRPr="00DA632E">
        <w:lastRenderedPageBreak/>
        <w:t>Členenie finančného plánu operačného programu podľa prioritných osí, financovania, kategórií regiónov a tematického cieľa</w:t>
      </w:r>
    </w:p>
    <w:tbl>
      <w:tblPr>
        <w:tblStyle w:val="Mriekatabuky"/>
        <w:tblW w:w="1417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791"/>
        <w:gridCol w:w="800"/>
        <w:gridCol w:w="1657"/>
        <w:gridCol w:w="1630"/>
        <w:gridCol w:w="1728"/>
        <w:gridCol w:w="1769"/>
        <w:gridCol w:w="1800"/>
      </w:tblGrid>
      <w:tr w:rsidR="0084414B" w:rsidRPr="00BB4F4E" w:rsidTr="00A127CB">
        <w:trPr>
          <w:trHeight w:val="567"/>
          <w:jc w:val="center"/>
        </w:trPr>
        <w:tc>
          <w:tcPr>
            <w:tcW w:w="4791" w:type="dxa"/>
            <w:shd w:val="clear" w:color="auto" w:fill="C6D9F1" w:themeFill="text2" w:themeFillTint="33"/>
            <w:vAlign w:val="center"/>
          </w:tcPr>
          <w:p w:rsidR="0084414B" w:rsidRPr="00BB4F4E" w:rsidRDefault="0084414B" w:rsidP="00A46625">
            <w:pPr>
              <w:widowControl w:val="0"/>
              <w:tabs>
                <w:tab w:val="left" w:pos="993"/>
              </w:tabs>
              <w:adjustRightInd w:val="0"/>
              <w:ind w:left="0"/>
              <w:jc w:val="both"/>
              <w:textAlignment w:val="baseline"/>
              <w:rPr>
                <w:snapToGrid w:val="0"/>
                <w:sz w:val="18"/>
                <w:szCs w:val="18"/>
                <w:lang w:eastAsia="cs-CZ"/>
              </w:rPr>
            </w:pPr>
            <w:r w:rsidRPr="00BB4F4E">
              <w:rPr>
                <w:snapToGrid w:val="0"/>
                <w:sz w:val="18"/>
                <w:szCs w:val="18"/>
                <w:lang w:eastAsia="cs-CZ"/>
              </w:rPr>
              <w:t>Prioritná os</w:t>
            </w:r>
          </w:p>
        </w:tc>
        <w:tc>
          <w:tcPr>
            <w:tcW w:w="800" w:type="dxa"/>
            <w:shd w:val="clear" w:color="auto" w:fill="C6D9F1" w:themeFill="text2" w:themeFillTint="33"/>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Fond</w:t>
            </w:r>
          </w:p>
        </w:tc>
        <w:tc>
          <w:tcPr>
            <w:tcW w:w="1657" w:type="dxa"/>
            <w:shd w:val="clear" w:color="auto" w:fill="C6D9F1" w:themeFill="text2" w:themeFillTint="33"/>
            <w:vAlign w:val="center"/>
          </w:tcPr>
          <w:p w:rsidR="0084414B"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 xml:space="preserve">Kategória </w:t>
            </w:r>
          </w:p>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regiónov</w:t>
            </w:r>
          </w:p>
        </w:tc>
        <w:tc>
          <w:tcPr>
            <w:tcW w:w="1630" w:type="dxa"/>
            <w:shd w:val="clear" w:color="auto" w:fill="C6D9F1" w:themeFill="text2" w:themeFillTint="33"/>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Tematický cieľ</w:t>
            </w:r>
          </w:p>
        </w:tc>
        <w:tc>
          <w:tcPr>
            <w:tcW w:w="1728" w:type="dxa"/>
            <w:shd w:val="clear" w:color="auto" w:fill="C6D9F1" w:themeFill="text2" w:themeFillTint="33"/>
            <w:vAlign w:val="center"/>
          </w:tcPr>
          <w:p w:rsidR="0084414B"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Podpora EÚ</w:t>
            </w:r>
            <w:r>
              <w:rPr>
                <w:snapToGrid w:val="0"/>
                <w:sz w:val="18"/>
                <w:szCs w:val="18"/>
                <w:lang w:eastAsia="cs-CZ"/>
              </w:rPr>
              <w:t xml:space="preserve"> </w:t>
            </w:r>
          </w:p>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Pr>
                <w:snapToGrid w:val="0"/>
                <w:sz w:val="18"/>
                <w:szCs w:val="18"/>
                <w:lang w:eastAsia="cs-CZ"/>
              </w:rPr>
              <w:t>(v EUR)</w:t>
            </w:r>
          </w:p>
        </w:tc>
        <w:tc>
          <w:tcPr>
            <w:tcW w:w="1769" w:type="dxa"/>
            <w:shd w:val="clear" w:color="auto" w:fill="C6D9F1" w:themeFill="text2" w:themeFillTint="33"/>
            <w:vAlign w:val="center"/>
          </w:tcPr>
          <w:p w:rsidR="0084414B"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 xml:space="preserve">Národné </w:t>
            </w:r>
          </w:p>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Pr>
                <w:snapToGrid w:val="0"/>
                <w:sz w:val="18"/>
                <w:szCs w:val="18"/>
                <w:lang w:eastAsia="cs-CZ"/>
              </w:rPr>
              <w:t>s</w:t>
            </w:r>
            <w:r w:rsidRPr="00BB4F4E">
              <w:rPr>
                <w:snapToGrid w:val="0"/>
                <w:sz w:val="18"/>
                <w:szCs w:val="18"/>
                <w:lang w:eastAsia="cs-CZ"/>
              </w:rPr>
              <w:t>polufinancovanie</w:t>
            </w:r>
            <w:r>
              <w:rPr>
                <w:snapToGrid w:val="0"/>
                <w:sz w:val="18"/>
                <w:szCs w:val="18"/>
                <w:lang w:eastAsia="cs-CZ"/>
              </w:rPr>
              <w:t xml:space="preserve"> (v EUR)</w:t>
            </w:r>
          </w:p>
        </w:tc>
        <w:tc>
          <w:tcPr>
            <w:tcW w:w="1800" w:type="dxa"/>
            <w:shd w:val="clear" w:color="auto" w:fill="C6D9F1" w:themeFill="text2" w:themeFillTint="33"/>
            <w:vAlign w:val="center"/>
          </w:tcPr>
          <w:p w:rsidR="0084414B"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 xml:space="preserve">Celkové </w:t>
            </w:r>
          </w:p>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Pr>
                <w:snapToGrid w:val="0"/>
                <w:sz w:val="18"/>
                <w:szCs w:val="18"/>
                <w:lang w:eastAsia="cs-CZ"/>
              </w:rPr>
              <w:t>f</w:t>
            </w:r>
            <w:r w:rsidRPr="00BB4F4E">
              <w:rPr>
                <w:snapToGrid w:val="0"/>
                <w:sz w:val="18"/>
                <w:szCs w:val="18"/>
                <w:lang w:eastAsia="cs-CZ"/>
              </w:rPr>
              <w:t>inancovanie</w:t>
            </w:r>
            <w:r>
              <w:rPr>
                <w:snapToGrid w:val="0"/>
                <w:sz w:val="18"/>
                <w:szCs w:val="18"/>
                <w:lang w:eastAsia="cs-CZ"/>
              </w:rPr>
              <w:t xml:space="preserve"> (v EUR)</w:t>
            </w:r>
          </w:p>
        </w:tc>
      </w:tr>
      <w:tr w:rsidR="0084414B" w:rsidRPr="00BB4F4E" w:rsidTr="00A127CB">
        <w:trPr>
          <w:trHeight w:val="312"/>
          <w:jc w:val="center"/>
        </w:trPr>
        <w:tc>
          <w:tcPr>
            <w:tcW w:w="4791" w:type="dxa"/>
            <w:shd w:val="clear" w:color="auto" w:fill="auto"/>
            <w:vAlign w:val="center"/>
          </w:tcPr>
          <w:p w:rsidR="0084414B" w:rsidRPr="00BB4F4E" w:rsidRDefault="0084414B" w:rsidP="00A46625">
            <w:pPr>
              <w:widowControl w:val="0"/>
              <w:tabs>
                <w:tab w:val="left" w:pos="993"/>
              </w:tabs>
              <w:adjustRightInd w:val="0"/>
              <w:ind w:left="0"/>
              <w:jc w:val="both"/>
              <w:textAlignment w:val="baseline"/>
              <w:rPr>
                <w:snapToGrid w:val="0"/>
                <w:sz w:val="18"/>
                <w:szCs w:val="18"/>
                <w:lang w:eastAsia="cs-CZ"/>
              </w:rPr>
            </w:pPr>
            <w:r>
              <w:rPr>
                <w:snapToGrid w:val="0"/>
                <w:sz w:val="18"/>
                <w:szCs w:val="18"/>
                <w:lang w:eastAsia="cs-CZ"/>
              </w:rPr>
              <w:t>PO</w:t>
            </w:r>
            <w:r w:rsidRPr="00BB4F4E">
              <w:rPr>
                <w:snapToGrid w:val="0"/>
                <w:sz w:val="18"/>
                <w:szCs w:val="18"/>
                <w:lang w:eastAsia="cs-CZ"/>
              </w:rPr>
              <w:t xml:space="preserve"> 1</w:t>
            </w:r>
            <w:r>
              <w:rPr>
                <w:snapToGrid w:val="0"/>
                <w:sz w:val="18"/>
                <w:szCs w:val="18"/>
                <w:lang w:eastAsia="cs-CZ"/>
              </w:rPr>
              <w:t xml:space="preserve"> – Železničná infraštruktúra (TEN-T CORE)</w:t>
            </w:r>
            <w:r w:rsidR="00E343E0">
              <w:rPr>
                <w:snapToGrid w:val="0"/>
                <w:sz w:val="18"/>
                <w:szCs w:val="18"/>
                <w:lang w:eastAsia="cs-CZ"/>
              </w:rPr>
              <w:t xml:space="preserve"> a obnova mobilných prostriedkov</w:t>
            </w:r>
          </w:p>
        </w:tc>
        <w:tc>
          <w:tcPr>
            <w:tcW w:w="80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Pr>
                <w:snapToGrid w:val="0"/>
                <w:sz w:val="18"/>
                <w:szCs w:val="18"/>
                <w:lang w:eastAsia="cs-CZ"/>
              </w:rPr>
              <w:t>KF</w:t>
            </w:r>
          </w:p>
        </w:tc>
        <w:tc>
          <w:tcPr>
            <w:tcW w:w="1657" w:type="dxa"/>
            <w:vAlign w:val="center"/>
          </w:tcPr>
          <w:p w:rsidR="0084414B" w:rsidRPr="00984F39" w:rsidRDefault="0084414B" w:rsidP="00A46625">
            <w:pPr>
              <w:widowControl w:val="0"/>
              <w:tabs>
                <w:tab w:val="left" w:pos="993"/>
              </w:tabs>
              <w:adjustRightInd w:val="0"/>
              <w:ind w:left="0"/>
              <w:jc w:val="center"/>
              <w:textAlignment w:val="baseline"/>
              <w:rPr>
                <w:i/>
                <w:snapToGrid w:val="0"/>
                <w:sz w:val="18"/>
                <w:szCs w:val="18"/>
                <w:lang w:eastAsia="cs-CZ"/>
              </w:rPr>
            </w:pPr>
            <w:r w:rsidRPr="00984F39">
              <w:rPr>
                <w:i/>
                <w:snapToGrid w:val="0"/>
                <w:sz w:val="18"/>
                <w:szCs w:val="18"/>
                <w:lang w:eastAsia="cs-CZ"/>
              </w:rPr>
              <w:t>N/A</w:t>
            </w:r>
          </w:p>
        </w:tc>
        <w:tc>
          <w:tcPr>
            <w:tcW w:w="163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 xml:space="preserve">Tematický cieľ </w:t>
            </w:r>
            <w:r>
              <w:rPr>
                <w:snapToGrid w:val="0"/>
                <w:sz w:val="18"/>
                <w:szCs w:val="18"/>
                <w:lang w:eastAsia="cs-CZ"/>
              </w:rPr>
              <w:t>7</w:t>
            </w:r>
          </w:p>
        </w:tc>
        <w:tc>
          <w:tcPr>
            <w:tcW w:w="1728"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725 839 166</w:t>
            </w:r>
          </w:p>
        </w:tc>
        <w:tc>
          <w:tcPr>
            <w:tcW w:w="1769"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128 089 265</w:t>
            </w:r>
          </w:p>
        </w:tc>
        <w:tc>
          <w:tcPr>
            <w:tcW w:w="1800"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853 928 431</w:t>
            </w:r>
          </w:p>
        </w:tc>
      </w:tr>
      <w:tr w:rsidR="0084414B" w:rsidRPr="00BB4F4E" w:rsidTr="00A127CB">
        <w:trPr>
          <w:trHeight w:val="312"/>
          <w:jc w:val="center"/>
        </w:trPr>
        <w:tc>
          <w:tcPr>
            <w:tcW w:w="4791" w:type="dxa"/>
            <w:shd w:val="clear" w:color="auto" w:fill="auto"/>
            <w:vAlign w:val="center"/>
          </w:tcPr>
          <w:p w:rsidR="0084414B" w:rsidRPr="00BB4F4E" w:rsidRDefault="0084414B" w:rsidP="00A46625">
            <w:pPr>
              <w:widowControl w:val="0"/>
              <w:tabs>
                <w:tab w:val="left" w:pos="993"/>
              </w:tabs>
              <w:adjustRightInd w:val="0"/>
              <w:ind w:left="0"/>
              <w:jc w:val="both"/>
              <w:textAlignment w:val="baseline"/>
              <w:rPr>
                <w:snapToGrid w:val="0"/>
                <w:sz w:val="18"/>
                <w:szCs w:val="18"/>
                <w:lang w:eastAsia="cs-CZ"/>
              </w:rPr>
            </w:pPr>
            <w:r>
              <w:rPr>
                <w:snapToGrid w:val="0"/>
                <w:sz w:val="18"/>
                <w:szCs w:val="18"/>
                <w:lang w:eastAsia="cs-CZ"/>
              </w:rPr>
              <w:t>PO</w:t>
            </w:r>
            <w:r w:rsidRPr="00BB4F4E">
              <w:rPr>
                <w:snapToGrid w:val="0"/>
                <w:sz w:val="18"/>
                <w:szCs w:val="18"/>
                <w:lang w:eastAsia="cs-CZ"/>
              </w:rPr>
              <w:t xml:space="preserve"> 2</w:t>
            </w:r>
            <w:r>
              <w:rPr>
                <w:snapToGrid w:val="0"/>
                <w:sz w:val="18"/>
                <w:szCs w:val="18"/>
                <w:lang w:eastAsia="cs-CZ"/>
              </w:rPr>
              <w:t xml:space="preserve"> – Cestná infraštruktúra (TEN-T CORE)</w:t>
            </w:r>
          </w:p>
        </w:tc>
        <w:tc>
          <w:tcPr>
            <w:tcW w:w="80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Pr>
                <w:snapToGrid w:val="0"/>
                <w:sz w:val="18"/>
                <w:szCs w:val="18"/>
                <w:lang w:eastAsia="cs-CZ"/>
              </w:rPr>
              <w:t>KF</w:t>
            </w:r>
          </w:p>
        </w:tc>
        <w:tc>
          <w:tcPr>
            <w:tcW w:w="1657" w:type="dxa"/>
            <w:vAlign w:val="center"/>
          </w:tcPr>
          <w:p w:rsidR="0084414B" w:rsidRPr="00984F39" w:rsidRDefault="0084414B" w:rsidP="00A46625">
            <w:pPr>
              <w:widowControl w:val="0"/>
              <w:tabs>
                <w:tab w:val="left" w:pos="993"/>
              </w:tabs>
              <w:adjustRightInd w:val="0"/>
              <w:ind w:left="0"/>
              <w:jc w:val="center"/>
              <w:textAlignment w:val="baseline"/>
              <w:rPr>
                <w:i/>
                <w:snapToGrid w:val="0"/>
                <w:sz w:val="18"/>
                <w:szCs w:val="18"/>
                <w:lang w:eastAsia="cs-CZ"/>
              </w:rPr>
            </w:pPr>
            <w:r w:rsidRPr="00984F39">
              <w:rPr>
                <w:i/>
                <w:snapToGrid w:val="0"/>
                <w:sz w:val="18"/>
                <w:szCs w:val="18"/>
                <w:lang w:eastAsia="cs-CZ"/>
              </w:rPr>
              <w:t>N/A</w:t>
            </w:r>
          </w:p>
        </w:tc>
        <w:tc>
          <w:tcPr>
            <w:tcW w:w="163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 xml:space="preserve">Tematický cieľ </w:t>
            </w:r>
            <w:r>
              <w:rPr>
                <w:snapToGrid w:val="0"/>
                <w:sz w:val="18"/>
                <w:szCs w:val="18"/>
                <w:lang w:eastAsia="cs-CZ"/>
              </w:rPr>
              <w:t>7</w:t>
            </w:r>
          </w:p>
        </w:tc>
        <w:tc>
          <w:tcPr>
            <w:tcW w:w="1728"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1 142 500 000</w:t>
            </w:r>
          </w:p>
        </w:tc>
        <w:tc>
          <w:tcPr>
            <w:tcW w:w="1769"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201 617 648</w:t>
            </w:r>
          </w:p>
        </w:tc>
        <w:tc>
          <w:tcPr>
            <w:tcW w:w="1800"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1 344 117 648</w:t>
            </w:r>
          </w:p>
        </w:tc>
      </w:tr>
      <w:tr w:rsidR="0084414B" w:rsidRPr="00BB4F4E" w:rsidTr="00A127CB">
        <w:trPr>
          <w:trHeight w:val="312"/>
          <w:jc w:val="center"/>
        </w:trPr>
        <w:tc>
          <w:tcPr>
            <w:tcW w:w="4791" w:type="dxa"/>
            <w:shd w:val="clear" w:color="auto" w:fill="auto"/>
            <w:vAlign w:val="center"/>
          </w:tcPr>
          <w:p w:rsidR="0084414B" w:rsidRPr="00BB4F4E" w:rsidRDefault="0084414B" w:rsidP="00A46625">
            <w:pPr>
              <w:widowControl w:val="0"/>
              <w:tabs>
                <w:tab w:val="left" w:pos="993"/>
              </w:tabs>
              <w:adjustRightInd w:val="0"/>
              <w:ind w:left="0"/>
              <w:jc w:val="both"/>
              <w:textAlignment w:val="baseline"/>
              <w:rPr>
                <w:snapToGrid w:val="0"/>
                <w:sz w:val="18"/>
                <w:szCs w:val="18"/>
                <w:lang w:eastAsia="cs-CZ"/>
              </w:rPr>
            </w:pPr>
            <w:r>
              <w:rPr>
                <w:snapToGrid w:val="0"/>
                <w:sz w:val="18"/>
                <w:szCs w:val="18"/>
                <w:lang w:eastAsia="cs-CZ"/>
              </w:rPr>
              <w:t>PO 3 – Verejná osobná doprava</w:t>
            </w:r>
          </w:p>
        </w:tc>
        <w:tc>
          <w:tcPr>
            <w:tcW w:w="80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Pr>
                <w:snapToGrid w:val="0"/>
                <w:sz w:val="18"/>
                <w:szCs w:val="18"/>
                <w:lang w:eastAsia="cs-CZ"/>
              </w:rPr>
              <w:t>KF</w:t>
            </w:r>
          </w:p>
        </w:tc>
        <w:tc>
          <w:tcPr>
            <w:tcW w:w="1657" w:type="dxa"/>
            <w:vAlign w:val="center"/>
          </w:tcPr>
          <w:p w:rsidR="0084414B" w:rsidRPr="00984F39" w:rsidRDefault="0084414B" w:rsidP="00A46625">
            <w:pPr>
              <w:widowControl w:val="0"/>
              <w:tabs>
                <w:tab w:val="left" w:pos="993"/>
              </w:tabs>
              <w:adjustRightInd w:val="0"/>
              <w:ind w:left="0"/>
              <w:jc w:val="center"/>
              <w:textAlignment w:val="baseline"/>
              <w:rPr>
                <w:i/>
                <w:snapToGrid w:val="0"/>
                <w:sz w:val="18"/>
                <w:szCs w:val="18"/>
                <w:lang w:eastAsia="cs-CZ"/>
              </w:rPr>
            </w:pPr>
            <w:r w:rsidRPr="00984F39">
              <w:rPr>
                <w:i/>
                <w:snapToGrid w:val="0"/>
                <w:sz w:val="18"/>
                <w:szCs w:val="18"/>
                <w:lang w:eastAsia="cs-CZ"/>
              </w:rPr>
              <w:t>N/A</w:t>
            </w:r>
          </w:p>
        </w:tc>
        <w:tc>
          <w:tcPr>
            <w:tcW w:w="163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sidRPr="00001F01">
              <w:rPr>
                <w:snapToGrid w:val="0"/>
                <w:sz w:val="18"/>
                <w:szCs w:val="18"/>
                <w:lang w:eastAsia="cs-CZ"/>
              </w:rPr>
              <w:t>Tematický cieľ 7</w:t>
            </w:r>
          </w:p>
        </w:tc>
        <w:tc>
          <w:tcPr>
            <w:tcW w:w="1728"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322 350 000</w:t>
            </w:r>
          </w:p>
        </w:tc>
        <w:tc>
          <w:tcPr>
            <w:tcW w:w="1769"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56 885 295</w:t>
            </w:r>
          </w:p>
        </w:tc>
        <w:tc>
          <w:tcPr>
            <w:tcW w:w="1800" w:type="dxa"/>
            <w:vAlign w:val="center"/>
          </w:tcPr>
          <w:p w:rsidR="0084414B" w:rsidRPr="00522F37" w:rsidRDefault="0084414B" w:rsidP="00A46625">
            <w:pPr>
              <w:widowControl w:val="0"/>
              <w:tabs>
                <w:tab w:val="left" w:pos="993"/>
              </w:tabs>
              <w:adjustRightInd w:val="0"/>
              <w:ind w:left="0"/>
              <w:jc w:val="right"/>
              <w:textAlignment w:val="baseline"/>
              <w:rPr>
                <w:snapToGrid w:val="0"/>
                <w:sz w:val="18"/>
                <w:szCs w:val="18"/>
                <w:lang w:val="en-US" w:eastAsia="cs-CZ"/>
              </w:rPr>
            </w:pPr>
            <w:r>
              <w:rPr>
                <w:snapToGrid w:val="0"/>
                <w:sz w:val="18"/>
                <w:szCs w:val="18"/>
                <w:lang w:val="en-US" w:eastAsia="cs-CZ"/>
              </w:rPr>
              <w:t>379 235 295</w:t>
            </w:r>
          </w:p>
        </w:tc>
      </w:tr>
      <w:tr w:rsidR="0084414B" w:rsidRPr="00BB4F4E" w:rsidTr="00A127CB">
        <w:trPr>
          <w:trHeight w:val="312"/>
          <w:jc w:val="center"/>
        </w:trPr>
        <w:tc>
          <w:tcPr>
            <w:tcW w:w="4791" w:type="dxa"/>
            <w:shd w:val="clear" w:color="auto" w:fill="auto"/>
            <w:vAlign w:val="center"/>
          </w:tcPr>
          <w:p w:rsidR="0084414B" w:rsidRPr="00BB4F4E" w:rsidRDefault="0084414B" w:rsidP="00A46625">
            <w:pPr>
              <w:widowControl w:val="0"/>
              <w:tabs>
                <w:tab w:val="left" w:pos="993"/>
              </w:tabs>
              <w:adjustRightInd w:val="0"/>
              <w:ind w:left="0"/>
              <w:jc w:val="both"/>
              <w:textAlignment w:val="baseline"/>
              <w:rPr>
                <w:snapToGrid w:val="0"/>
                <w:sz w:val="18"/>
                <w:szCs w:val="18"/>
                <w:lang w:eastAsia="cs-CZ"/>
              </w:rPr>
            </w:pPr>
            <w:r>
              <w:rPr>
                <w:snapToGrid w:val="0"/>
                <w:sz w:val="18"/>
                <w:szCs w:val="18"/>
                <w:lang w:eastAsia="cs-CZ"/>
              </w:rPr>
              <w:t>PO 4 – Infraštruktúra vodnej dopravy (TEN-T CORE)</w:t>
            </w:r>
          </w:p>
        </w:tc>
        <w:tc>
          <w:tcPr>
            <w:tcW w:w="80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Pr>
                <w:snapToGrid w:val="0"/>
                <w:sz w:val="18"/>
                <w:szCs w:val="18"/>
                <w:lang w:eastAsia="cs-CZ"/>
              </w:rPr>
              <w:t>KF</w:t>
            </w:r>
          </w:p>
        </w:tc>
        <w:tc>
          <w:tcPr>
            <w:tcW w:w="1657" w:type="dxa"/>
            <w:vAlign w:val="center"/>
          </w:tcPr>
          <w:p w:rsidR="0084414B" w:rsidRPr="00984F39" w:rsidRDefault="0084414B" w:rsidP="00A46625">
            <w:pPr>
              <w:widowControl w:val="0"/>
              <w:tabs>
                <w:tab w:val="left" w:pos="993"/>
              </w:tabs>
              <w:adjustRightInd w:val="0"/>
              <w:ind w:left="0"/>
              <w:jc w:val="center"/>
              <w:textAlignment w:val="baseline"/>
              <w:rPr>
                <w:i/>
                <w:snapToGrid w:val="0"/>
                <w:sz w:val="18"/>
                <w:szCs w:val="18"/>
                <w:lang w:eastAsia="cs-CZ"/>
              </w:rPr>
            </w:pPr>
            <w:r w:rsidRPr="00984F39">
              <w:rPr>
                <w:i/>
                <w:snapToGrid w:val="0"/>
                <w:sz w:val="18"/>
                <w:szCs w:val="18"/>
                <w:lang w:eastAsia="cs-CZ"/>
              </w:rPr>
              <w:t>N/A</w:t>
            </w:r>
          </w:p>
        </w:tc>
        <w:tc>
          <w:tcPr>
            <w:tcW w:w="163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 xml:space="preserve">Tematický cieľ </w:t>
            </w:r>
            <w:r>
              <w:rPr>
                <w:snapToGrid w:val="0"/>
                <w:sz w:val="18"/>
                <w:szCs w:val="18"/>
                <w:lang w:eastAsia="cs-CZ"/>
              </w:rPr>
              <w:t>7</w:t>
            </w:r>
          </w:p>
        </w:tc>
        <w:tc>
          <w:tcPr>
            <w:tcW w:w="1728"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116 450 000</w:t>
            </w:r>
          </w:p>
        </w:tc>
        <w:tc>
          <w:tcPr>
            <w:tcW w:w="1769"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20 550 000</w:t>
            </w:r>
          </w:p>
        </w:tc>
        <w:tc>
          <w:tcPr>
            <w:tcW w:w="1800"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137 000 000</w:t>
            </w:r>
          </w:p>
        </w:tc>
      </w:tr>
      <w:tr w:rsidR="0084414B" w:rsidRPr="00BB4F4E" w:rsidTr="00A127CB">
        <w:trPr>
          <w:trHeight w:val="312"/>
          <w:jc w:val="center"/>
        </w:trPr>
        <w:tc>
          <w:tcPr>
            <w:tcW w:w="4791" w:type="dxa"/>
            <w:shd w:val="clear" w:color="auto" w:fill="auto"/>
            <w:vAlign w:val="center"/>
          </w:tcPr>
          <w:p w:rsidR="0084414B" w:rsidRPr="00BB4F4E" w:rsidRDefault="0084414B" w:rsidP="00A46625">
            <w:pPr>
              <w:widowControl w:val="0"/>
              <w:tabs>
                <w:tab w:val="left" w:pos="993"/>
              </w:tabs>
              <w:adjustRightInd w:val="0"/>
              <w:ind w:left="0"/>
              <w:jc w:val="both"/>
              <w:textAlignment w:val="baseline"/>
              <w:rPr>
                <w:snapToGrid w:val="0"/>
                <w:sz w:val="18"/>
                <w:szCs w:val="18"/>
                <w:lang w:eastAsia="cs-CZ"/>
              </w:rPr>
            </w:pPr>
            <w:r>
              <w:rPr>
                <w:snapToGrid w:val="0"/>
                <w:sz w:val="18"/>
                <w:szCs w:val="18"/>
                <w:lang w:eastAsia="cs-CZ"/>
              </w:rPr>
              <w:t>PO 5 – Železničná infraštruktúra (mimo TEN-T CORE)</w:t>
            </w:r>
          </w:p>
        </w:tc>
        <w:tc>
          <w:tcPr>
            <w:tcW w:w="80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Pr>
                <w:snapToGrid w:val="0"/>
                <w:sz w:val="18"/>
                <w:szCs w:val="18"/>
                <w:lang w:eastAsia="cs-CZ"/>
              </w:rPr>
              <w:t>EFRR</w:t>
            </w:r>
          </w:p>
        </w:tc>
        <w:tc>
          <w:tcPr>
            <w:tcW w:w="1657" w:type="dxa"/>
            <w:vAlign w:val="center"/>
          </w:tcPr>
          <w:p w:rsidR="0084414B" w:rsidRPr="00984F39" w:rsidRDefault="0084414B" w:rsidP="00A46625">
            <w:pPr>
              <w:widowControl w:val="0"/>
              <w:tabs>
                <w:tab w:val="left" w:pos="993"/>
              </w:tabs>
              <w:adjustRightInd w:val="0"/>
              <w:ind w:left="0"/>
              <w:jc w:val="center"/>
              <w:textAlignment w:val="baseline"/>
              <w:rPr>
                <w:i/>
                <w:snapToGrid w:val="0"/>
                <w:sz w:val="18"/>
                <w:szCs w:val="18"/>
                <w:lang w:eastAsia="cs-CZ"/>
              </w:rPr>
            </w:pPr>
            <w:r w:rsidRPr="00984F39">
              <w:rPr>
                <w:i/>
                <w:snapToGrid w:val="0"/>
                <w:sz w:val="18"/>
                <w:szCs w:val="18"/>
                <w:lang w:eastAsia="cs-CZ"/>
              </w:rPr>
              <w:t>Menej rozvinutý</w:t>
            </w:r>
          </w:p>
        </w:tc>
        <w:tc>
          <w:tcPr>
            <w:tcW w:w="163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 xml:space="preserve">Tematický cieľ </w:t>
            </w:r>
            <w:r>
              <w:rPr>
                <w:snapToGrid w:val="0"/>
                <w:sz w:val="18"/>
                <w:szCs w:val="18"/>
                <w:lang w:eastAsia="cs-CZ"/>
              </w:rPr>
              <w:t>7</w:t>
            </w:r>
          </w:p>
        </w:tc>
        <w:tc>
          <w:tcPr>
            <w:tcW w:w="1728"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300 482 227</w:t>
            </w:r>
          </w:p>
        </w:tc>
        <w:tc>
          <w:tcPr>
            <w:tcW w:w="1769"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53 026 276</w:t>
            </w:r>
          </w:p>
        </w:tc>
        <w:tc>
          <w:tcPr>
            <w:tcW w:w="1800"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353 508 503</w:t>
            </w:r>
          </w:p>
        </w:tc>
      </w:tr>
      <w:tr w:rsidR="0084414B" w:rsidRPr="00BB4F4E" w:rsidTr="00A127CB">
        <w:trPr>
          <w:trHeight w:val="312"/>
          <w:jc w:val="center"/>
        </w:trPr>
        <w:tc>
          <w:tcPr>
            <w:tcW w:w="4791" w:type="dxa"/>
            <w:shd w:val="clear" w:color="auto" w:fill="auto"/>
            <w:vAlign w:val="center"/>
          </w:tcPr>
          <w:p w:rsidR="0084414B" w:rsidRPr="00BB4F4E" w:rsidRDefault="0084414B" w:rsidP="00A46625">
            <w:pPr>
              <w:widowControl w:val="0"/>
              <w:tabs>
                <w:tab w:val="left" w:pos="993"/>
              </w:tabs>
              <w:adjustRightInd w:val="0"/>
              <w:ind w:left="0"/>
              <w:jc w:val="both"/>
              <w:textAlignment w:val="baseline"/>
              <w:rPr>
                <w:snapToGrid w:val="0"/>
                <w:sz w:val="18"/>
                <w:szCs w:val="18"/>
                <w:lang w:eastAsia="cs-CZ"/>
              </w:rPr>
            </w:pPr>
            <w:r>
              <w:rPr>
                <w:snapToGrid w:val="0"/>
                <w:sz w:val="18"/>
                <w:szCs w:val="18"/>
                <w:lang w:eastAsia="cs-CZ"/>
              </w:rPr>
              <w:t>PO 6 – Cestná infraštruktúra (mimo TEN-T CORE)</w:t>
            </w:r>
          </w:p>
        </w:tc>
        <w:tc>
          <w:tcPr>
            <w:tcW w:w="80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Pr>
                <w:snapToGrid w:val="0"/>
                <w:sz w:val="18"/>
                <w:szCs w:val="18"/>
                <w:lang w:eastAsia="cs-CZ"/>
              </w:rPr>
              <w:t>EFRR</w:t>
            </w:r>
          </w:p>
        </w:tc>
        <w:tc>
          <w:tcPr>
            <w:tcW w:w="1657" w:type="dxa"/>
            <w:vAlign w:val="center"/>
          </w:tcPr>
          <w:p w:rsidR="0084414B" w:rsidRPr="00984F39" w:rsidRDefault="0084414B" w:rsidP="00A46625">
            <w:pPr>
              <w:widowControl w:val="0"/>
              <w:tabs>
                <w:tab w:val="left" w:pos="993"/>
              </w:tabs>
              <w:adjustRightInd w:val="0"/>
              <w:ind w:left="0"/>
              <w:jc w:val="center"/>
              <w:textAlignment w:val="baseline"/>
              <w:rPr>
                <w:i/>
                <w:snapToGrid w:val="0"/>
                <w:sz w:val="18"/>
                <w:szCs w:val="18"/>
                <w:lang w:eastAsia="cs-CZ"/>
              </w:rPr>
            </w:pPr>
            <w:r w:rsidRPr="00984F39">
              <w:rPr>
                <w:i/>
                <w:snapToGrid w:val="0"/>
                <w:sz w:val="18"/>
                <w:szCs w:val="18"/>
                <w:lang w:eastAsia="cs-CZ"/>
              </w:rPr>
              <w:t>Menej rozvinutý</w:t>
            </w:r>
          </w:p>
        </w:tc>
        <w:tc>
          <w:tcPr>
            <w:tcW w:w="163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 xml:space="preserve">Tematický cieľ </w:t>
            </w:r>
            <w:r>
              <w:rPr>
                <w:snapToGrid w:val="0"/>
                <w:sz w:val="18"/>
                <w:szCs w:val="18"/>
                <w:lang w:eastAsia="cs-CZ"/>
              </w:rPr>
              <w:t>7</w:t>
            </w:r>
          </w:p>
        </w:tc>
        <w:tc>
          <w:tcPr>
            <w:tcW w:w="1728"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503 007 228</w:t>
            </w:r>
          </w:p>
        </w:tc>
        <w:tc>
          <w:tcPr>
            <w:tcW w:w="1769"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88 765 982</w:t>
            </w:r>
          </w:p>
        </w:tc>
        <w:tc>
          <w:tcPr>
            <w:tcW w:w="1800"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591 773 210</w:t>
            </w:r>
          </w:p>
        </w:tc>
      </w:tr>
      <w:tr w:rsidR="0084414B" w:rsidRPr="00BB4F4E" w:rsidTr="00A127CB">
        <w:trPr>
          <w:trHeight w:val="312"/>
          <w:jc w:val="center"/>
        </w:trPr>
        <w:tc>
          <w:tcPr>
            <w:tcW w:w="4791" w:type="dxa"/>
            <w:shd w:val="clear" w:color="auto" w:fill="auto"/>
            <w:vAlign w:val="center"/>
          </w:tcPr>
          <w:p w:rsidR="0084414B" w:rsidRPr="00BB4F4E" w:rsidRDefault="0084414B" w:rsidP="00A46625">
            <w:pPr>
              <w:widowControl w:val="0"/>
              <w:tabs>
                <w:tab w:val="left" w:pos="993"/>
              </w:tabs>
              <w:adjustRightInd w:val="0"/>
              <w:ind w:left="0"/>
              <w:jc w:val="both"/>
              <w:textAlignment w:val="baseline"/>
              <w:rPr>
                <w:snapToGrid w:val="0"/>
                <w:sz w:val="18"/>
                <w:szCs w:val="18"/>
                <w:lang w:eastAsia="cs-CZ"/>
              </w:rPr>
            </w:pPr>
            <w:r w:rsidRPr="00BB4F4E">
              <w:rPr>
                <w:snapToGrid w:val="0"/>
                <w:sz w:val="18"/>
                <w:szCs w:val="18"/>
                <w:lang w:eastAsia="cs-CZ"/>
              </w:rPr>
              <w:t>P</w:t>
            </w:r>
            <w:r>
              <w:rPr>
                <w:snapToGrid w:val="0"/>
                <w:sz w:val="18"/>
                <w:szCs w:val="18"/>
                <w:lang w:eastAsia="cs-CZ"/>
              </w:rPr>
              <w:t>O</w:t>
            </w:r>
            <w:r w:rsidRPr="00BB4F4E">
              <w:rPr>
                <w:snapToGrid w:val="0"/>
                <w:sz w:val="18"/>
                <w:szCs w:val="18"/>
                <w:lang w:eastAsia="cs-CZ"/>
              </w:rPr>
              <w:t xml:space="preserve"> 7</w:t>
            </w:r>
            <w:r>
              <w:rPr>
                <w:snapToGrid w:val="0"/>
                <w:sz w:val="18"/>
                <w:szCs w:val="18"/>
                <w:lang w:eastAsia="cs-CZ"/>
              </w:rPr>
              <w:t xml:space="preserve"> – Informačná spoločnosť</w:t>
            </w:r>
          </w:p>
        </w:tc>
        <w:tc>
          <w:tcPr>
            <w:tcW w:w="80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EFRR</w:t>
            </w:r>
          </w:p>
        </w:tc>
        <w:tc>
          <w:tcPr>
            <w:tcW w:w="1657" w:type="dxa"/>
            <w:vAlign w:val="center"/>
          </w:tcPr>
          <w:p w:rsidR="0084414B" w:rsidRPr="00984F39" w:rsidRDefault="0084414B" w:rsidP="00A46625">
            <w:pPr>
              <w:widowControl w:val="0"/>
              <w:tabs>
                <w:tab w:val="left" w:pos="993"/>
              </w:tabs>
              <w:adjustRightInd w:val="0"/>
              <w:ind w:left="0"/>
              <w:jc w:val="center"/>
              <w:textAlignment w:val="baseline"/>
              <w:rPr>
                <w:i/>
                <w:snapToGrid w:val="0"/>
                <w:sz w:val="18"/>
                <w:szCs w:val="18"/>
                <w:lang w:eastAsia="cs-CZ"/>
              </w:rPr>
            </w:pPr>
            <w:r w:rsidRPr="00984F39">
              <w:rPr>
                <w:i/>
                <w:snapToGrid w:val="0"/>
                <w:sz w:val="18"/>
                <w:szCs w:val="18"/>
                <w:lang w:eastAsia="cs-CZ"/>
              </w:rPr>
              <w:t>Menej rozvinutý</w:t>
            </w:r>
          </w:p>
        </w:tc>
        <w:tc>
          <w:tcPr>
            <w:tcW w:w="163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sidRPr="00BB4F4E">
              <w:rPr>
                <w:snapToGrid w:val="0"/>
                <w:sz w:val="18"/>
                <w:szCs w:val="18"/>
                <w:lang w:eastAsia="cs-CZ"/>
              </w:rPr>
              <w:t>Tematický cieľ 2</w:t>
            </w:r>
          </w:p>
        </w:tc>
        <w:tc>
          <w:tcPr>
            <w:tcW w:w="1728"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sidRPr="00BB4F4E">
              <w:rPr>
                <w:snapToGrid w:val="0"/>
                <w:sz w:val="18"/>
                <w:szCs w:val="18"/>
                <w:lang w:eastAsia="cs-CZ"/>
              </w:rPr>
              <w:t>84</w:t>
            </w:r>
            <w:r>
              <w:rPr>
                <w:snapToGrid w:val="0"/>
                <w:sz w:val="18"/>
                <w:szCs w:val="18"/>
                <w:lang w:eastAsia="cs-CZ"/>
              </w:rPr>
              <w:t>1 016 752</w:t>
            </w:r>
          </w:p>
        </w:tc>
        <w:tc>
          <w:tcPr>
            <w:tcW w:w="1769"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148 414 721</w:t>
            </w:r>
          </w:p>
        </w:tc>
        <w:tc>
          <w:tcPr>
            <w:tcW w:w="1800"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989 431 473</w:t>
            </w:r>
          </w:p>
        </w:tc>
      </w:tr>
      <w:tr w:rsidR="0084414B" w:rsidRPr="00BB4F4E" w:rsidTr="00A127CB">
        <w:trPr>
          <w:trHeight w:val="312"/>
          <w:jc w:val="center"/>
        </w:trPr>
        <w:tc>
          <w:tcPr>
            <w:tcW w:w="4791" w:type="dxa"/>
            <w:shd w:val="clear" w:color="auto" w:fill="auto"/>
            <w:vAlign w:val="center"/>
          </w:tcPr>
          <w:p w:rsidR="0084414B" w:rsidRPr="00BB4F4E" w:rsidRDefault="0084414B" w:rsidP="00A46625">
            <w:pPr>
              <w:widowControl w:val="0"/>
              <w:tabs>
                <w:tab w:val="left" w:pos="993"/>
              </w:tabs>
              <w:adjustRightInd w:val="0"/>
              <w:ind w:left="0"/>
              <w:jc w:val="both"/>
              <w:textAlignment w:val="baseline"/>
              <w:rPr>
                <w:snapToGrid w:val="0"/>
                <w:sz w:val="18"/>
                <w:szCs w:val="18"/>
                <w:lang w:eastAsia="cs-CZ"/>
              </w:rPr>
            </w:pPr>
            <w:r>
              <w:rPr>
                <w:snapToGrid w:val="0"/>
                <w:sz w:val="18"/>
                <w:szCs w:val="18"/>
                <w:lang w:eastAsia="cs-CZ"/>
              </w:rPr>
              <w:t>PO 8 – Technická pomoc</w:t>
            </w:r>
          </w:p>
        </w:tc>
        <w:tc>
          <w:tcPr>
            <w:tcW w:w="80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Pr>
                <w:snapToGrid w:val="0"/>
                <w:sz w:val="18"/>
                <w:szCs w:val="18"/>
                <w:lang w:eastAsia="cs-CZ"/>
              </w:rPr>
              <w:t>EFRR</w:t>
            </w:r>
          </w:p>
        </w:tc>
        <w:tc>
          <w:tcPr>
            <w:tcW w:w="1657" w:type="dxa"/>
            <w:vAlign w:val="center"/>
          </w:tcPr>
          <w:p w:rsidR="0084414B" w:rsidRPr="00984F39" w:rsidRDefault="0084414B" w:rsidP="00A46625">
            <w:pPr>
              <w:widowControl w:val="0"/>
              <w:tabs>
                <w:tab w:val="left" w:pos="993"/>
              </w:tabs>
              <w:adjustRightInd w:val="0"/>
              <w:ind w:left="0"/>
              <w:jc w:val="center"/>
              <w:textAlignment w:val="baseline"/>
              <w:rPr>
                <w:i/>
                <w:snapToGrid w:val="0"/>
                <w:sz w:val="18"/>
                <w:szCs w:val="18"/>
                <w:lang w:eastAsia="cs-CZ"/>
              </w:rPr>
            </w:pPr>
            <w:r w:rsidRPr="00984F39">
              <w:rPr>
                <w:i/>
                <w:snapToGrid w:val="0"/>
                <w:sz w:val="18"/>
                <w:szCs w:val="18"/>
                <w:lang w:eastAsia="cs-CZ"/>
              </w:rPr>
              <w:t>N/A</w:t>
            </w:r>
          </w:p>
        </w:tc>
        <w:tc>
          <w:tcPr>
            <w:tcW w:w="1630" w:type="dxa"/>
            <w:vAlign w:val="center"/>
          </w:tcPr>
          <w:p w:rsidR="0084414B" w:rsidRPr="00BB4F4E" w:rsidRDefault="0084414B" w:rsidP="00A46625">
            <w:pPr>
              <w:widowControl w:val="0"/>
              <w:tabs>
                <w:tab w:val="left" w:pos="993"/>
              </w:tabs>
              <w:adjustRightInd w:val="0"/>
              <w:ind w:left="0"/>
              <w:jc w:val="center"/>
              <w:textAlignment w:val="baseline"/>
              <w:rPr>
                <w:snapToGrid w:val="0"/>
                <w:sz w:val="18"/>
                <w:szCs w:val="18"/>
                <w:lang w:eastAsia="cs-CZ"/>
              </w:rPr>
            </w:pPr>
            <w:r>
              <w:rPr>
                <w:snapToGrid w:val="0"/>
                <w:sz w:val="18"/>
                <w:szCs w:val="18"/>
                <w:lang w:eastAsia="cs-CZ"/>
              </w:rPr>
              <w:t>N/A</w:t>
            </w:r>
          </w:p>
        </w:tc>
        <w:tc>
          <w:tcPr>
            <w:tcW w:w="1728"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85 000 000</w:t>
            </w:r>
          </w:p>
        </w:tc>
        <w:tc>
          <w:tcPr>
            <w:tcW w:w="1769" w:type="dxa"/>
            <w:vAlign w:val="center"/>
          </w:tcPr>
          <w:p w:rsidR="0084414B" w:rsidRPr="00BB4F4E" w:rsidRDefault="0084414B" w:rsidP="00A46625">
            <w:pPr>
              <w:widowControl w:val="0"/>
              <w:tabs>
                <w:tab w:val="left" w:pos="993"/>
              </w:tabs>
              <w:adjustRightInd w:val="0"/>
              <w:ind w:left="0"/>
              <w:jc w:val="right"/>
              <w:textAlignment w:val="baseline"/>
              <w:rPr>
                <w:snapToGrid w:val="0"/>
                <w:color w:val="000000"/>
                <w:sz w:val="18"/>
                <w:szCs w:val="18"/>
                <w:lang w:eastAsia="cs-CZ"/>
              </w:rPr>
            </w:pPr>
            <w:r>
              <w:rPr>
                <w:snapToGrid w:val="0"/>
                <w:color w:val="000000"/>
                <w:sz w:val="18"/>
                <w:szCs w:val="18"/>
                <w:lang w:eastAsia="cs-CZ"/>
              </w:rPr>
              <w:t>15 000 000</w:t>
            </w:r>
          </w:p>
        </w:tc>
        <w:tc>
          <w:tcPr>
            <w:tcW w:w="1800" w:type="dxa"/>
            <w:vAlign w:val="center"/>
          </w:tcPr>
          <w:p w:rsidR="0084414B" w:rsidRPr="00BB4F4E" w:rsidRDefault="0084414B" w:rsidP="00A46625">
            <w:pPr>
              <w:widowControl w:val="0"/>
              <w:tabs>
                <w:tab w:val="left" w:pos="993"/>
              </w:tabs>
              <w:adjustRightInd w:val="0"/>
              <w:ind w:left="0"/>
              <w:jc w:val="right"/>
              <w:textAlignment w:val="baseline"/>
              <w:rPr>
                <w:snapToGrid w:val="0"/>
                <w:sz w:val="18"/>
                <w:szCs w:val="18"/>
                <w:lang w:eastAsia="cs-CZ"/>
              </w:rPr>
            </w:pPr>
            <w:r>
              <w:rPr>
                <w:snapToGrid w:val="0"/>
                <w:sz w:val="18"/>
                <w:szCs w:val="18"/>
                <w:lang w:eastAsia="cs-CZ"/>
              </w:rPr>
              <w:t>100 000 000</w:t>
            </w:r>
          </w:p>
        </w:tc>
      </w:tr>
      <w:tr w:rsidR="0084414B" w:rsidRPr="00BB4F4E" w:rsidTr="00A127CB">
        <w:trPr>
          <w:trHeight w:val="312"/>
          <w:jc w:val="center"/>
        </w:trPr>
        <w:tc>
          <w:tcPr>
            <w:tcW w:w="4791" w:type="dxa"/>
            <w:shd w:val="clear" w:color="auto" w:fill="D9D9D9" w:themeFill="background1" w:themeFillShade="D9"/>
            <w:vAlign w:val="center"/>
          </w:tcPr>
          <w:p w:rsidR="0084414B" w:rsidRPr="002F2C93" w:rsidRDefault="0084414B" w:rsidP="00A46625">
            <w:pPr>
              <w:widowControl w:val="0"/>
              <w:tabs>
                <w:tab w:val="left" w:pos="993"/>
              </w:tabs>
              <w:adjustRightInd w:val="0"/>
              <w:ind w:left="0"/>
              <w:jc w:val="both"/>
              <w:textAlignment w:val="baseline"/>
              <w:rPr>
                <w:b/>
                <w:snapToGrid w:val="0"/>
                <w:sz w:val="18"/>
                <w:szCs w:val="18"/>
                <w:lang w:eastAsia="cs-CZ"/>
              </w:rPr>
            </w:pPr>
            <w:r w:rsidRPr="002F2C93">
              <w:rPr>
                <w:b/>
                <w:snapToGrid w:val="0"/>
                <w:sz w:val="18"/>
                <w:szCs w:val="18"/>
                <w:lang w:eastAsia="cs-CZ"/>
              </w:rPr>
              <w:t>Spolu</w:t>
            </w:r>
            <w:r>
              <w:rPr>
                <w:b/>
                <w:snapToGrid w:val="0"/>
                <w:sz w:val="18"/>
                <w:szCs w:val="18"/>
                <w:lang w:eastAsia="cs-CZ"/>
              </w:rPr>
              <w:t xml:space="preserve"> OPII</w:t>
            </w:r>
          </w:p>
        </w:tc>
        <w:tc>
          <w:tcPr>
            <w:tcW w:w="800" w:type="dxa"/>
            <w:shd w:val="clear" w:color="auto" w:fill="D9D9D9" w:themeFill="background1" w:themeFillShade="D9"/>
            <w:vAlign w:val="center"/>
          </w:tcPr>
          <w:p w:rsidR="0084414B" w:rsidRPr="00BB4F4E" w:rsidRDefault="0084414B" w:rsidP="00A46625">
            <w:pPr>
              <w:widowControl w:val="0"/>
              <w:autoSpaceDE w:val="0"/>
              <w:autoSpaceDN w:val="0"/>
              <w:adjustRightInd w:val="0"/>
              <w:ind w:left="0"/>
              <w:jc w:val="center"/>
              <w:rPr>
                <w:snapToGrid w:val="0"/>
                <w:sz w:val="18"/>
                <w:szCs w:val="18"/>
                <w:lang w:eastAsia="en-US"/>
              </w:rPr>
            </w:pPr>
            <w:r>
              <w:rPr>
                <w:snapToGrid w:val="0"/>
                <w:sz w:val="18"/>
                <w:szCs w:val="18"/>
                <w:lang w:eastAsia="en-US"/>
              </w:rPr>
              <w:t>-</w:t>
            </w:r>
          </w:p>
        </w:tc>
        <w:tc>
          <w:tcPr>
            <w:tcW w:w="1657" w:type="dxa"/>
            <w:shd w:val="clear" w:color="auto" w:fill="D9D9D9" w:themeFill="background1" w:themeFillShade="D9"/>
            <w:vAlign w:val="center"/>
          </w:tcPr>
          <w:p w:rsidR="0084414B" w:rsidRPr="00BB4F4E" w:rsidRDefault="0084414B" w:rsidP="00A46625">
            <w:pPr>
              <w:widowControl w:val="0"/>
              <w:autoSpaceDE w:val="0"/>
              <w:autoSpaceDN w:val="0"/>
              <w:adjustRightInd w:val="0"/>
              <w:ind w:left="0"/>
              <w:jc w:val="center"/>
              <w:rPr>
                <w:snapToGrid w:val="0"/>
                <w:sz w:val="18"/>
                <w:szCs w:val="18"/>
                <w:lang w:eastAsia="en-US"/>
              </w:rPr>
            </w:pPr>
            <w:r>
              <w:rPr>
                <w:snapToGrid w:val="0"/>
                <w:sz w:val="18"/>
                <w:szCs w:val="18"/>
                <w:lang w:eastAsia="en-US"/>
              </w:rPr>
              <w:t>-</w:t>
            </w:r>
          </w:p>
        </w:tc>
        <w:tc>
          <w:tcPr>
            <w:tcW w:w="1630" w:type="dxa"/>
            <w:shd w:val="clear" w:color="auto" w:fill="D9D9D9" w:themeFill="background1" w:themeFillShade="D9"/>
            <w:vAlign w:val="center"/>
          </w:tcPr>
          <w:p w:rsidR="0084414B" w:rsidRPr="00BB4F4E" w:rsidRDefault="0084414B" w:rsidP="00A46625">
            <w:pPr>
              <w:widowControl w:val="0"/>
              <w:autoSpaceDE w:val="0"/>
              <w:autoSpaceDN w:val="0"/>
              <w:adjustRightInd w:val="0"/>
              <w:ind w:left="0"/>
              <w:jc w:val="center"/>
              <w:rPr>
                <w:snapToGrid w:val="0"/>
                <w:sz w:val="18"/>
                <w:szCs w:val="18"/>
                <w:lang w:eastAsia="en-US"/>
              </w:rPr>
            </w:pPr>
            <w:r>
              <w:rPr>
                <w:snapToGrid w:val="0"/>
                <w:sz w:val="18"/>
                <w:szCs w:val="18"/>
                <w:lang w:eastAsia="en-US"/>
              </w:rPr>
              <w:t>-</w:t>
            </w:r>
          </w:p>
        </w:tc>
        <w:tc>
          <w:tcPr>
            <w:tcW w:w="1728" w:type="dxa"/>
            <w:shd w:val="clear" w:color="auto" w:fill="D9D9D9" w:themeFill="background1" w:themeFillShade="D9"/>
            <w:vAlign w:val="center"/>
          </w:tcPr>
          <w:p w:rsidR="0084414B" w:rsidRPr="002F2C93" w:rsidRDefault="0084414B" w:rsidP="00A46625">
            <w:pPr>
              <w:widowControl w:val="0"/>
              <w:autoSpaceDE w:val="0"/>
              <w:autoSpaceDN w:val="0"/>
              <w:adjustRightInd w:val="0"/>
              <w:ind w:left="0"/>
              <w:jc w:val="right"/>
              <w:rPr>
                <w:b/>
                <w:snapToGrid w:val="0"/>
                <w:sz w:val="18"/>
                <w:szCs w:val="18"/>
                <w:lang w:eastAsia="en-US"/>
              </w:rPr>
            </w:pPr>
            <w:r>
              <w:rPr>
                <w:b/>
                <w:snapToGrid w:val="0"/>
                <w:sz w:val="18"/>
                <w:szCs w:val="18"/>
                <w:lang w:eastAsia="en-US"/>
              </w:rPr>
              <w:t>4 036 645 373</w:t>
            </w:r>
          </w:p>
        </w:tc>
        <w:tc>
          <w:tcPr>
            <w:tcW w:w="1769" w:type="dxa"/>
            <w:shd w:val="clear" w:color="auto" w:fill="D9D9D9" w:themeFill="background1" w:themeFillShade="D9"/>
            <w:vAlign w:val="center"/>
          </w:tcPr>
          <w:p w:rsidR="0084414B" w:rsidRPr="002F2C93" w:rsidRDefault="0084414B" w:rsidP="00A46625">
            <w:pPr>
              <w:widowControl w:val="0"/>
              <w:autoSpaceDE w:val="0"/>
              <w:autoSpaceDN w:val="0"/>
              <w:adjustRightInd w:val="0"/>
              <w:ind w:left="0"/>
              <w:jc w:val="right"/>
              <w:rPr>
                <w:b/>
                <w:snapToGrid w:val="0"/>
                <w:sz w:val="18"/>
                <w:szCs w:val="18"/>
                <w:lang w:eastAsia="en-US"/>
              </w:rPr>
            </w:pPr>
            <w:r w:rsidRPr="002F2C93">
              <w:rPr>
                <w:b/>
                <w:snapToGrid w:val="0"/>
                <w:sz w:val="18"/>
                <w:szCs w:val="18"/>
                <w:lang w:eastAsia="en-US"/>
              </w:rPr>
              <w:t>712 349 18</w:t>
            </w:r>
            <w:r>
              <w:rPr>
                <w:b/>
                <w:snapToGrid w:val="0"/>
                <w:sz w:val="18"/>
                <w:szCs w:val="18"/>
                <w:lang w:eastAsia="en-US"/>
              </w:rPr>
              <w:t>7</w:t>
            </w:r>
          </w:p>
        </w:tc>
        <w:tc>
          <w:tcPr>
            <w:tcW w:w="1800" w:type="dxa"/>
            <w:shd w:val="clear" w:color="auto" w:fill="D9D9D9" w:themeFill="background1" w:themeFillShade="D9"/>
            <w:vAlign w:val="center"/>
          </w:tcPr>
          <w:p w:rsidR="0084414B" w:rsidRPr="002F2C93" w:rsidRDefault="0084414B" w:rsidP="00A46625">
            <w:pPr>
              <w:widowControl w:val="0"/>
              <w:autoSpaceDE w:val="0"/>
              <w:autoSpaceDN w:val="0"/>
              <w:adjustRightInd w:val="0"/>
              <w:ind w:left="0"/>
              <w:jc w:val="right"/>
              <w:rPr>
                <w:b/>
                <w:snapToGrid w:val="0"/>
                <w:sz w:val="18"/>
                <w:szCs w:val="18"/>
                <w:lang w:eastAsia="en-US"/>
              </w:rPr>
            </w:pPr>
            <w:r>
              <w:rPr>
                <w:b/>
                <w:snapToGrid w:val="0"/>
                <w:sz w:val="18"/>
                <w:szCs w:val="18"/>
                <w:lang w:eastAsia="en-US"/>
              </w:rPr>
              <w:t>4 748 994 560</w:t>
            </w:r>
          </w:p>
        </w:tc>
      </w:tr>
    </w:tbl>
    <w:p w:rsidR="0084414B" w:rsidRDefault="0084414B" w:rsidP="0084414B">
      <w:pPr>
        <w:pStyle w:val="Nadpis2"/>
        <w:tabs>
          <w:tab w:val="num" w:pos="851"/>
        </w:tabs>
        <w:spacing w:before="240"/>
      </w:pPr>
      <w:bookmarkStart w:id="108" w:name="_Toc383209141"/>
      <w:bookmarkStart w:id="109" w:name="_Toc383236555"/>
      <w:bookmarkStart w:id="110" w:name="_Toc385310745"/>
      <w:r w:rsidRPr="00174582">
        <w:t>Indikatívna alokácia na podporu cieľov zmeny klímy</w:t>
      </w:r>
      <w:bookmarkEnd w:id="108"/>
      <w:bookmarkEnd w:id="109"/>
      <w:bookmarkEnd w:id="110"/>
    </w:p>
    <w:p w:rsidR="0084414B" w:rsidRPr="00563AE2" w:rsidRDefault="0084414B" w:rsidP="0084414B">
      <w:pPr>
        <w:pStyle w:val="Tab"/>
      </w:pPr>
      <w:r w:rsidRPr="00174582">
        <w:t>Indikatívna alokácia na podporu cieľov zmeny klímy</w:t>
      </w:r>
    </w:p>
    <w:tbl>
      <w:tblPr>
        <w:tblStyle w:val="Mriekatabuky"/>
        <w:tblW w:w="1417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7163"/>
        <w:gridCol w:w="3597"/>
        <w:gridCol w:w="3415"/>
      </w:tblGrid>
      <w:tr w:rsidR="0084414B" w:rsidRPr="00A3076E" w:rsidTr="00A127CB">
        <w:trPr>
          <w:trHeight w:val="567"/>
          <w:jc w:val="center"/>
        </w:trPr>
        <w:tc>
          <w:tcPr>
            <w:tcW w:w="7163" w:type="dxa"/>
            <w:shd w:val="clear" w:color="auto" w:fill="C6D9F1" w:themeFill="text2" w:themeFillTint="33"/>
            <w:vAlign w:val="center"/>
          </w:tcPr>
          <w:p w:rsidR="0084414B" w:rsidRPr="00A3076E" w:rsidRDefault="0084414B" w:rsidP="00A46625">
            <w:pPr>
              <w:widowControl w:val="0"/>
              <w:tabs>
                <w:tab w:val="left" w:pos="993"/>
              </w:tabs>
              <w:adjustRightInd w:val="0"/>
              <w:ind w:left="0"/>
              <w:jc w:val="both"/>
              <w:textAlignment w:val="baseline"/>
              <w:rPr>
                <w:snapToGrid w:val="0"/>
                <w:sz w:val="18"/>
                <w:szCs w:val="18"/>
                <w:lang w:eastAsia="cs-CZ"/>
              </w:rPr>
            </w:pPr>
            <w:r w:rsidRPr="00A3076E">
              <w:rPr>
                <w:snapToGrid w:val="0"/>
                <w:sz w:val="18"/>
                <w:szCs w:val="18"/>
                <w:lang w:eastAsia="cs-CZ"/>
              </w:rPr>
              <w:t>Prioritná os</w:t>
            </w:r>
          </w:p>
        </w:tc>
        <w:tc>
          <w:tcPr>
            <w:tcW w:w="3597" w:type="dxa"/>
            <w:shd w:val="clear" w:color="auto" w:fill="C6D9F1" w:themeFill="text2" w:themeFillTint="33"/>
            <w:vAlign w:val="center"/>
          </w:tcPr>
          <w:p w:rsidR="0084414B" w:rsidRPr="00A3076E" w:rsidRDefault="0084414B" w:rsidP="00A46625">
            <w:pPr>
              <w:widowControl w:val="0"/>
              <w:tabs>
                <w:tab w:val="left" w:pos="993"/>
              </w:tabs>
              <w:adjustRightInd w:val="0"/>
              <w:ind w:left="0"/>
              <w:jc w:val="center"/>
              <w:textAlignment w:val="baseline"/>
              <w:rPr>
                <w:snapToGrid w:val="0"/>
                <w:sz w:val="18"/>
                <w:szCs w:val="18"/>
                <w:lang w:eastAsia="cs-CZ"/>
              </w:rPr>
            </w:pPr>
            <w:r w:rsidRPr="00A3076E">
              <w:rPr>
                <w:snapToGrid w:val="0"/>
                <w:sz w:val="18"/>
                <w:szCs w:val="18"/>
                <w:lang w:eastAsia="cs-CZ"/>
              </w:rPr>
              <w:t>Indikatívna alokácia na podporu cieľov zmeny klímy (EUR)</w:t>
            </w:r>
          </w:p>
        </w:tc>
        <w:tc>
          <w:tcPr>
            <w:tcW w:w="3415" w:type="dxa"/>
            <w:shd w:val="clear" w:color="auto" w:fill="C6D9F1" w:themeFill="text2" w:themeFillTint="33"/>
            <w:vAlign w:val="center"/>
          </w:tcPr>
          <w:p w:rsidR="0084414B" w:rsidRPr="00A3076E" w:rsidRDefault="0084414B" w:rsidP="00A46625">
            <w:pPr>
              <w:widowControl w:val="0"/>
              <w:tabs>
                <w:tab w:val="left" w:pos="993"/>
              </w:tabs>
              <w:adjustRightInd w:val="0"/>
              <w:ind w:left="0"/>
              <w:jc w:val="center"/>
              <w:textAlignment w:val="baseline"/>
              <w:rPr>
                <w:snapToGrid w:val="0"/>
                <w:sz w:val="18"/>
                <w:szCs w:val="18"/>
                <w:lang w:eastAsia="cs-CZ"/>
              </w:rPr>
            </w:pPr>
            <w:r w:rsidRPr="00A3076E">
              <w:rPr>
                <w:snapToGrid w:val="0"/>
                <w:sz w:val="18"/>
                <w:szCs w:val="18"/>
                <w:lang w:eastAsia="cs-CZ"/>
              </w:rPr>
              <w:t>Podiel z celkovej alokácie na operačný program (%)</w:t>
            </w:r>
          </w:p>
        </w:tc>
      </w:tr>
      <w:tr w:rsidR="00E92F9B" w:rsidRPr="00A3076E" w:rsidTr="00A127CB">
        <w:trPr>
          <w:trHeight w:val="312"/>
          <w:jc w:val="center"/>
        </w:trPr>
        <w:tc>
          <w:tcPr>
            <w:tcW w:w="7163" w:type="dxa"/>
            <w:shd w:val="clear" w:color="auto" w:fill="auto"/>
            <w:vAlign w:val="center"/>
          </w:tcPr>
          <w:p w:rsidR="00E92F9B" w:rsidRPr="00BB4F4E" w:rsidRDefault="00E92F9B" w:rsidP="00A46625">
            <w:pPr>
              <w:widowControl w:val="0"/>
              <w:tabs>
                <w:tab w:val="left" w:pos="993"/>
              </w:tabs>
              <w:adjustRightInd w:val="0"/>
              <w:ind w:left="0"/>
              <w:textAlignment w:val="baseline"/>
              <w:rPr>
                <w:snapToGrid w:val="0"/>
                <w:sz w:val="18"/>
                <w:szCs w:val="18"/>
                <w:lang w:eastAsia="cs-CZ"/>
              </w:rPr>
            </w:pPr>
            <w:r>
              <w:rPr>
                <w:snapToGrid w:val="0"/>
                <w:sz w:val="18"/>
                <w:szCs w:val="18"/>
                <w:lang w:eastAsia="cs-CZ"/>
              </w:rPr>
              <w:t>PO</w:t>
            </w:r>
            <w:r w:rsidRPr="00BB4F4E">
              <w:rPr>
                <w:snapToGrid w:val="0"/>
                <w:sz w:val="18"/>
                <w:szCs w:val="18"/>
                <w:lang w:eastAsia="cs-CZ"/>
              </w:rPr>
              <w:t xml:space="preserve"> 1</w:t>
            </w:r>
            <w:r>
              <w:rPr>
                <w:snapToGrid w:val="0"/>
                <w:sz w:val="18"/>
                <w:szCs w:val="18"/>
                <w:lang w:eastAsia="cs-CZ"/>
              </w:rPr>
              <w:t xml:space="preserve"> – Železničná infraštruktúra (TEN-T CORE) a obnova mobilných prostriedkov</w:t>
            </w:r>
          </w:p>
        </w:tc>
        <w:tc>
          <w:tcPr>
            <w:tcW w:w="3597" w:type="dxa"/>
            <w:shd w:val="clear" w:color="auto" w:fill="auto"/>
            <w:vAlign w:val="center"/>
          </w:tcPr>
          <w:p w:rsidR="00E92F9B" w:rsidRDefault="00E92F9B" w:rsidP="00E92F9B">
            <w:pPr>
              <w:ind w:left="0"/>
              <w:jc w:val="right"/>
              <w:rPr>
                <w:color w:val="000000"/>
                <w:sz w:val="18"/>
                <w:szCs w:val="18"/>
              </w:rPr>
            </w:pPr>
            <w:r>
              <w:rPr>
                <w:color w:val="000000"/>
                <w:sz w:val="18"/>
                <w:szCs w:val="18"/>
              </w:rPr>
              <w:t>290 335 666</w:t>
            </w:r>
          </w:p>
        </w:tc>
        <w:tc>
          <w:tcPr>
            <w:tcW w:w="3415" w:type="dxa"/>
            <w:shd w:val="clear" w:color="auto" w:fill="auto"/>
            <w:vAlign w:val="center"/>
          </w:tcPr>
          <w:p w:rsidR="00E92F9B" w:rsidRPr="00E01D46" w:rsidRDefault="00E92F9B" w:rsidP="00E92F9B">
            <w:pPr>
              <w:jc w:val="right"/>
              <w:rPr>
                <w:color w:val="000000"/>
                <w:sz w:val="18"/>
                <w:szCs w:val="18"/>
              </w:rPr>
            </w:pPr>
            <w:r>
              <w:rPr>
                <w:color w:val="000000"/>
                <w:sz w:val="18"/>
                <w:szCs w:val="18"/>
              </w:rPr>
              <w:t>7,19</w:t>
            </w:r>
            <w:r>
              <w:rPr>
                <w:color w:val="000000"/>
                <w:sz w:val="18"/>
                <w:szCs w:val="18"/>
                <w:lang w:val="en-US"/>
              </w:rPr>
              <w:t>%</w:t>
            </w:r>
          </w:p>
        </w:tc>
      </w:tr>
      <w:tr w:rsidR="00E92F9B" w:rsidRPr="00A3076E" w:rsidTr="00A127CB">
        <w:trPr>
          <w:trHeight w:val="312"/>
          <w:jc w:val="center"/>
        </w:trPr>
        <w:tc>
          <w:tcPr>
            <w:tcW w:w="7163" w:type="dxa"/>
            <w:shd w:val="clear" w:color="auto" w:fill="auto"/>
            <w:vAlign w:val="center"/>
          </w:tcPr>
          <w:p w:rsidR="00E92F9B" w:rsidRPr="00BB4F4E" w:rsidRDefault="00E92F9B" w:rsidP="00A46625">
            <w:pPr>
              <w:widowControl w:val="0"/>
              <w:tabs>
                <w:tab w:val="left" w:pos="993"/>
              </w:tabs>
              <w:adjustRightInd w:val="0"/>
              <w:ind w:left="0"/>
              <w:textAlignment w:val="baseline"/>
              <w:rPr>
                <w:snapToGrid w:val="0"/>
                <w:sz w:val="18"/>
                <w:szCs w:val="18"/>
                <w:lang w:eastAsia="cs-CZ"/>
              </w:rPr>
            </w:pPr>
            <w:r>
              <w:rPr>
                <w:snapToGrid w:val="0"/>
                <w:sz w:val="18"/>
                <w:szCs w:val="18"/>
                <w:lang w:eastAsia="cs-CZ"/>
              </w:rPr>
              <w:t>PO</w:t>
            </w:r>
            <w:r w:rsidRPr="00BB4F4E">
              <w:rPr>
                <w:snapToGrid w:val="0"/>
                <w:sz w:val="18"/>
                <w:szCs w:val="18"/>
                <w:lang w:eastAsia="cs-CZ"/>
              </w:rPr>
              <w:t xml:space="preserve"> 2</w:t>
            </w:r>
            <w:r>
              <w:rPr>
                <w:snapToGrid w:val="0"/>
                <w:sz w:val="18"/>
                <w:szCs w:val="18"/>
                <w:lang w:eastAsia="cs-CZ"/>
              </w:rPr>
              <w:t xml:space="preserve"> – Cestná infraštruktúra (TEN-T CORE)</w:t>
            </w:r>
          </w:p>
        </w:tc>
        <w:tc>
          <w:tcPr>
            <w:tcW w:w="3597" w:type="dxa"/>
            <w:shd w:val="clear" w:color="auto" w:fill="auto"/>
            <w:vAlign w:val="center"/>
          </w:tcPr>
          <w:p w:rsidR="00E92F9B" w:rsidRDefault="00E92F9B" w:rsidP="00E92F9B">
            <w:pPr>
              <w:ind w:left="0"/>
              <w:jc w:val="right"/>
              <w:rPr>
                <w:color w:val="000000"/>
                <w:sz w:val="18"/>
                <w:szCs w:val="18"/>
              </w:rPr>
            </w:pPr>
            <w:r>
              <w:rPr>
                <w:color w:val="000000"/>
                <w:sz w:val="18"/>
                <w:szCs w:val="18"/>
              </w:rPr>
              <w:t>8 000 000</w:t>
            </w:r>
          </w:p>
        </w:tc>
        <w:tc>
          <w:tcPr>
            <w:tcW w:w="3415" w:type="dxa"/>
            <w:shd w:val="clear" w:color="auto" w:fill="auto"/>
            <w:vAlign w:val="center"/>
          </w:tcPr>
          <w:p w:rsidR="00E92F9B" w:rsidRDefault="00E92F9B" w:rsidP="00E92F9B">
            <w:pPr>
              <w:jc w:val="right"/>
              <w:rPr>
                <w:color w:val="000000"/>
                <w:sz w:val="18"/>
                <w:szCs w:val="18"/>
              </w:rPr>
            </w:pPr>
            <w:r>
              <w:rPr>
                <w:color w:val="000000"/>
                <w:sz w:val="18"/>
                <w:szCs w:val="18"/>
              </w:rPr>
              <w:t>0,20%</w:t>
            </w:r>
          </w:p>
        </w:tc>
      </w:tr>
      <w:tr w:rsidR="00E92F9B" w:rsidRPr="00A3076E" w:rsidTr="00A127CB">
        <w:trPr>
          <w:trHeight w:val="312"/>
          <w:jc w:val="center"/>
        </w:trPr>
        <w:tc>
          <w:tcPr>
            <w:tcW w:w="7163" w:type="dxa"/>
            <w:shd w:val="clear" w:color="auto" w:fill="auto"/>
            <w:vAlign w:val="center"/>
          </w:tcPr>
          <w:p w:rsidR="00E92F9B" w:rsidRPr="00BB4F4E" w:rsidRDefault="00E92F9B" w:rsidP="00A46625">
            <w:pPr>
              <w:widowControl w:val="0"/>
              <w:tabs>
                <w:tab w:val="left" w:pos="993"/>
              </w:tabs>
              <w:adjustRightInd w:val="0"/>
              <w:ind w:left="0"/>
              <w:textAlignment w:val="baseline"/>
              <w:rPr>
                <w:snapToGrid w:val="0"/>
                <w:sz w:val="18"/>
                <w:szCs w:val="18"/>
                <w:lang w:eastAsia="cs-CZ"/>
              </w:rPr>
            </w:pPr>
            <w:r>
              <w:rPr>
                <w:snapToGrid w:val="0"/>
                <w:sz w:val="18"/>
                <w:szCs w:val="18"/>
                <w:lang w:eastAsia="cs-CZ"/>
              </w:rPr>
              <w:t>PO 3 – Verejná osobná doprava</w:t>
            </w:r>
          </w:p>
        </w:tc>
        <w:tc>
          <w:tcPr>
            <w:tcW w:w="3597" w:type="dxa"/>
            <w:shd w:val="clear" w:color="auto" w:fill="auto"/>
            <w:vAlign w:val="center"/>
          </w:tcPr>
          <w:p w:rsidR="00E92F9B" w:rsidRDefault="00E92F9B" w:rsidP="00E92F9B">
            <w:pPr>
              <w:ind w:left="0"/>
              <w:jc w:val="right"/>
              <w:rPr>
                <w:color w:val="000000"/>
                <w:sz w:val="18"/>
                <w:szCs w:val="18"/>
              </w:rPr>
            </w:pPr>
            <w:r>
              <w:rPr>
                <w:color w:val="000000"/>
                <w:sz w:val="18"/>
                <w:szCs w:val="18"/>
              </w:rPr>
              <w:t>128 940 000</w:t>
            </w:r>
          </w:p>
        </w:tc>
        <w:tc>
          <w:tcPr>
            <w:tcW w:w="3415" w:type="dxa"/>
            <w:shd w:val="clear" w:color="auto" w:fill="auto"/>
            <w:vAlign w:val="center"/>
          </w:tcPr>
          <w:p w:rsidR="00E92F9B" w:rsidRPr="00E01D46" w:rsidRDefault="00E92F9B" w:rsidP="00E92F9B">
            <w:pPr>
              <w:jc w:val="right"/>
              <w:rPr>
                <w:color w:val="000000"/>
                <w:sz w:val="18"/>
                <w:szCs w:val="18"/>
              </w:rPr>
            </w:pPr>
            <w:r>
              <w:rPr>
                <w:color w:val="000000"/>
                <w:sz w:val="18"/>
                <w:szCs w:val="18"/>
              </w:rPr>
              <w:t>3,19</w:t>
            </w:r>
            <w:r>
              <w:rPr>
                <w:color w:val="000000"/>
                <w:sz w:val="18"/>
                <w:szCs w:val="18"/>
                <w:lang w:val="en-US"/>
              </w:rPr>
              <w:t>%</w:t>
            </w:r>
          </w:p>
        </w:tc>
      </w:tr>
      <w:tr w:rsidR="0084414B" w:rsidRPr="00A3076E" w:rsidTr="00A127CB">
        <w:trPr>
          <w:trHeight w:val="312"/>
          <w:jc w:val="center"/>
        </w:trPr>
        <w:tc>
          <w:tcPr>
            <w:tcW w:w="7163" w:type="dxa"/>
            <w:shd w:val="clear" w:color="auto" w:fill="auto"/>
            <w:vAlign w:val="center"/>
          </w:tcPr>
          <w:p w:rsidR="0084414B" w:rsidRPr="00BB4F4E" w:rsidRDefault="0084414B" w:rsidP="00A46625">
            <w:pPr>
              <w:widowControl w:val="0"/>
              <w:tabs>
                <w:tab w:val="left" w:pos="993"/>
              </w:tabs>
              <w:adjustRightInd w:val="0"/>
              <w:ind w:left="0"/>
              <w:textAlignment w:val="baseline"/>
              <w:rPr>
                <w:snapToGrid w:val="0"/>
                <w:sz w:val="18"/>
                <w:szCs w:val="18"/>
                <w:lang w:eastAsia="cs-CZ"/>
              </w:rPr>
            </w:pPr>
            <w:r>
              <w:rPr>
                <w:snapToGrid w:val="0"/>
                <w:sz w:val="18"/>
                <w:szCs w:val="18"/>
                <w:lang w:eastAsia="cs-CZ"/>
              </w:rPr>
              <w:t>PO 4 – Infraštruktúra vodnej dopravy (TEN-T CORE)</w:t>
            </w:r>
          </w:p>
        </w:tc>
        <w:tc>
          <w:tcPr>
            <w:tcW w:w="3597" w:type="dxa"/>
            <w:shd w:val="clear" w:color="auto" w:fill="auto"/>
            <w:vAlign w:val="center"/>
          </w:tcPr>
          <w:p w:rsidR="0084414B" w:rsidRDefault="0084414B" w:rsidP="00A46625">
            <w:pPr>
              <w:ind w:left="0"/>
              <w:jc w:val="right"/>
              <w:rPr>
                <w:color w:val="000000"/>
                <w:sz w:val="18"/>
                <w:szCs w:val="18"/>
              </w:rPr>
            </w:pPr>
            <w:r>
              <w:rPr>
                <w:color w:val="000000"/>
                <w:sz w:val="18"/>
                <w:szCs w:val="18"/>
              </w:rPr>
              <w:t>46 580 000</w:t>
            </w:r>
          </w:p>
        </w:tc>
        <w:tc>
          <w:tcPr>
            <w:tcW w:w="3415" w:type="dxa"/>
            <w:shd w:val="clear" w:color="auto" w:fill="auto"/>
            <w:vAlign w:val="center"/>
          </w:tcPr>
          <w:p w:rsidR="0084414B" w:rsidRDefault="0084414B" w:rsidP="00A46625">
            <w:pPr>
              <w:jc w:val="right"/>
              <w:rPr>
                <w:color w:val="000000"/>
                <w:sz w:val="18"/>
                <w:szCs w:val="18"/>
              </w:rPr>
            </w:pPr>
            <w:r>
              <w:rPr>
                <w:color w:val="000000"/>
                <w:sz w:val="18"/>
                <w:szCs w:val="18"/>
              </w:rPr>
              <w:t>1,15%</w:t>
            </w:r>
          </w:p>
        </w:tc>
      </w:tr>
      <w:tr w:rsidR="0084414B" w:rsidRPr="00A3076E" w:rsidTr="00A127CB">
        <w:trPr>
          <w:trHeight w:val="312"/>
          <w:jc w:val="center"/>
        </w:trPr>
        <w:tc>
          <w:tcPr>
            <w:tcW w:w="7163" w:type="dxa"/>
            <w:shd w:val="clear" w:color="auto" w:fill="auto"/>
            <w:vAlign w:val="center"/>
          </w:tcPr>
          <w:p w:rsidR="0084414B" w:rsidRPr="00BB4F4E" w:rsidRDefault="0084414B" w:rsidP="00A46625">
            <w:pPr>
              <w:widowControl w:val="0"/>
              <w:tabs>
                <w:tab w:val="left" w:pos="993"/>
              </w:tabs>
              <w:adjustRightInd w:val="0"/>
              <w:ind w:left="0"/>
              <w:textAlignment w:val="baseline"/>
              <w:rPr>
                <w:snapToGrid w:val="0"/>
                <w:sz w:val="18"/>
                <w:szCs w:val="18"/>
                <w:lang w:eastAsia="cs-CZ"/>
              </w:rPr>
            </w:pPr>
            <w:r>
              <w:rPr>
                <w:snapToGrid w:val="0"/>
                <w:sz w:val="18"/>
                <w:szCs w:val="18"/>
                <w:lang w:eastAsia="cs-CZ"/>
              </w:rPr>
              <w:t>PO 5 – Železničná infraštruktúra (mimo TEN-T CORE)</w:t>
            </w:r>
          </w:p>
        </w:tc>
        <w:tc>
          <w:tcPr>
            <w:tcW w:w="3597" w:type="dxa"/>
            <w:shd w:val="clear" w:color="auto" w:fill="auto"/>
            <w:vAlign w:val="center"/>
          </w:tcPr>
          <w:p w:rsidR="0084414B" w:rsidRDefault="0084414B" w:rsidP="00A46625">
            <w:pPr>
              <w:ind w:left="0"/>
              <w:jc w:val="right"/>
              <w:rPr>
                <w:color w:val="000000"/>
                <w:sz w:val="18"/>
                <w:szCs w:val="18"/>
              </w:rPr>
            </w:pPr>
            <w:r>
              <w:rPr>
                <w:color w:val="000000"/>
                <w:sz w:val="18"/>
                <w:szCs w:val="18"/>
              </w:rPr>
              <w:t>120 192 891</w:t>
            </w:r>
          </w:p>
        </w:tc>
        <w:tc>
          <w:tcPr>
            <w:tcW w:w="3415" w:type="dxa"/>
            <w:shd w:val="clear" w:color="auto" w:fill="auto"/>
            <w:vAlign w:val="center"/>
          </w:tcPr>
          <w:p w:rsidR="0084414B" w:rsidRDefault="0084414B" w:rsidP="00A46625">
            <w:pPr>
              <w:jc w:val="right"/>
              <w:rPr>
                <w:color w:val="000000"/>
                <w:sz w:val="18"/>
                <w:szCs w:val="18"/>
              </w:rPr>
            </w:pPr>
            <w:r>
              <w:rPr>
                <w:color w:val="000000"/>
                <w:sz w:val="18"/>
                <w:szCs w:val="18"/>
              </w:rPr>
              <w:t>2,98%</w:t>
            </w:r>
          </w:p>
        </w:tc>
      </w:tr>
      <w:tr w:rsidR="0084414B" w:rsidRPr="00A3076E" w:rsidTr="00A127CB">
        <w:trPr>
          <w:trHeight w:val="312"/>
          <w:jc w:val="center"/>
        </w:trPr>
        <w:tc>
          <w:tcPr>
            <w:tcW w:w="7163" w:type="dxa"/>
            <w:shd w:val="clear" w:color="auto" w:fill="auto"/>
            <w:vAlign w:val="center"/>
          </w:tcPr>
          <w:p w:rsidR="0084414B" w:rsidRPr="00BB4F4E" w:rsidRDefault="0084414B" w:rsidP="00A46625">
            <w:pPr>
              <w:widowControl w:val="0"/>
              <w:tabs>
                <w:tab w:val="left" w:pos="993"/>
              </w:tabs>
              <w:adjustRightInd w:val="0"/>
              <w:ind w:left="0"/>
              <w:textAlignment w:val="baseline"/>
              <w:rPr>
                <w:snapToGrid w:val="0"/>
                <w:sz w:val="18"/>
                <w:szCs w:val="18"/>
                <w:lang w:eastAsia="cs-CZ"/>
              </w:rPr>
            </w:pPr>
            <w:r>
              <w:rPr>
                <w:snapToGrid w:val="0"/>
                <w:sz w:val="18"/>
                <w:szCs w:val="18"/>
                <w:lang w:eastAsia="cs-CZ"/>
              </w:rPr>
              <w:t>PO 6 – Cestná infraštruktúra (mimo TEN-T CORE)</w:t>
            </w:r>
          </w:p>
        </w:tc>
        <w:tc>
          <w:tcPr>
            <w:tcW w:w="3597" w:type="dxa"/>
            <w:shd w:val="clear" w:color="auto" w:fill="auto"/>
            <w:vAlign w:val="center"/>
          </w:tcPr>
          <w:p w:rsidR="0084414B" w:rsidRDefault="0084414B" w:rsidP="00A46625">
            <w:pPr>
              <w:ind w:left="0"/>
              <w:jc w:val="right"/>
              <w:rPr>
                <w:color w:val="000000"/>
                <w:sz w:val="18"/>
                <w:szCs w:val="18"/>
              </w:rPr>
            </w:pPr>
            <w:r>
              <w:rPr>
                <w:color w:val="000000"/>
                <w:sz w:val="18"/>
                <w:szCs w:val="18"/>
              </w:rPr>
              <w:t>4 000 000</w:t>
            </w:r>
          </w:p>
        </w:tc>
        <w:tc>
          <w:tcPr>
            <w:tcW w:w="3415" w:type="dxa"/>
            <w:shd w:val="clear" w:color="auto" w:fill="auto"/>
            <w:vAlign w:val="center"/>
          </w:tcPr>
          <w:p w:rsidR="0084414B" w:rsidRDefault="0084414B" w:rsidP="00A46625">
            <w:pPr>
              <w:jc w:val="right"/>
              <w:rPr>
                <w:color w:val="000000"/>
                <w:sz w:val="18"/>
                <w:szCs w:val="18"/>
              </w:rPr>
            </w:pPr>
            <w:r>
              <w:rPr>
                <w:color w:val="000000"/>
                <w:sz w:val="18"/>
                <w:szCs w:val="18"/>
              </w:rPr>
              <w:t>0,10%</w:t>
            </w:r>
          </w:p>
        </w:tc>
      </w:tr>
      <w:tr w:rsidR="0084414B" w:rsidRPr="00A3076E" w:rsidTr="00A127CB">
        <w:trPr>
          <w:trHeight w:val="312"/>
          <w:jc w:val="center"/>
        </w:trPr>
        <w:tc>
          <w:tcPr>
            <w:tcW w:w="7163" w:type="dxa"/>
            <w:shd w:val="clear" w:color="auto" w:fill="auto"/>
            <w:vAlign w:val="center"/>
          </w:tcPr>
          <w:p w:rsidR="0084414B" w:rsidRPr="00BB4F4E" w:rsidRDefault="0084414B" w:rsidP="00A46625">
            <w:pPr>
              <w:widowControl w:val="0"/>
              <w:tabs>
                <w:tab w:val="left" w:pos="993"/>
              </w:tabs>
              <w:adjustRightInd w:val="0"/>
              <w:ind w:left="0"/>
              <w:textAlignment w:val="baseline"/>
              <w:rPr>
                <w:snapToGrid w:val="0"/>
                <w:sz w:val="18"/>
                <w:szCs w:val="18"/>
                <w:lang w:eastAsia="cs-CZ"/>
              </w:rPr>
            </w:pPr>
            <w:r w:rsidRPr="00BB4F4E">
              <w:rPr>
                <w:snapToGrid w:val="0"/>
                <w:sz w:val="18"/>
                <w:szCs w:val="18"/>
                <w:lang w:eastAsia="cs-CZ"/>
              </w:rPr>
              <w:t>P</w:t>
            </w:r>
            <w:r>
              <w:rPr>
                <w:snapToGrid w:val="0"/>
                <w:sz w:val="18"/>
                <w:szCs w:val="18"/>
                <w:lang w:eastAsia="cs-CZ"/>
              </w:rPr>
              <w:t>O</w:t>
            </w:r>
            <w:r w:rsidRPr="00BB4F4E">
              <w:rPr>
                <w:snapToGrid w:val="0"/>
                <w:sz w:val="18"/>
                <w:szCs w:val="18"/>
                <w:lang w:eastAsia="cs-CZ"/>
              </w:rPr>
              <w:t xml:space="preserve"> 7</w:t>
            </w:r>
            <w:r>
              <w:rPr>
                <w:snapToGrid w:val="0"/>
                <w:sz w:val="18"/>
                <w:szCs w:val="18"/>
                <w:lang w:eastAsia="cs-CZ"/>
              </w:rPr>
              <w:t xml:space="preserve"> – Informačná spoločnosť</w:t>
            </w:r>
          </w:p>
        </w:tc>
        <w:tc>
          <w:tcPr>
            <w:tcW w:w="3597" w:type="dxa"/>
            <w:shd w:val="clear" w:color="auto" w:fill="auto"/>
            <w:vAlign w:val="center"/>
          </w:tcPr>
          <w:p w:rsidR="0084414B" w:rsidRDefault="0084414B" w:rsidP="00A46625">
            <w:pPr>
              <w:ind w:left="0"/>
              <w:jc w:val="right"/>
              <w:rPr>
                <w:color w:val="000000"/>
                <w:sz w:val="18"/>
                <w:szCs w:val="18"/>
              </w:rPr>
            </w:pPr>
            <w:r>
              <w:rPr>
                <w:color w:val="000000"/>
                <w:sz w:val="18"/>
                <w:szCs w:val="18"/>
              </w:rPr>
              <w:t>0</w:t>
            </w:r>
          </w:p>
        </w:tc>
        <w:tc>
          <w:tcPr>
            <w:tcW w:w="3415" w:type="dxa"/>
            <w:shd w:val="clear" w:color="auto" w:fill="auto"/>
            <w:vAlign w:val="center"/>
          </w:tcPr>
          <w:p w:rsidR="0084414B" w:rsidRDefault="0084414B" w:rsidP="00A46625">
            <w:pPr>
              <w:jc w:val="right"/>
              <w:rPr>
                <w:color w:val="000000"/>
                <w:sz w:val="18"/>
                <w:szCs w:val="18"/>
              </w:rPr>
            </w:pPr>
            <w:r>
              <w:rPr>
                <w:color w:val="000000"/>
                <w:sz w:val="18"/>
                <w:szCs w:val="18"/>
              </w:rPr>
              <w:t>0,00%</w:t>
            </w:r>
          </w:p>
        </w:tc>
      </w:tr>
      <w:tr w:rsidR="0084414B" w:rsidRPr="00A3076E" w:rsidTr="00A127CB">
        <w:trPr>
          <w:trHeight w:val="312"/>
          <w:jc w:val="center"/>
        </w:trPr>
        <w:tc>
          <w:tcPr>
            <w:tcW w:w="7163" w:type="dxa"/>
            <w:vAlign w:val="center"/>
          </w:tcPr>
          <w:p w:rsidR="0084414B" w:rsidRPr="00BB4F4E" w:rsidRDefault="0084414B" w:rsidP="00A46625">
            <w:pPr>
              <w:widowControl w:val="0"/>
              <w:tabs>
                <w:tab w:val="left" w:pos="993"/>
              </w:tabs>
              <w:adjustRightInd w:val="0"/>
              <w:ind w:left="0"/>
              <w:textAlignment w:val="baseline"/>
              <w:rPr>
                <w:snapToGrid w:val="0"/>
                <w:sz w:val="18"/>
                <w:szCs w:val="18"/>
                <w:lang w:eastAsia="cs-CZ"/>
              </w:rPr>
            </w:pPr>
            <w:r>
              <w:rPr>
                <w:snapToGrid w:val="0"/>
                <w:sz w:val="18"/>
                <w:szCs w:val="18"/>
                <w:lang w:eastAsia="cs-CZ"/>
              </w:rPr>
              <w:t>PO 8 – Technická pomoc</w:t>
            </w:r>
          </w:p>
        </w:tc>
        <w:tc>
          <w:tcPr>
            <w:tcW w:w="3597" w:type="dxa"/>
            <w:vAlign w:val="center"/>
          </w:tcPr>
          <w:p w:rsidR="0084414B" w:rsidRDefault="0084414B" w:rsidP="00A46625">
            <w:pPr>
              <w:ind w:left="0"/>
              <w:jc w:val="right"/>
              <w:rPr>
                <w:color w:val="000000"/>
                <w:sz w:val="18"/>
                <w:szCs w:val="18"/>
              </w:rPr>
            </w:pPr>
            <w:r>
              <w:rPr>
                <w:color w:val="000000"/>
                <w:sz w:val="18"/>
                <w:szCs w:val="18"/>
              </w:rPr>
              <w:t>0</w:t>
            </w:r>
          </w:p>
        </w:tc>
        <w:tc>
          <w:tcPr>
            <w:tcW w:w="3415" w:type="dxa"/>
            <w:vAlign w:val="center"/>
          </w:tcPr>
          <w:p w:rsidR="0084414B" w:rsidRDefault="0084414B" w:rsidP="00A46625">
            <w:pPr>
              <w:jc w:val="right"/>
              <w:rPr>
                <w:color w:val="000000"/>
                <w:sz w:val="18"/>
                <w:szCs w:val="18"/>
              </w:rPr>
            </w:pPr>
            <w:r>
              <w:rPr>
                <w:color w:val="000000"/>
                <w:sz w:val="18"/>
                <w:szCs w:val="18"/>
              </w:rPr>
              <w:t>0,00%</w:t>
            </w:r>
          </w:p>
        </w:tc>
      </w:tr>
      <w:tr w:rsidR="0084414B" w:rsidRPr="00A3076E" w:rsidTr="00A127CB">
        <w:trPr>
          <w:trHeight w:val="312"/>
          <w:jc w:val="center"/>
        </w:trPr>
        <w:tc>
          <w:tcPr>
            <w:tcW w:w="7163" w:type="dxa"/>
            <w:shd w:val="clear" w:color="auto" w:fill="D9D9D9" w:themeFill="background1" w:themeFillShade="D9"/>
            <w:vAlign w:val="center"/>
          </w:tcPr>
          <w:p w:rsidR="0084414B" w:rsidRPr="00984F39" w:rsidRDefault="0084414B" w:rsidP="00A46625">
            <w:pPr>
              <w:widowControl w:val="0"/>
              <w:tabs>
                <w:tab w:val="left" w:pos="993"/>
              </w:tabs>
              <w:adjustRightInd w:val="0"/>
              <w:ind w:left="0"/>
              <w:textAlignment w:val="baseline"/>
              <w:rPr>
                <w:b/>
                <w:snapToGrid w:val="0"/>
                <w:sz w:val="18"/>
                <w:szCs w:val="18"/>
                <w:lang w:eastAsia="cs-CZ"/>
              </w:rPr>
            </w:pPr>
            <w:r w:rsidRPr="00984F39">
              <w:rPr>
                <w:b/>
                <w:snapToGrid w:val="0"/>
                <w:sz w:val="18"/>
                <w:szCs w:val="18"/>
                <w:lang w:eastAsia="cs-CZ"/>
              </w:rPr>
              <w:t>Spolu OPII</w:t>
            </w:r>
          </w:p>
        </w:tc>
        <w:tc>
          <w:tcPr>
            <w:tcW w:w="3597" w:type="dxa"/>
            <w:shd w:val="clear" w:color="auto" w:fill="D9D9D9" w:themeFill="background1" w:themeFillShade="D9"/>
            <w:vAlign w:val="center"/>
          </w:tcPr>
          <w:p w:rsidR="0084414B" w:rsidRDefault="0084414B" w:rsidP="00A46625">
            <w:pPr>
              <w:ind w:left="0"/>
              <w:jc w:val="right"/>
              <w:rPr>
                <w:b/>
                <w:bCs/>
                <w:color w:val="000000"/>
                <w:sz w:val="18"/>
                <w:szCs w:val="18"/>
              </w:rPr>
            </w:pPr>
            <w:r>
              <w:rPr>
                <w:b/>
                <w:bCs/>
                <w:color w:val="000000"/>
                <w:sz w:val="18"/>
                <w:szCs w:val="18"/>
              </w:rPr>
              <w:t>598 048 557</w:t>
            </w:r>
          </w:p>
        </w:tc>
        <w:tc>
          <w:tcPr>
            <w:tcW w:w="3415" w:type="dxa"/>
            <w:shd w:val="clear" w:color="auto" w:fill="D9D9D9" w:themeFill="background1" w:themeFillShade="D9"/>
            <w:vAlign w:val="center"/>
          </w:tcPr>
          <w:p w:rsidR="0084414B" w:rsidRDefault="0084414B" w:rsidP="00A46625">
            <w:pPr>
              <w:jc w:val="right"/>
              <w:rPr>
                <w:b/>
                <w:bCs/>
                <w:color w:val="000000"/>
                <w:sz w:val="18"/>
                <w:szCs w:val="18"/>
              </w:rPr>
            </w:pPr>
            <w:r>
              <w:rPr>
                <w:b/>
                <w:bCs/>
                <w:color w:val="000000"/>
                <w:sz w:val="18"/>
                <w:szCs w:val="18"/>
              </w:rPr>
              <w:t>14,82%</w:t>
            </w:r>
          </w:p>
        </w:tc>
      </w:tr>
    </w:tbl>
    <w:p w:rsidR="0079492E" w:rsidRDefault="0079492E" w:rsidP="002E2353">
      <w:pPr>
        <w:pStyle w:val="Nadpis2"/>
        <w:numPr>
          <w:ilvl w:val="0"/>
          <w:numId w:val="0"/>
        </w:numPr>
        <w:sectPr w:rsidR="0079492E" w:rsidSect="00E343E0">
          <w:footerReference w:type="default" r:id="rId31"/>
          <w:pgSz w:w="16838" w:h="11906" w:orient="landscape" w:code="9"/>
          <w:pgMar w:top="2041" w:right="1304" w:bottom="1304" w:left="1304" w:header="1474" w:footer="709" w:gutter="0"/>
          <w:cols w:space="708"/>
          <w:docGrid w:linePitch="360"/>
        </w:sectPr>
      </w:pPr>
    </w:p>
    <w:p w:rsidR="0079492E" w:rsidRDefault="005917D8" w:rsidP="005917D8">
      <w:pPr>
        <w:pStyle w:val="Nadpis1"/>
      </w:pPr>
      <w:bookmarkStart w:id="111" w:name="_Toc385310746"/>
      <w:r>
        <w:lastRenderedPageBreak/>
        <w:t>Integrovaný prístup k územnému rozvoju</w:t>
      </w:r>
      <w:bookmarkEnd w:id="111"/>
    </w:p>
    <w:p w:rsidR="005917D8" w:rsidRDefault="005917D8" w:rsidP="005917D8">
      <w:pPr>
        <w:pStyle w:val="Nadpis2"/>
        <w:tabs>
          <w:tab w:val="num" w:pos="851"/>
        </w:tabs>
        <w:spacing w:before="240"/>
      </w:pPr>
      <w:bookmarkStart w:id="112" w:name="_Toc383209143"/>
      <w:bookmarkStart w:id="113" w:name="_Toc383236557"/>
      <w:bookmarkStart w:id="114" w:name="_Toc385310747"/>
      <w:bookmarkStart w:id="115" w:name="_Toc369171250"/>
      <w:r>
        <w:t>Miestny rozvoj vedený komunitou</w:t>
      </w:r>
      <w:bookmarkEnd w:id="112"/>
      <w:bookmarkEnd w:id="113"/>
      <w:bookmarkEnd w:id="114"/>
    </w:p>
    <w:p w:rsidR="005917D8" w:rsidRPr="00810B40" w:rsidRDefault="005917D8" w:rsidP="005917D8">
      <w:pPr>
        <w:jc w:val="both"/>
        <w:rPr>
          <w:sz w:val="22"/>
          <w:szCs w:val="22"/>
        </w:rPr>
      </w:pPr>
      <w:r w:rsidRPr="00810B40">
        <w:rPr>
          <w:sz w:val="22"/>
          <w:szCs w:val="22"/>
        </w:rPr>
        <w:t>V súlade s kapitolou 3.1.1 PD SR sa v rá</w:t>
      </w:r>
      <w:r>
        <w:rPr>
          <w:sz w:val="22"/>
          <w:szCs w:val="22"/>
        </w:rPr>
        <w:t>mci OPII</w:t>
      </w:r>
      <w:r w:rsidRPr="00810B40">
        <w:rPr>
          <w:sz w:val="22"/>
          <w:szCs w:val="22"/>
        </w:rPr>
        <w:t xml:space="preserve"> neuplatňuje nástroj „miestny rozvoj vedený komunitou“.</w:t>
      </w:r>
    </w:p>
    <w:p w:rsidR="005917D8" w:rsidRDefault="005917D8" w:rsidP="005917D8">
      <w:pPr>
        <w:pStyle w:val="Nadpis2"/>
        <w:tabs>
          <w:tab w:val="num" w:pos="851"/>
        </w:tabs>
        <w:spacing w:before="240"/>
      </w:pPr>
      <w:bookmarkStart w:id="116" w:name="_Toc383209144"/>
      <w:bookmarkStart w:id="117" w:name="_Toc383236558"/>
      <w:bookmarkStart w:id="118" w:name="_Toc385310748"/>
      <w:r>
        <w:t>Trvalo udržateľný mestský rozvoj</w:t>
      </w:r>
      <w:bookmarkEnd w:id="116"/>
      <w:bookmarkEnd w:id="117"/>
      <w:bookmarkEnd w:id="118"/>
    </w:p>
    <w:p w:rsidR="005917D8" w:rsidRPr="00810B40" w:rsidRDefault="005917D8" w:rsidP="005917D8">
      <w:pPr>
        <w:jc w:val="both"/>
        <w:rPr>
          <w:sz w:val="22"/>
          <w:szCs w:val="22"/>
        </w:rPr>
      </w:pPr>
      <w:r w:rsidRPr="00810B40">
        <w:rPr>
          <w:sz w:val="22"/>
          <w:szCs w:val="22"/>
        </w:rPr>
        <w:t>V súlade s kapitolou 3.1.3 PD SR OP</w:t>
      </w:r>
      <w:r>
        <w:rPr>
          <w:sz w:val="22"/>
          <w:szCs w:val="22"/>
        </w:rPr>
        <w:t>II</w:t>
      </w:r>
      <w:r w:rsidRPr="00810B40">
        <w:rPr>
          <w:sz w:val="22"/>
          <w:szCs w:val="22"/>
        </w:rPr>
        <w:t xml:space="preserve"> nie je relevantný vo vzťahu k podpore integrovaných opatrení udržateľného mestského rozvoja.</w:t>
      </w:r>
    </w:p>
    <w:p w:rsidR="005917D8" w:rsidRDefault="005917D8" w:rsidP="005917D8">
      <w:pPr>
        <w:pStyle w:val="Nadpis2"/>
        <w:tabs>
          <w:tab w:val="num" w:pos="851"/>
        </w:tabs>
        <w:spacing w:before="240"/>
      </w:pPr>
      <w:bookmarkStart w:id="119" w:name="_Toc383209145"/>
      <w:bookmarkStart w:id="120" w:name="_Toc383236559"/>
      <w:bookmarkStart w:id="121" w:name="_Toc385310749"/>
      <w:r>
        <w:t>Integrovaná územná investícia (ITI)</w:t>
      </w:r>
      <w:bookmarkEnd w:id="119"/>
      <w:bookmarkEnd w:id="120"/>
      <w:bookmarkEnd w:id="121"/>
    </w:p>
    <w:p w:rsidR="005917D8" w:rsidRPr="00810B40" w:rsidRDefault="005917D8" w:rsidP="005917D8">
      <w:pPr>
        <w:rPr>
          <w:sz w:val="22"/>
          <w:szCs w:val="22"/>
        </w:rPr>
      </w:pPr>
      <w:r w:rsidRPr="00810B40">
        <w:rPr>
          <w:sz w:val="22"/>
          <w:szCs w:val="22"/>
        </w:rPr>
        <w:t>V súlade s kapitolou 3.1.2 PD SR sa v rá</w:t>
      </w:r>
      <w:r>
        <w:rPr>
          <w:sz w:val="22"/>
          <w:szCs w:val="22"/>
        </w:rPr>
        <w:t>mci OPII</w:t>
      </w:r>
      <w:r w:rsidRPr="00810B40">
        <w:rPr>
          <w:sz w:val="22"/>
          <w:szCs w:val="22"/>
        </w:rPr>
        <w:t xml:space="preserve"> neuplatňujú integrované územné investície.</w:t>
      </w:r>
    </w:p>
    <w:p w:rsidR="005917D8" w:rsidRDefault="005917D8" w:rsidP="005917D8">
      <w:pPr>
        <w:pStyle w:val="Nadpis2"/>
        <w:tabs>
          <w:tab w:val="num" w:pos="851"/>
        </w:tabs>
        <w:spacing w:before="240"/>
        <w:jc w:val="both"/>
      </w:pPr>
      <w:bookmarkStart w:id="122" w:name="_Toc383209146"/>
      <w:bookmarkStart w:id="123" w:name="_Toc383236560"/>
      <w:bookmarkStart w:id="124" w:name="_Toc385310750"/>
      <w:r w:rsidRPr="00810B40">
        <w:t xml:space="preserve">Opatrenia pre </w:t>
      </w:r>
      <w:r w:rsidR="00B476FF">
        <w:t>medziregionálne</w:t>
      </w:r>
      <w:r w:rsidRPr="00810B40">
        <w:t xml:space="preserve"> a nadnárodné akcie v rámci operačného programu, ktorých prijímatelia sa nachádzajú aspoň v jednom inom </w:t>
      </w:r>
      <w:r w:rsidR="00B476FF">
        <w:t xml:space="preserve">členskom </w:t>
      </w:r>
      <w:r w:rsidRPr="00810B40">
        <w:t>štáte</w:t>
      </w:r>
      <w:bookmarkEnd w:id="122"/>
      <w:bookmarkEnd w:id="123"/>
      <w:bookmarkEnd w:id="124"/>
    </w:p>
    <w:p w:rsidR="005917D8" w:rsidRPr="00AD545D" w:rsidRDefault="005917D8" w:rsidP="005917D8">
      <w:pPr>
        <w:jc w:val="both"/>
        <w:rPr>
          <w:sz w:val="22"/>
          <w:szCs w:val="22"/>
        </w:rPr>
      </w:pPr>
      <w:r>
        <w:rPr>
          <w:sz w:val="22"/>
          <w:szCs w:val="22"/>
        </w:rPr>
        <w:t>V rámci OPII</w:t>
      </w:r>
      <w:r w:rsidRPr="00AD545D">
        <w:rPr>
          <w:sz w:val="22"/>
          <w:szCs w:val="22"/>
        </w:rPr>
        <w:t xml:space="preserve"> sa neuplatňujú m</w:t>
      </w:r>
      <w:r>
        <w:rPr>
          <w:sz w:val="22"/>
          <w:szCs w:val="22"/>
        </w:rPr>
        <w:t>edzinárodné a nadnárodné akcie.</w:t>
      </w:r>
    </w:p>
    <w:p w:rsidR="005917D8" w:rsidRPr="00AD545D" w:rsidRDefault="005917D8" w:rsidP="005917D8">
      <w:pPr>
        <w:pStyle w:val="Nadpis2"/>
        <w:tabs>
          <w:tab w:val="num" w:pos="851"/>
        </w:tabs>
        <w:spacing w:before="240"/>
        <w:jc w:val="both"/>
      </w:pPr>
      <w:bookmarkStart w:id="125" w:name="_Toc383209147"/>
      <w:bookmarkStart w:id="126" w:name="_Toc383236561"/>
      <w:bookmarkStart w:id="127" w:name="_Toc385310751"/>
      <w:r w:rsidRPr="00AD545D">
        <w:t>Prínos plánovaných aktivít v rámci programu pre stratégie pre makroregióny a morské oblasti na základe potrieb oblasti programu identifikovaných členským štátom</w:t>
      </w:r>
      <w:bookmarkEnd w:id="125"/>
      <w:bookmarkEnd w:id="126"/>
      <w:bookmarkEnd w:id="127"/>
    </w:p>
    <w:p w:rsidR="005917D8" w:rsidRPr="00DA54CE" w:rsidRDefault="005917D8" w:rsidP="005917D8">
      <w:pPr>
        <w:autoSpaceDE w:val="0"/>
        <w:autoSpaceDN w:val="0"/>
        <w:adjustRightInd w:val="0"/>
        <w:jc w:val="both"/>
        <w:rPr>
          <w:sz w:val="22"/>
          <w:szCs w:val="22"/>
        </w:rPr>
      </w:pPr>
      <w:r>
        <w:rPr>
          <w:sz w:val="22"/>
          <w:szCs w:val="22"/>
        </w:rPr>
        <w:t>Základným územnoplánovací</w:t>
      </w:r>
      <w:r w:rsidRPr="00DA54CE">
        <w:rPr>
          <w:sz w:val="22"/>
          <w:szCs w:val="22"/>
        </w:rPr>
        <w:t xml:space="preserve">m dokumentom </w:t>
      </w:r>
      <w:r>
        <w:rPr>
          <w:sz w:val="22"/>
          <w:szCs w:val="22"/>
        </w:rPr>
        <w:t xml:space="preserve">Slovenskej republiky </w:t>
      </w:r>
      <w:r w:rsidRPr="00DA54CE">
        <w:rPr>
          <w:sz w:val="22"/>
          <w:szCs w:val="22"/>
        </w:rPr>
        <w:t>je Koncepcia územného rozvoja SR 2001 (KURS 2001)</w:t>
      </w:r>
      <w:r w:rsidR="003162B7">
        <w:rPr>
          <w:rStyle w:val="Odkaznapoznmkupodiarou"/>
          <w:sz w:val="22"/>
          <w:szCs w:val="22"/>
        </w:rPr>
        <w:footnoteReference w:id="27"/>
      </w:r>
      <w:r w:rsidRPr="00DA54CE">
        <w:rPr>
          <w:sz w:val="22"/>
          <w:szCs w:val="22"/>
        </w:rPr>
        <w:t>. Ide o nástroj územnoplánovacej politiky, ktorý pri</w:t>
      </w:r>
      <w:r>
        <w:rPr>
          <w:sz w:val="22"/>
          <w:szCs w:val="22"/>
        </w:rPr>
        <w:t>spieva k rozvoju hospodárskej a </w:t>
      </w:r>
      <w:r w:rsidRPr="00DA54CE">
        <w:rPr>
          <w:sz w:val="22"/>
          <w:szCs w:val="22"/>
        </w:rPr>
        <w:t>sociálnej oblasti spoločnosti v súlade s požiadavkami trvalo udržateľ</w:t>
      </w:r>
      <w:r>
        <w:rPr>
          <w:sz w:val="22"/>
          <w:szCs w:val="22"/>
        </w:rPr>
        <w:t xml:space="preserve">ného rozvoja. Predpokladá to </w:t>
      </w:r>
      <w:r w:rsidRPr="00DA54CE">
        <w:rPr>
          <w:sz w:val="22"/>
          <w:szCs w:val="22"/>
        </w:rPr>
        <w:t>vytváranie takých sídelných a priestorových podmienok rozvoja spoločnosti, ktoré budú podporovať rozvoj a využitie existujúcich regionálnych špecifík, ako aj viesť k znižovaniu existujúcich rozdielov medzi jednotlivými regionál</w:t>
      </w:r>
      <w:r>
        <w:rPr>
          <w:sz w:val="22"/>
          <w:szCs w:val="22"/>
        </w:rPr>
        <w:t>nymi celkami.</w:t>
      </w:r>
    </w:p>
    <w:p w:rsidR="005917D8" w:rsidRPr="00DA54CE" w:rsidRDefault="005917D8" w:rsidP="005917D8">
      <w:pPr>
        <w:tabs>
          <w:tab w:val="left" w:pos="709"/>
        </w:tabs>
        <w:spacing w:before="180"/>
        <w:jc w:val="both"/>
        <w:rPr>
          <w:sz w:val="22"/>
          <w:szCs w:val="22"/>
        </w:rPr>
      </w:pPr>
      <w:r w:rsidRPr="00DA54CE">
        <w:rPr>
          <w:sz w:val="22"/>
          <w:szCs w:val="22"/>
        </w:rPr>
        <w:t>Skúsenosti z programového obdobia 2007 – 2013 poukázali na určité nedostatky najmä v oblasti strategického plánovania a prípravy komplexnejších územných stratégií. Bez vzájomnej previazanosti činností spojených s rozhodovaním na miestnej, regionálnej, národnej a európskej úrovni dochádza k presadzovaniu individuálnych projektov, ktoré v konečnom dôsledku majú slabší vplyv na celkové dosahovanie stanovených cieľov.</w:t>
      </w:r>
    </w:p>
    <w:p w:rsidR="005917D8" w:rsidRPr="00DA54CE" w:rsidRDefault="005917D8" w:rsidP="005917D8">
      <w:pPr>
        <w:tabs>
          <w:tab w:val="left" w:pos="709"/>
        </w:tabs>
        <w:spacing w:before="180"/>
        <w:jc w:val="both"/>
        <w:rPr>
          <w:sz w:val="22"/>
          <w:szCs w:val="22"/>
        </w:rPr>
      </w:pPr>
      <w:r w:rsidRPr="00DA54CE">
        <w:rPr>
          <w:sz w:val="22"/>
          <w:szCs w:val="22"/>
        </w:rPr>
        <w:t xml:space="preserve">Z tohto dôvodu </w:t>
      </w:r>
      <w:r w:rsidRPr="00DA54CE">
        <w:rPr>
          <w:b/>
          <w:sz w:val="22"/>
          <w:szCs w:val="22"/>
        </w:rPr>
        <w:t>sa v programovom období 2014 – 2020 pristupuje k uplatneniu integrovaného prístupu tak, aby EŠIF čo najvýraznejšie prispievali k cieľom stratégie Európa 2020</w:t>
      </w:r>
      <w:r w:rsidRPr="00DA54CE">
        <w:rPr>
          <w:sz w:val="22"/>
          <w:szCs w:val="22"/>
        </w:rPr>
        <w:t xml:space="preserve">. </w:t>
      </w:r>
      <w:r w:rsidRPr="00DA54CE">
        <w:rPr>
          <w:b/>
          <w:sz w:val="22"/>
          <w:szCs w:val="22"/>
        </w:rPr>
        <w:t xml:space="preserve">Cieľom nového prístupu je zabezpečiť dlhotrvajúce ekonomické a sociálne účinky fondov spoločného strategického rámca. </w:t>
      </w:r>
      <w:r w:rsidRPr="00DA54CE">
        <w:rPr>
          <w:sz w:val="22"/>
          <w:szCs w:val="22"/>
        </w:rPr>
        <w:t>Predpokladom úspešnosti tohto prístupu je zlepšenie strategického plánovania a zlepšenie mechanizmov pre priamu účasť partnerov na miestnej a regionálnej úrovni na príprave a rozhodovaní o implementácii EŠIF na základe rozvojového potenciálu územia. Hlavnou úlohou územnej koncentrácie pre jednotlivé tematické ciele je členenie územia podľa jeho charakteru, funkčnosti a rozvojového potenciálu ako predpokladu pre smerovanie investícií EŠIF do riešenia špecifických problémov regiónov s efektívnym využitím miestneho potenciálu i zdrojov.</w:t>
      </w:r>
    </w:p>
    <w:p w:rsidR="001E09F3" w:rsidRDefault="005917D8" w:rsidP="005917D8">
      <w:pPr>
        <w:tabs>
          <w:tab w:val="left" w:pos="709"/>
        </w:tabs>
        <w:spacing w:before="180"/>
        <w:jc w:val="both"/>
        <w:rPr>
          <w:b/>
          <w:sz w:val="22"/>
          <w:szCs w:val="22"/>
        </w:rPr>
      </w:pPr>
      <w:r w:rsidRPr="00DA54CE">
        <w:rPr>
          <w:sz w:val="22"/>
          <w:szCs w:val="22"/>
        </w:rPr>
        <w:t>Postavenie OPII-D v systéme operačných programov 2014 – 2020 vo vzťahu k územnému rozvoju je špecifické. Na rozdiel od programového obdobia 2007 – 2013 boli st</w:t>
      </w:r>
      <w:r>
        <w:rPr>
          <w:sz w:val="22"/>
          <w:szCs w:val="22"/>
        </w:rPr>
        <w:t>anovené prísnejšie kritériá pre </w:t>
      </w:r>
      <w:r w:rsidRPr="00DA54CE">
        <w:rPr>
          <w:sz w:val="22"/>
          <w:szCs w:val="22"/>
        </w:rPr>
        <w:t xml:space="preserve">umiestnenie zdrojov. </w:t>
      </w:r>
      <w:r w:rsidRPr="00DA54CE">
        <w:rPr>
          <w:b/>
          <w:sz w:val="22"/>
          <w:szCs w:val="22"/>
        </w:rPr>
        <w:t>Investície do dopravy majú smerovať na budovanie kvalitnej infraštruktúry, ktorá zlepšuje dostupnosť a prepojenosť regiónov, zvyšuje ich atraktívnosť, kladie základy pre vyššiu konkurencieschopnosť, podnikateľský rozvoj, vytváranie nových pracovných miest, a tým aj hospodársky rast.</w:t>
      </w:r>
      <w:r w:rsidRPr="00DA54CE">
        <w:t xml:space="preserve"> </w:t>
      </w:r>
      <w:r w:rsidRPr="00DA54CE">
        <w:rPr>
          <w:b/>
          <w:sz w:val="22"/>
          <w:szCs w:val="22"/>
        </w:rPr>
        <w:t xml:space="preserve">Je potrebné sa zamerať taktiež na mestský rozmer dopravy, ktorá je dôležitá pre zabezpečenie udržateľnej mobility veľkých urbanizovaných oblastí. </w:t>
      </w:r>
    </w:p>
    <w:p w:rsidR="005917D8" w:rsidRPr="00DA54CE" w:rsidRDefault="005917D8" w:rsidP="005917D8">
      <w:pPr>
        <w:tabs>
          <w:tab w:val="left" w:pos="709"/>
        </w:tabs>
        <w:spacing w:before="180"/>
        <w:jc w:val="both"/>
        <w:rPr>
          <w:sz w:val="22"/>
          <w:szCs w:val="22"/>
        </w:rPr>
      </w:pPr>
      <w:r w:rsidRPr="00DA54CE">
        <w:rPr>
          <w:sz w:val="22"/>
          <w:szCs w:val="22"/>
        </w:rPr>
        <w:lastRenderedPageBreak/>
        <w:t xml:space="preserve">Investície do dopravy pritom musia vychádzať z kľúčových priorít identifikovaných </w:t>
      </w:r>
      <w:r>
        <w:rPr>
          <w:sz w:val="22"/>
          <w:szCs w:val="22"/>
        </w:rPr>
        <w:t xml:space="preserve">v sektore </w:t>
      </w:r>
      <w:r w:rsidRPr="00DA54CE">
        <w:rPr>
          <w:sz w:val="22"/>
          <w:szCs w:val="22"/>
        </w:rPr>
        <w:t>s prioritnou orientáciou na budovanie základnej siete TEN-T v súlade s usmernením Únie pre rozvoj transeurópskej</w:t>
      </w:r>
      <w:r>
        <w:rPr>
          <w:sz w:val="22"/>
          <w:szCs w:val="22"/>
        </w:rPr>
        <w:t xml:space="preserve"> dopravnej siete (nariadenie č. </w:t>
      </w:r>
      <w:r w:rsidRPr="00DA54CE">
        <w:rPr>
          <w:sz w:val="22"/>
          <w:szCs w:val="22"/>
        </w:rPr>
        <w:t>1315/2013).</w:t>
      </w:r>
    </w:p>
    <w:p w:rsidR="005917D8" w:rsidRPr="00DA54CE" w:rsidRDefault="005917D8" w:rsidP="005917D8">
      <w:pPr>
        <w:spacing w:before="180"/>
        <w:jc w:val="both"/>
        <w:rPr>
          <w:b/>
          <w:sz w:val="22"/>
          <w:szCs w:val="22"/>
        </w:rPr>
      </w:pPr>
      <w:r w:rsidRPr="00DA54CE">
        <w:rPr>
          <w:sz w:val="22"/>
          <w:szCs w:val="22"/>
        </w:rPr>
        <w:t>V nadväznosti na požiadavku Komisie, aby došlo k zlepšeniu strategického plánovania bola zo strany MDVRR SR v roku 2013 vypracovaná národná stratégia dopravy (</w:t>
      </w:r>
      <w:r w:rsidRPr="00DA54CE">
        <w:rPr>
          <w:b/>
          <w:sz w:val="22"/>
          <w:szCs w:val="22"/>
        </w:rPr>
        <w:t>Strategický plán</w:t>
      </w:r>
      <w:r w:rsidR="0083727B">
        <w:rPr>
          <w:b/>
          <w:sz w:val="22"/>
          <w:szCs w:val="22"/>
        </w:rPr>
        <w:t>)</w:t>
      </w:r>
      <w:r w:rsidRPr="00DA54CE">
        <w:rPr>
          <w:sz w:val="22"/>
          <w:szCs w:val="22"/>
        </w:rPr>
        <w:t>. Dokumentom sú identifikované národné potreby v sektore do roku 2020 (2023). Komplexným spôsobom rieši sieťové potreby všetkých druhov dopravy/systémov v SR vrátane ďalších oblastí</w:t>
      </w:r>
      <w:r w:rsidR="001B281C">
        <w:rPr>
          <w:sz w:val="22"/>
          <w:szCs w:val="22"/>
        </w:rPr>
        <w:t>,</w:t>
      </w:r>
      <w:r w:rsidR="0083727B">
        <w:rPr>
          <w:sz w:val="22"/>
          <w:szCs w:val="22"/>
        </w:rPr>
        <w:t xml:space="preserve"> ako poskytovanie a </w:t>
      </w:r>
      <w:r w:rsidRPr="00DA54CE">
        <w:rPr>
          <w:sz w:val="22"/>
          <w:szCs w:val="22"/>
        </w:rPr>
        <w:t>financovanie</w:t>
      </w:r>
      <w:r w:rsidR="001B281C">
        <w:rPr>
          <w:sz w:val="22"/>
          <w:szCs w:val="22"/>
        </w:rPr>
        <w:t xml:space="preserve"> dopravných služieb a nastavenie</w:t>
      </w:r>
      <w:r w:rsidRPr="00DA54CE">
        <w:rPr>
          <w:sz w:val="22"/>
          <w:szCs w:val="22"/>
        </w:rPr>
        <w:t xml:space="preserve"> vnútorných mechanizmov pri organizácii dopravnej prevádzky na mestskej, regionálnej a</w:t>
      </w:r>
      <w:r>
        <w:rPr>
          <w:sz w:val="22"/>
          <w:szCs w:val="22"/>
        </w:rPr>
        <w:t> </w:t>
      </w:r>
      <w:r w:rsidRPr="00DA54CE">
        <w:rPr>
          <w:sz w:val="22"/>
          <w:szCs w:val="22"/>
        </w:rPr>
        <w:t>celoštátnej</w:t>
      </w:r>
      <w:r>
        <w:rPr>
          <w:sz w:val="22"/>
          <w:szCs w:val="22"/>
        </w:rPr>
        <w:t xml:space="preserve"> úrovni</w:t>
      </w:r>
      <w:r w:rsidRPr="00DA54CE">
        <w:rPr>
          <w:sz w:val="22"/>
          <w:szCs w:val="22"/>
        </w:rPr>
        <w:t xml:space="preserve">. </w:t>
      </w:r>
      <w:r w:rsidRPr="00DA54CE">
        <w:rPr>
          <w:b/>
          <w:sz w:val="22"/>
          <w:szCs w:val="22"/>
        </w:rPr>
        <w:t>V dokumente sú stanovené taktiež prioritné koridory a dopravné projekty, ktoré majú v území rozhodujúci význam pre rast hospodárst</w:t>
      </w:r>
      <w:r>
        <w:rPr>
          <w:b/>
          <w:sz w:val="22"/>
          <w:szCs w:val="22"/>
        </w:rPr>
        <w:t>va a zlepšenie mobility SR a na </w:t>
      </w:r>
      <w:r w:rsidRPr="00DA54CE">
        <w:rPr>
          <w:b/>
          <w:sz w:val="22"/>
          <w:szCs w:val="22"/>
        </w:rPr>
        <w:t>ktoré bude prioritne smerovaná podpora.</w:t>
      </w:r>
    </w:p>
    <w:p w:rsidR="005917D8" w:rsidRDefault="005917D8" w:rsidP="005917D8">
      <w:pPr>
        <w:spacing w:before="180"/>
        <w:jc w:val="both"/>
        <w:rPr>
          <w:sz w:val="22"/>
          <w:szCs w:val="22"/>
        </w:rPr>
      </w:pPr>
      <w:r w:rsidRPr="00DA54CE">
        <w:rPr>
          <w:sz w:val="22"/>
          <w:szCs w:val="22"/>
        </w:rPr>
        <w:t xml:space="preserve">Z ďalších dôležitých sub-stratégií OPII-D tvoriacich podmnožinu hlavnej </w:t>
      </w:r>
      <w:r>
        <w:rPr>
          <w:sz w:val="22"/>
          <w:szCs w:val="22"/>
        </w:rPr>
        <w:t xml:space="preserve">stratégie </w:t>
      </w:r>
      <w:r w:rsidRPr="00DA54CE">
        <w:rPr>
          <w:sz w:val="22"/>
          <w:szCs w:val="22"/>
        </w:rPr>
        <w:t>v oblasti územného rozvoja je možné spomenúť rozvoj podunajskej oblasti (Dunajská stratégia) a rozvoj špecifických dopravno-gravitačných uzlov (uzol Bratislava, Žilina, Košice).</w:t>
      </w:r>
    </w:p>
    <w:p w:rsidR="0059698C" w:rsidRDefault="0059698C" w:rsidP="0059698C">
      <w:pPr>
        <w:spacing w:before="180"/>
        <w:jc w:val="both"/>
        <w:rPr>
          <w:sz w:val="22"/>
          <w:szCs w:val="22"/>
          <w:u w:val="single"/>
        </w:rPr>
      </w:pPr>
      <w:r w:rsidRPr="0036667D">
        <w:rPr>
          <w:sz w:val="22"/>
          <w:szCs w:val="22"/>
          <w:u w:val="single"/>
        </w:rPr>
        <w:t>Informačná spoločnosť</w:t>
      </w:r>
    </w:p>
    <w:p w:rsidR="0059698C" w:rsidRPr="00EE483E" w:rsidRDefault="0059698C" w:rsidP="0059698C">
      <w:pPr>
        <w:spacing w:before="180"/>
        <w:jc w:val="both"/>
        <w:rPr>
          <w:sz w:val="22"/>
          <w:szCs w:val="22"/>
        </w:rPr>
      </w:pPr>
      <w:r>
        <w:rPr>
          <w:sz w:val="22"/>
          <w:szCs w:val="22"/>
        </w:rPr>
        <w:t xml:space="preserve">V rámci </w:t>
      </w:r>
      <w:r w:rsidRPr="00EE483E">
        <w:rPr>
          <w:sz w:val="22"/>
          <w:szCs w:val="22"/>
        </w:rPr>
        <w:t>Prioritnej osi 7 budú výsledky a ciele tejto prioritnej osi dosahované najmä implementáciou národných projektov, kde cieľovou skupinou sú všetci občania a podnikatelia bez ohľadu na ich trvalé bydlisko/sídlo. Z hľadiska aktivít, ktoré budú smerované do vopred definovaných územných oblastí, je potrebné uviesť budovanie národných regionálnych optických sietí (prostredníctvom národných projektov) a budovanie prístupových sietí v oblastiach zlyhania trhu (prostredníctvom dopytových projektov) v rámci investičnej priority 2a</w:t>
      </w:r>
      <w:r>
        <w:rPr>
          <w:sz w:val="22"/>
          <w:szCs w:val="22"/>
        </w:rPr>
        <w:t>).</w:t>
      </w:r>
    </w:p>
    <w:p w:rsidR="0059698C" w:rsidRPr="00DA54CE" w:rsidRDefault="0059698C" w:rsidP="005917D8">
      <w:pPr>
        <w:spacing w:before="180"/>
        <w:jc w:val="both"/>
        <w:rPr>
          <w:sz w:val="22"/>
          <w:szCs w:val="22"/>
        </w:rPr>
      </w:pPr>
    </w:p>
    <w:p w:rsidR="005917D8" w:rsidRDefault="005917D8" w:rsidP="005917D8">
      <w:pPr>
        <w:pStyle w:val="Nadpis1"/>
        <w:tabs>
          <w:tab w:val="num" w:pos="851"/>
        </w:tabs>
        <w:jc w:val="both"/>
        <w:sectPr w:rsidR="005917D8" w:rsidSect="00D1658B">
          <w:headerReference w:type="default" r:id="rId32"/>
          <w:footerReference w:type="default" r:id="rId33"/>
          <w:pgSz w:w="11906" w:h="16838"/>
          <w:pgMar w:top="1418" w:right="1361" w:bottom="1304" w:left="1474" w:header="709" w:footer="709" w:gutter="0"/>
          <w:cols w:space="708"/>
          <w:docGrid w:linePitch="360"/>
        </w:sectPr>
      </w:pPr>
      <w:bookmarkStart w:id="128" w:name="_Toc383209148"/>
      <w:bookmarkStart w:id="129" w:name="_Toc383236562"/>
      <w:bookmarkEnd w:id="115"/>
    </w:p>
    <w:p w:rsidR="005917D8" w:rsidRDefault="005917D8" w:rsidP="005917D8">
      <w:pPr>
        <w:pStyle w:val="Nadpis1"/>
        <w:tabs>
          <w:tab w:val="num" w:pos="851"/>
        </w:tabs>
        <w:jc w:val="both"/>
      </w:pPr>
      <w:bookmarkStart w:id="130" w:name="_Toc385310752"/>
      <w:r>
        <w:lastRenderedPageBreak/>
        <w:t>Špecifické potreby geografických oblastí najviac postihnutých chudobou alebo cieľových skupín najviac ohrozených diskrimináciou alebo sociálnym vylúčením</w:t>
      </w:r>
      <w:bookmarkEnd w:id="128"/>
      <w:bookmarkEnd w:id="129"/>
      <w:bookmarkEnd w:id="130"/>
    </w:p>
    <w:p w:rsidR="00B476FF" w:rsidRDefault="00B476FF" w:rsidP="00B476FF">
      <w:pPr>
        <w:pStyle w:val="Nadpis2"/>
        <w:tabs>
          <w:tab w:val="clear" w:pos="709"/>
          <w:tab w:val="num" w:pos="851"/>
        </w:tabs>
        <w:spacing w:before="240" w:after="240"/>
        <w:ind w:left="851" w:hanging="851"/>
        <w:jc w:val="both"/>
      </w:pPr>
      <w:bookmarkStart w:id="131" w:name="_Toc383091868"/>
      <w:bookmarkStart w:id="132" w:name="_Toc385310753"/>
      <w:r>
        <w:t>Geografické oblasti najviac postihnuté chudobou/cieľové skupiny najviac ohrozené diskrimináciou</w:t>
      </w:r>
      <w:bookmarkEnd w:id="131"/>
      <w:r>
        <w:t xml:space="preserve"> alebo sociálnym vylúčením</w:t>
      </w:r>
      <w:bookmarkEnd w:id="132"/>
    </w:p>
    <w:p w:rsidR="00B476FF" w:rsidRDefault="00B476FF" w:rsidP="008D6FCE">
      <w:pPr>
        <w:tabs>
          <w:tab w:val="left" w:pos="709"/>
        </w:tabs>
        <w:jc w:val="both"/>
        <w:rPr>
          <w:sz w:val="22"/>
          <w:szCs w:val="22"/>
        </w:rPr>
      </w:pPr>
      <w:r w:rsidRPr="00056C40">
        <w:rPr>
          <w:sz w:val="22"/>
          <w:szCs w:val="22"/>
        </w:rPr>
        <w:t>V SR bude integrovaný prístup na riešenie špecifických potrieb geografických oblastí najviac zasiahnutých chudobou, alebo cieľových skupín najviac ohrozených diskrimináciou, alebo sociálnym vylúčením realizovaný pre cieľovú s</w:t>
      </w:r>
      <w:r>
        <w:rPr>
          <w:sz w:val="22"/>
          <w:szCs w:val="22"/>
        </w:rPr>
        <w:t>kupinu marginalizovaných rómskych komunít (ďalej len „MRK“)</w:t>
      </w:r>
      <w:r w:rsidRPr="00056C40">
        <w:rPr>
          <w:sz w:val="22"/>
          <w:szCs w:val="22"/>
        </w:rPr>
        <w:t>.</w:t>
      </w:r>
      <w:r>
        <w:rPr>
          <w:sz w:val="22"/>
          <w:szCs w:val="22"/>
        </w:rPr>
        <w:t xml:space="preserve"> </w:t>
      </w:r>
      <w:r w:rsidRPr="00056C40">
        <w:rPr>
          <w:sz w:val="22"/>
          <w:szCs w:val="22"/>
        </w:rPr>
        <w:t>V podmienkach SR sú najviac zasiahnuté chudobou segregované a separované rómske komunity, ktorých priestorové rozptýlenie identifikuje Atlas rómskych komunít 2013 na úrovni LAU2</w:t>
      </w:r>
      <w:r>
        <w:rPr>
          <w:rStyle w:val="Odkaznapoznmkupodiarou"/>
          <w:sz w:val="22"/>
          <w:szCs w:val="22"/>
        </w:rPr>
        <w:footnoteReference w:id="28"/>
      </w:r>
      <w:r>
        <w:rPr>
          <w:sz w:val="22"/>
          <w:szCs w:val="22"/>
        </w:rPr>
        <w:t xml:space="preserve">. Integrovaný prístup bude na úrovni SR realizovaný najmä v rámci Operačného programu Ľudské zdroje </w:t>
      </w:r>
      <w:r w:rsidR="008D6FCE">
        <w:rPr>
          <w:sz w:val="22"/>
          <w:szCs w:val="22"/>
        </w:rPr>
        <w:t>prostredníctvom ESF a EFRR.</w:t>
      </w:r>
    </w:p>
    <w:p w:rsidR="00B476FF" w:rsidRDefault="00B476FF" w:rsidP="00B476FF">
      <w:pPr>
        <w:pStyle w:val="Nadpis2"/>
        <w:tabs>
          <w:tab w:val="clear" w:pos="709"/>
          <w:tab w:val="num" w:pos="851"/>
        </w:tabs>
        <w:spacing w:before="240" w:after="240"/>
        <w:ind w:left="851" w:hanging="851"/>
        <w:jc w:val="both"/>
      </w:pPr>
      <w:bookmarkStart w:id="133" w:name="_Toc383091869"/>
      <w:bookmarkStart w:id="134" w:name="_Toc385310754"/>
      <w:r>
        <w:t>Stratégia pre riešenie špecifických potrieb geografických oblastí najviac postihnutých chudobou/cieľových skupín najviac</w:t>
      </w:r>
      <w:bookmarkEnd w:id="133"/>
      <w:r>
        <w:t xml:space="preserve"> ohrozených diskrimináciou alebo sociálnym vylúčením</w:t>
      </w:r>
      <w:bookmarkEnd w:id="134"/>
    </w:p>
    <w:p w:rsidR="00B476FF" w:rsidRDefault="00B476FF" w:rsidP="00B476FF">
      <w:pPr>
        <w:tabs>
          <w:tab w:val="left" w:pos="709"/>
        </w:tabs>
        <w:jc w:val="both"/>
        <w:rPr>
          <w:sz w:val="22"/>
          <w:szCs w:val="22"/>
        </w:rPr>
      </w:pPr>
      <w:r w:rsidRPr="00473733">
        <w:rPr>
          <w:sz w:val="22"/>
          <w:szCs w:val="22"/>
        </w:rPr>
        <w:t>Stratégia Slovenskej republiky pre integráciu Rómov do roku 2020</w:t>
      </w:r>
      <w:r>
        <w:rPr>
          <w:rStyle w:val="Odkaznapoznmkupodiarou"/>
          <w:sz w:val="22"/>
          <w:szCs w:val="22"/>
        </w:rPr>
        <w:footnoteReference w:id="29"/>
      </w:r>
      <w:r w:rsidRPr="00473733">
        <w:rPr>
          <w:sz w:val="22"/>
          <w:szCs w:val="22"/>
        </w:rPr>
        <w:t xml:space="preserve"> a Revidovaný národný akčný plán Dekády začleňovania rómskej populácie 2005 – 2015 na roky 2011 – 2015</w:t>
      </w:r>
      <w:r>
        <w:rPr>
          <w:rStyle w:val="Odkaznapoznmkupodiarou"/>
          <w:sz w:val="22"/>
          <w:szCs w:val="22"/>
        </w:rPr>
        <w:footnoteReference w:id="30"/>
      </w:r>
      <w:r w:rsidRPr="00473733">
        <w:rPr>
          <w:sz w:val="22"/>
          <w:szCs w:val="22"/>
        </w:rPr>
        <w:t xml:space="preserve"> je v súlade s odporúčaniami Rady o účinných opatreniach na integráciu Rómov v členských štátoch</w:t>
      </w:r>
      <w:r>
        <w:rPr>
          <w:rStyle w:val="Odkaznapoznmkupodiarou"/>
          <w:sz w:val="22"/>
          <w:szCs w:val="22"/>
        </w:rPr>
        <w:footnoteReference w:id="31"/>
      </w:r>
      <w:r w:rsidRPr="00473733">
        <w:rPr>
          <w:sz w:val="22"/>
          <w:szCs w:val="22"/>
        </w:rPr>
        <w:t xml:space="preserve"> a Sociálnym investičným balíkom</w:t>
      </w:r>
      <w:r>
        <w:rPr>
          <w:rStyle w:val="Odkaznapoznmkupodiarou"/>
          <w:sz w:val="22"/>
          <w:szCs w:val="22"/>
        </w:rPr>
        <w:footnoteReference w:id="32"/>
      </w:r>
      <w:r w:rsidRPr="00473733">
        <w:rPr>
          <w:sz w:val="22"/>
          <w:szCs w:val="22"/>
        </w:rPr>
        <w:t>.</w:t>
      </w:r>
      <w:r>
        <w:rPr>
          <w:sz w:val="22"/>
          <w:szCs w:val="22"/>
        </w:rPr>
        <w:t xml:space="preserve"> Investičnou podporou štyroch opatrení (vzdelávanie, zamestnanosť, bývanie a zdravotná starostlivosť) sa dosiahne integrovaný prístup k inklúzii obyvateľov MRK.</w:t>
      </w:r>
    </w:p>
    <w:p w:rsidR="00B476FF" w:rsidRDefault="00B476FF" w:rsidP="00B476FF">
      <w:pPr>
        <w:tabs>
          <w:tab w:val="left" w:pos="709"/>
        </w:tabs>
        <w:spacing w:before="180"/>
        <w:jc w:val="both"/>
        <w:rPr>
          <w:sz w:val="22"/>
          <w:szCs w:val="22"/>
        </w:rPr>
      </w:pPr>
      <w:r>
        <w:rPr>
          <w:sz w:val="22"/>
          <w:szCs w:val="22"/>
        </w:rPr>
        <w:t xml:space="preserve">Prostredníctvom OPII bude možné čiastočne prispieť k zvýšeniu zamestnanosti MRK, a to predovšetkým vo fáze stavebnej realizácie dopravných projektov. </w:t>
      </w:r>
      <w:r w:rsidRPr="00B261AC">
        <w:rPr>
          <w:sz w:val="22"/>
          <w:szCs w:val="22"/>
        </w:rPr>
        <w:t xml:space="preserve">V rámci </w:t>
      </w:r>
      <w:r>
        <w:rPr>
          <w:sz w:val="22"/>
          <w:szCs w:val="22"/>
        </w:rPr>
        <w:t>OPII bude využitý</w:t>
      </w:r>
      <w:r w:rsidRPr="00B261AC">
        <w:rPr>
          <w:sz w:val="22"/>
          <w:szCs w:val="22"/>
        </w:rPr>
        <w:t xml:space="preserve"> sociálny aspekt vo VO, ktorý by mal priniesť vy</w:t>
      </w:r>
      <w:r>
        <w:rPr>
          <w:sz w:val="22"/>
          <w:szCs w:val="22"/>
        </w:rPr>
        <w:t>ššiu mieru účasti na trhu práce pre MRK, ktoré patria medzi najzraniteľnejšie skupiny ohrozené chudobou a sociálnym vylúčením. Vyššou mierou participácie MRK na trhu práce sa vytvoria predpoklady pre zlepšenie sociálnej situácie a kvality života tejto skupiny obyvateľstva.</w:t>
      </w:r>
    </w:p>
    <w:p w:rsidR="00B476FF" w:rsidRDefault="00B476FF" w:rsidP="005917D8">
      <w:pPr>
        <w:jc w:val="both"/>
        <w:rPr>
          <w:sz w:val="22"/>
          <w:szCs w:val="22"/>
        </w:rPr>
      </w:pPr>
    </w:p>
    <w:p w:rsidR="005917D8" w:rsidRDefault="005917D8" w:rsidP="005917D8">
      <w:pPr>
        <w:pStyle w:val="Nadpis1"/>
        <w:tabs>
          <w:tab w:val="num" w:pos="851"/>
        </w:tabs>
        <w:jc w:val="both"/>
      </w:pPr>
      <w:bookmarkStart w:id="135" w:name="_Toc383209149"/>
      <w:bookmarkStart w:id="136" w:name="_Toc383236563"/>
      <w:bookmarkStart w:id="137" w:name="_Toc385310755"/>
      <w:r w:rsidRPr="00AD545D">
        <w:t>Špecifické potreby geografických oblastí so závažne a trvalo znevýhodnenými prírodnými alebo demografickými podmienkami</w:t>
      </w:r>
      <w:bookmarkEnd w:id="135"/>
      <w:bookmarkEnd w:id="136"/>
      <w:bookmarkEnd w:id="137"/>
    </w:p>
    <w:p w:rsidR="005917D8" w:rsidRPr="00AD545D" w:rsidRDefault="00C96E0F" w:rsidP="005917D8">
      <w:r>
        <w:t>N/A</w:t>
      </w:r>
    </w:p>
    <w:p w:rsidR="005917D8" w:rsidRDefault="005917D8" w:rsidP="005917D8">
      <w:pPr>
        <w:sectPr w:rsidR="005917D8" w:rsidSect="00D1658B">
          <w:headerReference w:type="default" r:id="rId34"/>
          <w:pgSz w:w="11906" w:h="16838"/>
          <w:pgMar w:top="1418" w:right="1361" w:bottom="1304" w:left="1474" w:header="709" w:footer="709" w:gutter="0"/>
          <w:cols w:space="708"/>
          <w:docGrid w:linePitch="360"/>
        </w:sectPr>
      </w:pPr>
    </w:p>
    <w:p w:rsidR="005917D8" w:rsidRDefault="005917D8" w:rsidP="005917D8">
      <w:pPr>
        <w:pStyle w:val="Nadpis1"/>
        <w:tabs>
          <w:tab w:val="num" w:pos="851"/>
        </w:tabs>
        <w:jc w:val="both"/>
      </w:pPr>
      <w:bookmarkStart w:id="138" w:name="_Toc383209150"/>
      <w:bookmarkStart w:id="139" w:name="_Toc383236564"/>
      <w:bookmarkStart w:id="140" w:name="_Toc385310756"/>
      <w:r>
        <w:lastRenderedPageBreak/>
        <w:t>Orgány a subjekty zodpo</w:t>
      </w:r>
      <w:r w:rsidRPr="00AD545D">
        <w:t>ve</w:t>
      </w:r>
      <w:r>
        <w:t>dné za riadenie, kontrolu a audit a úlohy príslušných partnerov</w:t>
      </w:r>
      <w:bookmarkEnd w:id="138"/>
      <w:bookmarkEnd w:id="139"/>
      <w:bookmarkEnd w:id="140"/>
    </w:p>
    <w:p w:rsidR="005917D8" w:rsidRDefault="005917D8" w:rsidP="005917D8">
      <w:pPr>
        <w:pStyle w:val="Nadpis2"/>
        <w:tabs>
          <w:tab w:val="num" w:pos="851"/>
        </w:tabs>
        <w:spacing w:before="240"/>
      </w:pPr>
      <w:bookmarkStart w:id="141" w:name="_Toc383209151"/>
      <w:bookmarkStart w:id="142" w:name="_Toc383236565"/>
      <w:bookmarkStart w:id="143" w:name="_Toc385310757"/>
      <w:r>
        <w:t>Identifikácia príslušných orgánov a subjektov</w:t>
      </w:r>
      <w:bookmarkEnd w:id="141"/>
      <w:bookmarkEnd w:id="142"/>
      <w:bookmarkEnd w:id="143"/>
    </w:p>
    <w:p w:rsidR="005917D8" w:rsidRPr="005917D8" w:rsidRDefault="00E420C5" w:rsidP="005917D8">
      <w:pPr>
        <w:pStyle w:val="Tab"/>
      </w:pPr>
      <w:r>
        <w:t xml:space="preserve"> </w:t>
      </w:r>
      <w:r w:rsidR="005917D8">
        <w:t>Identifikácia príslušných orgánov a subjektov</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345"/>
        <w:gridCol w:w="3036"/>
        <w:gridCol w:w="2691"/>
      </w:tblGrid>
      <w:tr w:rsidR="005917D8" w:rsidRPr="00357BF6" w:rsidTr="00A127CB">
        <w:trPr>
          <w:trHeight w:val="567"/>
          <w:jc w:val="center"/>
        </w:trPr>
        <w:tc>
          <w:tcPr>
            <w:tcW w:w="3345" w:type="dxa"/>
            <w:shd w:val="clear" w:color="auto" w:fill="C6D9F1" w:themeFill="text2" w:themeFillTint="33"/>
            <w:vAlign w:val="center"/>
          </w:tcPr>
          <w:p w:rsidR="005917D8" w:rsidRPr="00001F01" w:rsidRDefault="005917D8" w:rsidP="005917D8">
            <w:pPr>
              <w:ind w:left="0"/>
              <w:rPr>
                <w:sz w:val="18"/>
                <w:szCs w:val="18"/>
              </w:rPr>
            </w:pPr>
            <w:r w:rsidRPr="00001F01">
              <w:rPr>
                <w:sz w:val="18"/>
                <w:szCs w:val="18"/>
              </w:rPr>
              <w:t>Subjekt/orgán</w:t>
            </w:r>
          </w:p>
        </w:tc>
        <w:tc>
          <w:tcPr>
            <w:tcW w:w="3036" w:type="dxa"/>
            <w:shd w:val="clear" w:color="auto" w:fill="C6D9F1" w:themeFill="text2" w:themeFillTint="33"/>
            <w:vAlign w:val="center"/>
          </w:tcPr>
          <w:p w:rsidR="005917D8" w:rsidRPr="00001F01" w:rsidRDefault="005917D8" w:rsidP="005917D8">
            <w:pPr>
              <w:ind w:left="0"/>
              <w:jc w:val="center"/>
              <w:rPr>
                <w:sz w:val="18"/>
                <w:szCs w:val="18"/>
              </w:rPr>
            </w:pPr>
            <w:r w:rsidRPr="00001F01">
              <w:rPr>
                <w:sz w:val="18"/>
                <w:szCs w:val="18"/>
              </w:rPr>
              <w:t>Názov subjektu/orgánu a útvaru</w:t>
            </w:r>
          </w:p>
        </w:tc>
        <w:tc>
          <w:tcPr>
            <w:tcW w:w="2691" w:type="dxa"/>
            <w:shd w:val="clear" w:color="auto" w:fill="C6D9F1" w:themeFill="text2" w:themeFillTint="33"/>
            <w:vAlign w:val="center"/>
          </w:tcPr>
          <w:p w:rsidR="005917D8" w:rsidRPr="00001F01" w:rsidRDefault="005917D8" w:rsidP="005917D8">
            <w:pPr>
              <w:ind w:left="0"/>
              <w:jc w:val="center"/>
              <w:rPr>
                <w:sz w:val="18"/>
                <w:szCs w:val="18"/>
              </w:rPr>
            </w:pPr>
            <w:r w:rsidRPr="00001F01">
              <w:rPr>
                <w:sz w:val="18"/>
                <w:szCs w:val="18"/>
              </w:rPr>
              <w:t>Vedúci subjektu/orgánu (pozícia)</w:t>
            </w:r>
          </w:p>
        </w:tc>
      </w:tr>
      <w:tr w:rsidR="005917D8" w:rsidRPr="005602F7" w:rsidTr="00A127CB">
        <w:trPr>
          <w:trHeight w:val="510"/>
          <w:jc w:val="center"/>
        </w:trPr>
        <w:tc>
          <w:tcPr>
            <w:tcW w:w="3345" w:type="dxa"/>
            <w:shd w:val="clear" w:color="auto" w:fill="F2F2F2" w:themeFill="background1" w:themeFillShade="F2"/>
            <w:vAlign w:val="center"/>
          </w:tcPr>
          <w:p w:rsidR="005917D8" w:rsidRPr="005602F7" w:rsidRDefault="005917D8" w:rsidP="005917D8">
            <w:pPr>
              <w:ind w:left="0"/>
              <w:rPr>
                <w:sz w:val="18"/>
                <w:szCs w:val="18"/>
              </w:rPr>
            </w:pPr>
            <w:r w:rsidRPr="005602F7">
              <w:rPr>
                <w:sz w:val="18"/>
                <w:szCs w:val="18"/>
              </w:rPr>
              <w:t>Riadiaci orgán</w:t>
            </w:r>
          </w:p>
        </w:tc>
        <w:tc>
          <w:tcPr>
            <w:tcW w:w="3036" w:type="dxa"/>
            <w:vAlign w:val="center"/>
          </w:tcPr>
          <w:p w:rsidR="005917D8" w:rsidRPr="005602F7" w:rsidRDefault="005917D8" w:rsidP="005917D8">
            <w:pPr>
              <w:ind w:left="0"/>
              <w:jc w:val="center"/>
              <w:rPr>
                <w:sz w:val="18"/>
                <w:szCs w:val="18"/>
              </w:rPr>
            </w:pPr>
            <w:r w:rsidRPr="005602F7">
              <w:rPr>
                <w:sz w:val="18"/>
                <w:szCs w:val="18"/>
              </w:rPr>
              <w:t>Ministerstvo dopravy, výstavby a</w:t>
            </w:r>
            <w:r>
              <w:rPr>
                <w:sz w:val="18"/>
                <w:szCs w:val="18"/>
              </w:rPr>
              <w:t> </w:t>
            </w:r>
            <w:r w:rsidRPr="005602F7">
              <w:rPr>
                <w:sz w:val="18"/>
                <w:szCs w:val="18"/>
              </w:rPr>
              <w:t>regionálneho rozvoja SR</w:t>
            </w:r>
          </w:p>
        </w:tc>
        <w:tc>
          <w:tcPr>
            <w:tcW w:w="2691" w:type="dxa"/>
            <w:vAlign w:val="center"/>
          </w:tcPr>
          <w:p w:rsidR="005917D8" w:rsidRPr="005602F7" w:rsidRDefault="005917D8" w:rsidP="005917D8">
            <w:pPr>
              <w:ind w:left="0"/>
              <w:jc w:val="center"/>
              <w:rPr>
                <w:sz w:val="18"/>
                <w:szCs w:val="18"/>
              </w:rPr>
            </w:pPr>
            <w:r>
              <w:rPr>
                <w:sz w:val="18"/>
                <w:szCs w:val="18"/>
              </w:rPr>
              <w:t>minister dopravy, výstavby a regionálneho rozvoja SR</w:t>
            </w:r>
          </w:p>
        </w:tc>
      </w:tr>
      <w:tr w:rsidR="005917D8" w:rsidRPr="005602F7" w:rsidTr="00A127CB">
        <w:trPr>
          <w:trHeight w:val="510"/>
          <w:jc w:val="center"/>
        </w:trPr>
        <w:tc>
          <w:tcPr>
            <w:tcW w:w="3345" w:type="dxa"/>
            <w:shd w:val="clear" w:color="auto" w:fill="F2F2F2" w:themeFill="background1" w:themeFillShade="F2"/>
            <w:vAlign w:val="center"/>
          </w:tcPr>
          <w:p w:rsidR="005917D8" w:rsidRDefault="005917D8" w:rsidP="005917D8">
            <w:pPr>
              <w:ind w:left="0"/>
              <w:rPr>
                <w:sz w:val="18"/>
                <w:szCs w:val="18"/>
              </w:rPr>
            </w:pPr>
            <w:r>
              <w:rPr>
                <w:sz w:val="18"/>
                <w:szCs w:val="18"/>
              </w:rPr>
              <w:t xml:space="preserve">Sprostredkovateľský orgán </w:t>
            </w:r>
          </w:p>
          <w:p w:rsidR="005917D8" w:rsidRPr="005602F7" w:rsidRDefault="005917D8" w:rsidP="005917D8">
            <w:pPr>
              <w:ind w:left="0"/>
              <w:rPr>
                <w:sz w:val="18"/>
                <w:szCs w:val="18"/>
              </w:rPr>
            </w:pPr>
            <w:r>
              <w:rPr>
                <w:sz w:val="18"/>
                <w:szCs w:val="18"/>
              </w:rPr>
              <w:t>pod Riadiacim orgánom</w:t>
            </w:r>
            <w:r w:rsidR="006E738B">
              <w:rPr>
                <w:sz w:val="18"/>
                <w:szCs w:val="18"/>
              </w:rPr>
              <w:t xml:space="preserve"> </w:t>
            </w:r>
            <w:r w:rsidR="006E738B">
              <w:rPr>
                <w:sz w:val="18"/>
                <w:szCs w:val="18"/>
              </w:rPr>
              <w:br/>
              <w:t>(pre Prioritnú os 7)</w:t>
            </w:r>
          </w:p>
        </w:tc>
        <w:tc>
          <w:tcPr>
            <w:tcW w:w="3036" w:type="dxa"/>
            <w:vAlign w:val="center"/>
          </w:tcPr>
          <w:p w:rsidR="006F5D77" w:rsidRPr="005602F7" w:rsidRDefault="005917D8" w:rsidP="006E738B">
            <w:pPr>
              <w:ind w:left="0"/>
              <w:jc w:val="center"/>
              <w:rPr>
                <w:sz w:val="18"/>
                <w:szCs w:val="18"/>
              </w:rPr>
            </w:pPr>
            <w:r w:rsidRPr="005602F7">
              <w:rPr>
                <w:sz w:val="18"/>
                <w:szCs w:val="18"/>
              </w:rPr>
              <w:t>Ministerstvo financií SR</w:t>
            </w:r>
          </w:p>
        </w:tc>
        <w:tc>
          <w:tcPr>
            <w:tcW w:w="2691" w:type="dxa"/>
            <w:vAlign w:val="center"/>
          </w:tcPr>
          <w:p w:rsidR="005917D8" w:rsidRPr="005602F7" w:rsidRDefault="006454C8" w:rsidP="005917D8">
            <w:pPr>
              <w:ind w:left="0"/>
              <w:jc w:val="center"/>
              <w:rPr>
                <w:sz w:val="18"/>
                <w:szCs w:val="18"/>
              </w:rPr>
            </w:pPr>
            <w:r>
              <w:rPr>
                <w:sz w:val="18"/>
                <w:szCs w:val="18"/>
              </w:rPr>
              <w:t xml:space="preserve">podpredseda vlády a </w:t>
            </w:r>
            <w:r w:rsidR="005917D8">
              <w:rPr>
                <w:sz w:val="18"/>
                <w:szCs w:val="18"/>
              </w:rPr>
              <w:t>m</w:t>
            </w:r>
            <w:r w:rsidR="005917D8" w:rsidRPr="001C07CB">
              <w:rPr>
                <w:sz w:val="18"/>
                <w:szCs w:val="18"/>
              </w:rPr>
              <w:t>inister</w:t>
            </w:r>
            <w:r w:rsidR="005917D8">
              <w:rPr>
                <w:sz w:val="18"/>
                <w:szCs w:val="18"/>
              </w:rPr>
              <w:t xml:space="preserve"> financií SR</w:t>
            </w:r>
          </w:p>
        </w:tc>
      </w:tr>
      <w:tr w:rsidR="005917D8" w:rsidRPr="005602F7" w:rsidTr="00A127CB">
        <w:trPr>
          <w:trHeight w:val="510"/>
          <w:jc w:val="center"/>
        </w:trPr>
        <w:tc>
          <w:tcPr>
            <w:tcW w:w="3345" w:type="dxa"/>
            <w:shd w:val="clear" w:color="auto" w:fill="F2F2F2" w:themeFill="background1" w:themeFillShade="F2"/>
            <w:vAlign w:val="center"/>
          </w:tcPr>
          <w:p w:rsidR="005917D8" w:rsidRPr="005602F7" w:rsidRDefault="005917D8" w:rsidP="005917D8">
            <w:pPr>
              <w:ind w:left="0"/>
              <w:rPr>
                <w:sz w:val="18"/>
                <w:szCs w:val="18"/>
              </w:rPr>
            </w:pPr>
            <w:r>
              <w:rPr>
                <w:sz w:val="18"/>
                <w:szCs w:val="18"/>
              </w:rPr>
              <w:t xml:space="preserve">Centrálny koordinačný </w:t>
            </w:r>
            <w:r w:rsidRPr="005602F7">
              <w:rPr>
                <w:sz w:val="18"/>
                <w:szCs w:val="18"/>
              </w:rPr>
              <w:t>orgán</w:t>
            </w:r>
          </w:p>
        </w:tc>
        <w:tc>
          <w:tcPr>
            <w:tcW w:w="3036" w:type="dxa"/>
            <w:vAlign w:val="center"/>
          </w:tcPr>
          <w:p w:rsidR="005917D8" w:rsidRPr="005602F7" w:rsidRDefault="005917D8" w:rsidP="005917D8">
            <w:pPr>
              <w:ind w:left="0"/>
              <w:jc w:val="center"/>
              <w:rPr>
                <w:sz w:val="18"/>
                <w:szCs w:val="18"/>
              </w:rPr>
            </w:pPr>
            <w:r>
              <w:rPr>
                <w:sz w:val="18"/>
                <w:szCs w:val="18"/>
              </w:rPr>
              <w:t>Úrad vlády SR</w:t>
            </w:r>
          </w:p>
        </w:tc>
        <w:tc>
          <w:tcPr>
            <w:tcW w:w="2691" w:type="dxa"/>
            <w:vAlign w:val="center"/>
          </w:tcPr>
          <w:p w:rsidR="005917D8" w:rsidRPr="005602F7" w:rsidRDefault="005917D8" w:rsidP="005917D8">
            <w:pPr>
              <w:ind w:left="0"/>
              <w:jc w:val="center"/>
              <w:rPr>
                <w:sz w:val="18"/>
                <w:szCs w:val="18"/>
              </w:rPr>
            </w:pPr>
            <w:r>
              <w:rPr>
                <w:sz w:val="18"/>
                <w:szCs w:val="18"/>
              </w:rPr>
              <w:t>vedúci úradu vlády SR</w:t>
            </w:r>
          </w:p>
        </w:tc>
      </w:tr>
      <w:tr w:rsidR="005917D8" w:rsidRPr="005602F7" w:rsidTr="00A127CB">
        <w:trPr>
          <w:trHeight w:val="510"/>
          <w:jc w:val="center"/>
        </w:trPr>
        <w:tc>
          <w:tcPr>
            <w:tcW w:w="3345" w:type="dxa"/>
            <w:shd w:val="clear" w:color="auto" w:fill="F2F2F2" w:themeFill="background1" w:themeFillShade="F2"/>
            <w:vAlign w:val="center"/>
          </w:tcPr>
          <w:p w:rsidR="005917D8" w:rsidRDefault="005917D8" w:rsidP="005917D8">
            <w:pPr>
              <w:ind w:left="0"/>
              <w:rPr>
                <w:sz w:val="18"/>
                <w:szCs w:val="18"/>
              </w:rPr>
            </w:pPr>
            <w:r>
              <w:rPr>
                <w:sz w:val="18"/>
                <w:szCs w:val="18"/>
              </w:rPr>
              <w:t>Certifikačný orgán</w:t>
            </w:r>
          </w:p>
        </w:tc>
        <w:tc>
          <w:tcPr>
            <w:tcW w:w="3036" w:type="dxa"/>
            <w:vAlign w:val="center"/>
          </w:tcPr>
          <w:p w:rsidR="005917D8" w:rsidRPr="005602F7" w:rsidRDefault="005917D8" w:rsidP="005917D8">
            <w:pPr>
              <w:ind w:left="0"/>
              <w:jc w:val="center"/>
              <w:rPr>
                <w:sz w:val="18"/>
                <w:szCs w:val="18"/>
              </w:rPr>
            </w:pPr>
            <w:r w:rsidRPr="005602F7">
              <w:rPr>
                <w:sz w:val="18"/>
                <w:szCs w:val="18"/>
              </w:rPr>
              <w:t>Ministerstvo financií SR</w:t>
            </w:r>
          </w:p>
        </w:tc>
        <w:tc>
          <w:tcPr>
            <w:tcW w:w="2691" w:type="dxa"/>
            <w:vAlign w:val="center"/>
          </w:tcPr>
          <w:p w:rsidR="005917D8" w:rsidRPr="001C07CB" w:rsidRDefault="006454C8" w:rsidP="005917D8">
            <w:pPr>
              <w:ind w:left="0"/>
              <w:jc w:val="center"/>
              <w:rPr>
                <w:sz w:val="18"/>
                <w:szCs w:val="18"/>
              </w:rPr>
            </w:pPr>
            <w:r>
              <w:rPr>
                <w:sz w:val="18"/>
                <w:szCs w:val="18"/>
              </w:rPr>
              <w:t>podpredseda vlády a m</w:t>
            </w:r>
            <w:r w:rsidRPr="001C07CB">
              <w:rPr>
                <w:sz w:val="18"/>
                <w:szCs w:val="18"/>
              </w:rPr>
              <w:t>inister</w:t>
            </w:r>
            <w:r>
              <w:rPr>
                <w:sz w:val="18"/>
                <w:szCs w:val="18"/>
              </w:rPr>
              <w:t xml:space="preserve"> financií SR</w:t>
            </w:r>
          </w:p>
        </w:tc>
      </w:tr>
      <w:tr w:rsidR="005917D8" w:rsidRPr="005602F7" w:rsidTr="00A127CB">
        <w:trPr>
          <w:trHeight w:val="510"/>
          <w:jc w:val="center"/>
        </w:trPr>
        <w:tc>
          <w:tcPr>
            <w:tcW w:w="3345" w:type="dxa"/>
            <w:shd w:val="clear" w:color="auto" w:fill="F2F2F2" w:themeFill="background1" w:themeFillShade="F2"/>
            <w:vAlign w:val="center"/>
          </w:tcPr>
          <w:p w:rsidR="005917D8" w:rsidRPr="005602F7" w:rsidRDefault="005917D8" w:rsidP="005917D8">
            <w:pPr>
              <w:ind w:left="0"/>
              <w:rPr>
                <w:sz w:val="18"/>
                <w:szCs w:val="18"/>
              </w:rPr>
            </w:pPr>
            <w:r w:rsidRPr="005602F7">
              <w:rPr>
                <w:sz w:val="18"/>
                <w:szCs w:val="18"/>
              </w:rPr>
              <w:t>Orgán auditu</w:t>
            </w:r>
          </w:p>
        </w:tc>
        <w:tc>
          <w:tcPr>
            <w:tcW w:w="3036" w:type="dxa"/>
            <w:vAlign w:val="center"/>
          </w:tcPr>
          <w:p w:rsidR="005917D8" w:rsidRPr="005602F7" w:rsidRDefault="005917D8" w:rsidP="005917D8">
            <w:pPr>
              <w:ind w:left="0"/>
              <w:jc w:val="center"/>
              <w:rPr>
                <w:sz w:val="18"/>
                <w:szCs w:val="18"/>
              </w:rPr>
            </w:pPr>
            <w:r w:rsidRPr="005602F7">
              <w:rPr>
                <w:sz w:val="18"/>
                <w:szCs w:val="18"/>
              </w:rPr>
              <w:t>Ministerstvo financií SR</w:t>
            </w:r>
          </w:p>
        </w:tc>
        <w:tc>
          <w:tcPr>
            <w:tcW w:w="2691" w:type="dxa"/>
            <w:vAlign w:val="center"/>
          </w:tcPr>
          <w:p w:rsidR="005917D8" w:rsidRPr="005602F7" w:rsidRDefault="006454C8" w:rsidP="005917D8">
            <w:pPr>
              <w:ind w:left="0"/>
              <w:jc w:val="center"/>
              <w:rPr>
                <w:sz w:val="18"/>
                <w:szCs w:val="18"/>
              </w:rPr>
            </w:pPr>
            <w:r>
              <w:rPr>
                <w:sz w:val="18"/>
                <w:szCs w:val="18"/>
              </w:rPr>
              <w:t>podpredseda vlády a m</w:t>
            </w:r>
            <w:r w:rsidRPr="001C07CB">
              <w:rPr>
                <w:sz w:val="18"/>
                <w:szCs w:val="18"/>
              </w:rPr>
              <w:t>inister</w:t>
            </w:r>
            <w:r>
              <w:rPr>
                <w:sz w:val="18"/>
                <w:szCs w:val="18"/>
              </w:rPr>
              <w:t xml:space="preserve"> financií SR</w:t>
            </w:r>
          </w:p>
        </w:tc>
      </w:tr>
      <w:tr w:rsidR="005917D8" w:rsidRPr="005602F7" w:rsidTr="00A127CB">
        <w:trPr>
          <w:trHeight w:val="510"/>
          <w:jc w:val="center"/>
        </w:trPr>
        <w:tc>
          <w:tcPr>
            <w:tcW w:w="3345" w:type="dxa"/>
            <w:shd w:val="clear" w:color="auto" w:fill="F2F2F2" w:themeFill="background1" w:themeFillShade="F2"/>
            <w:vAlign w:val="center"/>
          </w:tcPr>
          <w:p w:rsidR="005917D8" w:rsidRPr="005602F7" w:rsidRDefault="005917D8" w:rsidP="005917D8">
            <w:pPr>
              <w:ind w:left="0"/>
              <w:rPr>
                <w:sz w:val="18"/>
                <w:szCs w:val="18"/>
              </w:rPr>
            </w:pPr>
            <w:r w:rsidRPr="005602F7">
              <w:rPr>
                <w:sz w:val="18"/>
                <w:szCs w:val="18"/>
              </w:rPr>
              <w:t>Orgán, ktorému bude EK zasielať platby</w:t>
            </w:r>
          </w:p>
        </w:tc>
        <w:tc>
          <w:tcPr>
            <w:tcW w:w="3036" w:type="dxa"/>
            <w:vAlign w:val="center"/>
          </w:tcPr>
          <w:p w:rsidR="005917D8" w:rsidRPr="005602F7" w:rsidRDefault="005917D8" w:rsidP="005917D8">
            <w:pPr>
              <w:ind w:left="0"/>
              <w:jc w:val="center"/>
              <w:rPr>
                <w:sz w:val="18"/>
                <w:szCs w:val="18"/>
              </w:rPr>
            </w:pPr>
            <w:r w:rsidRPr="005602F7">
              <w:rPr>
                <w:sz w:val="18"/>
                <w:szCs w:val="18"/>
              </w:rPr>
              <w:t>Ministerstvo financií SR</w:t>
            </w:r>
          </w:p>
        </w:tc>
        <w:tc>
          <w:tcPr>
            <w:tcW w:w="2691" w:type="dxa"/>
            <w:vAlign w:val="center"/>
          </w:tcPr>
          <w:p w:rsidR="005917D8" w:rsidRPr="005602F7" w:rsidRDefault="006454C8" w:rsidP="005917D8">
            <w:pPr>
              <w:ind w:left="0"/>
              <w:jc w:val="center"/>
              <w:rPr>
                <w:sz w:val="18"/>
                <w:szCs w:val="18"/>
              </w:rPr>
            </w:pPr>
            <w:r>
              <w:rPr>
                <w:sz w:val="18"/>
                <w:szCs w:val="18"/>
              </w:rPr>
              <w:t>podpredseda vlády a m</w:t>
            </w:r>
            <w:r w:rsidRPr="001C07CB">
              <w:rPr>
                <w:sz w:val="18"/>
                <w:szCs w:val="18"/>
              </w:rPr>
              <w:t>inister</w:t>
            </w:r>
            <w:r>
              <w:rPr>
                <w:sz w:val="18"/>
                <w:szCs w:val="18"/>
              </w:rPr>
              <w:t xml:space="preserve"> financií SR</w:t>
            </w:r>
          </w:p>
        </w:tc>
      </w:tr>
    </w:tbl>
    <w:p w:rsidR="005917D8" w:rsidRDefault="005917D8" w:rsidP="00B43824">
      <w:pPr>
        <w:pStyle w:val="Nadpis2"/>
        <w:tabs>
          <w:tab w:val="num" w:pos="851"/>
        </w:tabs>
        <w:spacing w:before="240"/>
        <w:jc w:val="both"/>
      </w:pPr>
      <w:bookmarkStart w:id="144" w:name="_Toc383209152"/>
      <w:bookmarkStart w:id="145" w:name="_Toc383236566"/>
      <w:bookmarkStart w:id="146" w:name="_Toc385310758"/>
      <w:r>
        <w:t>Zapojenie príslušných partnerov do prípravy operačného programu a úlohy partnerov v rámci implementácie, monitorovania a hodnotenia operačného programu</w:t>
      </w:r>
      <w:bookmarkEnd w:id="144"/>
      <w:bookmarkEnd w:id="145"/>
      <w:bookmarkEnd w:id="146"/>
    </w:p>
    <w:p w:rsidR="005917D8" w:rsidRDefault="00B43824" w:rsidP="00B43824">
      <w:pPr>
        <w:pStyle w:val="Nadpis3"/>
        <w:jc w:val="both"/>
        <w:rPr>
          <w:sz w:val="23"/>
          <w:szCs w:val="23"/>
        </w:rPr>
      </w:pPr>
      <w:bookmarkStart w:id="147" w:name="_Toc385310759"/>
      <w:r>
        <w:rPr>
          <w:sz w:val="23"/>
          <w:szCs w:val="23"/>
        </w:rPr>
        <w:t>Úloha príslušných partnerov pri príprave, implementácii, monitorovaní a hodnotení operačného programu</w:t>
      </w:r>
      <w:bookmarkEnd w:id="147"/>
    </w:p>
    <w:p w:rsidR="00E92F9B" w:rsidRDefault="00B43824">
      <w:pPr>
        <w:spacing w:before="120"/>
        <w:jc w:val="both"/>
        <w:rPr>
          <w:sz w:val="22"/>
          <w:szCs w:val="22"/>
        </w:rPr>
      </w:pPr>
      <w:r w:rsidRPr="008813FB">
        <w:rPr>
          <w:sz w:val="22"/>
          <w:szCs w:val="22"/>
        </w:rPr>
        <w:t>Princíp partnerstva ako jeden zo základných princípov kohéznej a</w:t>
      </w:r>
      <w:r>
        <w:rPr>
          <w:sz w:val="22"/>
          <w:szCs w:val="22"/>
        </w:rPr>
        <w:t> </w:t>
      </w:r>
      <w:r w:rsidRPr="008813FB">
        <w:rPr>
          <w:sz w:val="22"/>
          <w:szCs w:val="22"/>
        </w:rPr>
        <w:t>štrukturálnej politiky EÚ zohráva významnú úlohu, a</w:t>
      </w:r>
      <w:r>
        <w:rPr>
          <w:sz w:val="22"/>
          <w:szCs w:val="22"/>
        </w:rPr>
        <w:t> </w:t>
      </w:r>
      <w:r w:rsidRPr="008813FB">
        <w:rPr>
          <w:sz w:val="22"/>
          <w:szCs w:val="22"/>
        </w:rPr>
        <w:t>to nielen v</w:t>
      </w:r>
      <w:r>
        <w:rPr>
          <w:sz w:val="22"/>
          <w:szCs w:val="22"/>
        </w:rPr>
        <w:t> </w:t>
      </w:r>
      <w:r w:rsidRPr="008813FB">
        <w:rPr>
          <w:sz w:val="22"/>
          <w:szCs w:val="22"/>
        </w:rPr>
        <w:t xml:space="preserve">procese tvorby strategického dokumentu, ale aj </w:t>
      </w:r>
      <w:r>
        <w:rPr>
          <w:sz w:val="22"/>
          <w:szCs w:val="22"/>
        </w:rPr>
        <w:t xml:space="preserve">ďalších nadväzujúcich etapách implementácie programu. </w:t>
      </w:r>
      <w:r w:rsidR="00822DDB" w:rsidRPr="00DC3389">
        <w:rPr>
          <w:sz w:val="22"/>
          <w:szCs w:val="22"/>
        </w:rPr>
        <w:t>V súlade s</w:t>
      </w:r>
      <w:r w:rsidR="00DC3389">
        <w:rPr>
          <w:sz w:val="22"/>
          <w:szCs w:val="22"/>
        </w:rPr>
        <w:t> </w:t>
      </w:r>
      <w:r w:rsidR="00822DDB" w:rsidRPr="00DC3389">
        <w:rPr>
          <w:sz w:val="22"/>
          <w:szCs w:val="22"/>
        </w:rPr>
        <w:t>č</w:t>
      </w:r>
      <w:r w:rsidR="00DC3389">
        <w:rPr>
          <w:sz w:val="22"/>
          <w:szCs w:val="22"/>
        </w:rPr>
        <w:t xml:space="preserve">l. </w:t>
      </w:r>
      <w:r w:rsidR="00822DDB" w:rsidRPr="00DC3389">
        <w:rPr>
          <w:sz w:val="22"/>
          <w:szCs w:val="22"/>
        </w:rPr>
        <w:t>5</w:t>
      </w:r>
      <w:r w:rsidR="00E420C5" w:rsidRPr="00E420C5">
        <w:rPr>
          <w:sz w:val="22"/>
          <w:szCs w:val="22"/>
        </w:rPr>
        <w:t xml:space="preserve"> </w:t>
      </w:r>
      <w:r w:rsidR="00E420C5" w:rsidRPr="002B0858">
        <w:rPr>
          <w:sz w:val="22"/>
          <w:szCs w:val="22"/>
        </w:rPr>
        <w:t>nariadenia Európskeho parlamentu a Rady (EÚ</w:t>
      </w:r>
      <w:r w:rsidR="00E420C5">
        <w:rPr>
          <w:sz w:val="22"/>
          <w:szCs w:val="22"/>
        </w:rPr>
        <w:t>) 1303/2013</w:t>
      </w:r>
      <w:r w:rsidR="00822DDB" w:rsidRPr="00DC3389">
        <w:rPr>
          <w:sz w:val="22"/>
          <w:szCs w:val="22"/>
        </w:rPr>
        <w:t>, delegovaný</w:t>
      </w:r>
      <w:r w:rsidR="00DC3389">
        <w:rPr>
          <w:sz w:val="22"/>
          <w:szCs w:val="22"/>
        </w:rPr>
        <w:t>m aktom EK k </w:t>
      </w:r>
      <w:r w:rsidR="00822DDB" w:rsidRPr="00DC3389">
        <w:rPr>
          <w:sz w:val="22"/>
          <w:szCs w:val="22"/>
        </w:rPr>
        <w:t>Európskemu kó</w:t>
      </w:r>
      <w:r w:rsidR="00DC3389">
        <w:rPr>
          <w:sz w:val="22"/>
          <w:szCs w:val="22"/>
        </w:rPr>
        <w:t>dexu pre </w:t>
      </w:r>
      <w:r w:rsidR="00822DDB" w:rsidRPr="00DC3389">
        <w:rPr>
          <w:sz w:val="22"/>
          <w:szCs w:val="22"/>
        </w:rPr>
        <w:t>partnerstvo a Metodickým usmernením CKO k príprave operačný</w:t>
      </w:r>
      <w:r w:rsidR="00DC3389">
        <w:rPr>
          <w:sz w:val="22"/>
          <w:szCs w:val="22"/>
        </w:rPr>
        <w:t>ch programov/programov na </w:t>
      </w:r>
      <w:r w:rsidR="00822DDB" w:rsidRPr="00DC3389">
        <w:rPr>
          <w:sz w:val="22"/>
          <w:szCs w:val="22"/>
        </w:rPr>
        <w:t>programové obdobie 2014 – 2020 boli v snahe vytvoriť transparentné prostredie pre efektí</w:t>
      </w:r>
      <w:r w:rsidR="00DC3389">
        <w:rPr>
          <w:sz w:val="22"/>
          <w:szCs w:val="22"/>
        </w:rPr>
        <w:t>vne a </w:t>
      </w:r>
      <w:r w:rsidR="00822DDB" w:rsidRPr="00DC3389">
        <w:rPr>
          <w:sz w:val="22"/>
          <w:szCs w:val="22"/>
        </w:rPr>
        <w:t>účinné riadenie prípravy OP</w:t>
      </w:r>
      <w:r w:rsidR="003162B7">
        <w:rPr>
          <w:sz w:val="22"/>
          <w:szCs w:val="22"/>
        </w:rPr>
        <w:t>II do </w:t>
      </w:r>
      <w:r w:rsidR="00DC3389">
        <w:rPr>
          <w:sz w:val="22"/>
          <w:szCs w:val="22"/>
        </w:rPr>
        <w:t xml:space="preserve">procesu jeho </w:t>
      </w:r>
      <w:r w:rsidR="00822DDB" w:rsidRPr="00DC3389">
        <w:rPr>
          <w:sz w:val="22"/>
          <w:szCs w:val="22"/>
        </w:rPr>
        <w:t>prípravy zapojení relevantní partneri</w:t>
      </w:r>
      <w:r w:rsidR="00DC3389">
        <w:rPr>
          <w:sz w:val="22"/>
          <w:szCs w:val="22"/>
        </w:rPr>
        <w:t>.</w:t>
      </w:r>
    </w:p>
    <w:p w:rsidR="00E92F9B" w:rsidRDefault="00D50386">
      <w:pPr>
        <w:spacing w:before="180"/>
        <w:jc w:val="both"/>
        <w:rPr>
          <w:color w:val="000000"/>
          <w:sz w:val="22"/>
          <w:szCs w:val="22"/>
        </w:rPr>
      </w:pPr>
      <w:r w:rsidRPr="00CE3A02">
        <w:rPr>
          <w:color w:val="000000"/>
          <w:sz w:val="22"/>
          <w:szCs w:val="22"/>
        </w:rPr>
        <w:t xml:space="preserve">Rozhodnutím ministra </w:t>
      </w:r>
      <w:r>
        <w:rPr>
          <w:color w:val="000000"/>
          <w:sz w:val="22"/>
          <w:szCs w:val="22"/>
        </w:rPr>
        <w:t>MDVRR SR</w:t>
      </w:r>
      <w:r w:rsidRPr="00CE3A02">
        <w:rPr>
          <w:color w:val="000000"/>
          <w:sz w:val="22"/>
          <w:szCs w:val="22"/>
        </w:rPr>
        <w:t xml:space="preserve"> zo dňa 10.04.2013 bol zriadený „</w:t>
      </w:r>
      <w:r w:rsidRPr="00894893">
        <w:rPr>
          <w:i/>
          <w:color w:val="000000"/>
          <w:sz w:val="22"/>
          <w:szCs w:val="22"/>
        </w:rPr>
        <w:t>Riadiaci výbor pre prípravu Operačného programu Integrovaná infraštruktúra v programovom období 2014 – 2020</w:t>
      </w:r>
      <w:r w:rsidRPr="00CE3A02">
        <w:rPr>
          <w:color w:val="000000"/>
          <w:sz w:val="22"/>
          <w:szCs w:val="22"/>
        </w:rPr>
        <w:t>“.</w:t>
      </w:r>
      <w:r>
        <w:rPr>
          <w:color w:val="000000"/>
          <w:sz w:val="22"/>
          <w:szCs w:val="22"/>
        </w:rPr>
        <w:t xml:space="preserve"> </w:t>
      </w:r>
      <w:r w:rsidRPr="00CE3A02">
        <w:rPr>
          <w:color w:val="000000"/>
          <w:sz w:val="22"/>
          <w:szCs w:val="22"/>
        </w:rPr>
        <w:t xml:space="preserve">Riadiaci výbor bol zriadený </w:t>
      </w:r>
      <w:r>
        <w:rPr>
          <w:color w:val="000000"/>
          <w:sz w:val="22"/>
          <w:szCs w:val="22"/>
        </w:rPr>
        <w:t>s cieľom zabezpečiť prípravu</w:t>
      </w:r>
      <w:r w:rsidRPr="00CE3A02">
        <w:rPr>
          <w:color w:val="000000"/>
          <w:sz w:val="22"/>
          <w:szCs w:val="22"/>
        </w:rPr>
        <w:t xml:space="preserve"> na čer</w:t>
      </w:r>
      <w:r>
        <w:rPr>
          <w:color w:val="000000"/>
          <w:sz w:val="22"/>
          <w:szCs w:val="22"/>
        </w:rPr>
        <w:t>panie finančných prostriedkov z </w:t>
      </w:r>
      <w:r w:rsidRPr="00CE3A02">
        <w:rPr>
          <w:color w:val="000000"/>
          <w:sz w:val="22"/>
          <w:szCs w:val="22"/>
        </w:rPr>
        <w:t xml:space="preserve">fondov </w:t>
      </w:r>
      <w:r>
        <w:rPr>
          <w:color w:val="000000"/>
          <w:sz w:val="22"/>
          <w:szCs w:val="22"/>
        </w:rPr>
        <w:t>EÚ v </w:t>
      </w:r>
      <w:r w:rsidRPr="00CE3A02">
        <w:rPr>
          <w:color w:val="000000"/>
          <w:sz w:val="22"/>
          <w:szCs w:val="22"/>
        </w:rPr>
        <w:t xml:space="preserve">programovom období 2014 – 2020 za oblasť dopravy a informatizácie spoločnosti. Pod pojmom príprava sa rozumie vypracovanie </w:t>
      </w:r>
      <w:r>
        <w:rPr>
          <w:color w:val="000000"/>
          <w:sz w:val="22"/>
          <w:szCs w:val="22"/>
        </w:rPr>
        <w:t>OPII. Zloženie pracovnej skupiny je uvedené v kapitole 13.3.</w:t>
      </w:r>
    </w:p>
    <w:p w:rsidR="00D50386" w:rsidRPr="00F94B5B" w:rsidRDefault="00D50386" w:rsidP="00D50386">
      <w:pPr>
        <w:spacing w:before="180"/>
        <w:jc w:val="both"/>
        <w:rPr>
          <w:sz w:val="22"/>
          <w:szCs w:val="22"/>
        </w:rPr>
      </w:pPr>
      <w:r w:rsidRPr="00F94B5B">
        <w:rPr>
          <w:sz w:val="22"/>
          <w:szCs w:val="22"/>
        </w:rPr>
        <w:t>V</w:t>
      </w:r>
      <w:r>
        <w:rPr>
          <w:sz w:val="22"/>
          <w:szCs w:val="22"/>
        </w:rPr>
        <w:t> </w:t>
      </w:r>
      <w:r w:rsidRPr="00F94B5B">
        <w:rPr>
          <w:sz w:val="22"/>
          <w:szCs w:val="22"/>
        </w:rPr>
        <w:t>súlade s</w:t>
      </w:r>
      <w:r>
        <w:rPr>
          <w:sz w:val="22"/>
          <w:szCs w:val="22"/>
        </w:rPr>
        <w:t> </w:t>
      </w:r>
      <w:r w:rsidRPr="00F94B5B">
        <w:rPr>
          <w:sz w:val="22"/>
          <w:szCs w:val="22"/>
        </w:rPr>
        <w:t xml:space="preserve">čl. 5 </w:t>
      </w:r>
      <w:r w:rsidRPr="002B0858">
        <w:rPr>
          <w:sz w:val="22"/>
          <w:szCs w:val="22"/>
        </w:rPr>
        <w:t>nariadenia Európskeho parlamentu a Rady (EÚ</w:t>
      </w:r>
      <w:r>
        <w:rPr>
          <w:sz w:val="22"/>
          <w:szCs w:val="22"/>
        </w:rPr>
        <w:t xml:space="preserve">) 1303/2013 </w:t>
      </w:r>
      <w:r w:rsidRPr="00F94B5B">
        <w:rPr>
          <w:sz w:val="22"/>
          <w:szCs w:val="22"/>
        </w:rPr>
        <w:t xml:space="preserve">bude RO </w:t>
      </w:r>
      <w:r>
        <w:rPr>
          <w:sz w:val="22"/>
          <w:szCs w:val="22"/>
        </w:rPr>
        <w:t xml:space="preserve">OPII </w:t>
      </w:r>
      <w:r w:rsidRPr="00F94B5B">
        <w:rPr>
          <w:sz w:val="22"/>
          <w:szCs w:val="22"/>
        </w:rPr>
        <w:t>pokračovať v</w:t>
      </w:r>
      <w:r>
        <w:rPr>
          <w:sz w:val="22"/>
          <w:szCs w:val="22"/>
        </w:rPr>
        <w:t> </w:t>
      </w:r>
      <w:r w:rsidRPr="00F94B5B">
        <w:rPr>
          <w:sz w:val="22"/>
          <w:szCs w:val="22"/>
        </w:rPr>
        <w:t>uplat</w:t>
      </w:r>
      <w:r>
        <w:rPr>
          <w:sz w:val="22"/>
          <w:szCs w:val="22"/>
        </w:rPr>
        <w:t>ňovaní princípu partnerstva aj pri </w:t>
      </w:r>
      <w:r w:rsidRPr="00F94B5B">
        <w:rPr>
          <w:sz w:val="22"/>
          <w:szCs w:val="22"/>
        </w:rPr>
        <w:t>samotnej implementácii, monitorovaní a</w:t>
      </w:r>
      <w:r>
        <w:rPr>
          <w:sz w:val="22"/>
          <w:szCs w:val="22"/>
        </w:rPr>
        <w:t> </w:t>
      </w:r>
      <w:r w:rsidRPr="00F94B5B">
        <w:rPr>
          <w:sz w:val="22"/>
          <w:szCs w:val="22"/>
        </w:rPr>
        <w:t xml:space="preserve">hodnotení programu. </w:t>
      </w:r>
      <w:r>
        <w:rPr>
          <w:sz w:val="22"/>
          <w:szCs w:val="22"/>
        </w:rPr>
        <w:t>V </w:t>
      </w:r>
      <w:r w:rsidRPr="00F94B5B">
        <w:rPr>
          <w:sz w:val="22"/>
          <w:szCs w:val="22"/>
        </w:rPr>
        <w:t>súlade s</w:t>
      </w:r>
      <w:r>
        <w:rPr>
          <w:sz w:val="22"/>
          <w:szCs w:val="22"/>
        </w:rPr>
        <w:t xml:space="preserve"> čl. 47 </w:t>
      </w:r>
      <w:r w:rsidRPr="002B0858">
        <w:rPr>
          <w:sz w:val="22"/>
          <w:szCs w:val="22"/>
        </w:rPr>
        <w:t>nariadenia Európskeho parlamentu a Rady (EÚ</w:t>
      </w:r>
      <w:r>
        <w:rPr>
          <w:sz w:val="22"/>
          <w:szCs w:val="22"/>
        </w:rPr>
        <w:t xml:space="preserve">) 1303/2013 </w:t>
      </w:r>
      <w:r w:rsidRPr="00894893">
        <w:rPr>
          <w:b/>
          <w:sz w:val="22"/>
          <w:szCs w:val="22"/>
        </w:rPr>
        <w:t>RO OPII</w:t>
      </w:r>
      <w:r w:rsidRPr="00A64646">
        <w:rPr>
          <w:b/>
          <w:sz w:val="22"/>
          <w:szCs w:val="22"/>
        </w:rPr>
        <w:t xml:space="preserve"> zriadi monitorovací výbor </w:t>
      </w:r>
      <w:r>
        <w:rPr>
          <w:b/>
          <w:sz w:val="22"/>
          <w:szCs w:val="22"/>
        </w:rPr>
        <w:t xml:space="preserve">pre OPII, a to </w:t>
      </w:r>
      <w:r w:rsidRPr="00A64646">
        <w:rPr>
          <w:b/>
          <w:sz w:val="22"/>
          <w:szCs w:val="22"/>
        </w:rPr>
        <w:t>najneskôr do 3 mesiacov odo dňa oznámenia rozhodnutia EK o schválení operačného programu</w:t>
      </w:r>
      <w:r w:rsidRPr="00F94B5B">
        <w:rPr>
          <w:sz w:val="22"/>
          <w:szCs w:val="22"/>
        </w:rPr>
        <w:t xml:space="preserve">. </w:t>
      </w:r>
      <w:r w:rsidRPr="00AB5D98">
        <w:rPr>
          <w:sz w:val="22"/>
          <w:szCs w:val="22"/>
        </w:rPr>
        <w:t>Monitorovací výbor bude poskytovať hlavnú platformu pre monitorovanie a hodnotenie dosiahnutého pokroku</w:t>
      </w:r>
      <w:r>
        <w:rPr>
          <w:sz w:val="22"/>
          <w:szCs w:val="22"/>
        </w:rPr>
        <w:t xml:space="preserve"> pri</w:t>
      </w:r>
      <w:r w:rsidRPr="00AB5D98">
        <w:rPr>
          <w:sz w:val="22"/>
          <w:szCs w:val="22"/>
        </w:rPr>
        <w:t> implementácii OPII.</w:t>
      </w:r>
      <w:r>
        <w:rPr>
          <w:sz w:val="22"/>
          <w:szCs w:val="22"/>
        </w:rPr>
        <w:t xml:space="preserve"> Úlohou partnerov bude dohliadať na efektívnosť implem</w:t>
      </w:r>
      <w:r w:rsidR="009011DB">
        <w:rPr>
          <w:sz w:val="22"/>
          <w:szCs w:val="22"/>
        </w:rPr>
        <w:t>entácie a v prípade potreby navrhnúť zmeny vo zvolenej stratégii</w:t>
      </w:r>
      <w:r>
        <w:rPr>
          <w:sz w:val="22"/>
          <w:szCs w:val="22"/>
        </w:rPr>
        <w:t>.</w:t>
      </w:r>
    </w:p>
    <w:p w:rsidR="00D50386" w:rsidRPr="00F94B5B" w:rsidRDefault="00D50386" w:rsidP="00D50386">
      <w:pPr>
        <w:spacing w:before="180"/>
        <w:jc w:val="both"/>
        <w:rPr>
          <w:sz w:val="22"/>
          <w:szCs w:val="22"/>
        </w:rPr>
      </w:pPr>
      <w:r w:rsidRPr="00F94B5B">
        <w:rPr>
          <w:sz w:val="22"/>
          <w:szCs w:val="22"/>
        </w:rPr>
        <w:t>Zloženie partnerov zastúpených v</w:t>
      </w:r>
      <w:r>
        <w:rPr>
          <w:sz w:val="22"/>
          <w:szCs w:val="22"/>
        </w:rPr>
        <w:t> </w:t>
      </w:r>
      <w:r w:rsidRPr="00F94B5B">
        <w:rPr>
          <w:sz w:val="22"/>
          <w:szCs w:val="22"/>
        </w:rPr>
        <w:t>monitorovacom výbore bude odzrkadľova</w:t>
      </w:r>
      <w:r>
        <w:rPr>
          <w:sz w:val="22"/>
          <w:szCs w:val="22"/>
        </w:rPr>
        <w:t>ť charakter operačného programu. Č</w:t>
      </w:r>
      <w:r w:rsidRPr="00F94B5B">
        <w:rPr>
          <w:sz w:val="22"/>
          <w:szCs w:val="22"/>
        </w:rPr>
        <w:t xml:space="preserve">lenmi výboru budú </w:t>
      </w:r>
      <w:r>
        <w:rPr>
          <w:sz w:val="22"/>
          <w:szCs w:val="22"/>
        </w:rPr>
        <w:t>zástupcovia</w:t>
      </w:r>
      <w:r w:rsidRPr="00F94B5B">
        <w:rPr>
          <w:sz w:val="22"/>
          <w:szCs w:val="22"/>
        </w:rPr>
        <w:t xml:space="preserve"> </w:t>
      </w:r>
      <w:r>
        <w:rPr>
          <w:sz w:val="22"/>
          <w:szCs w:val="22"/>
        </w:rPr>
        <w:t xml:space="preserve">RO, SORO, CKO, CO, OA, </w:t>
      </w:r>
      <w:r w:rsidRPr="00F94B5B">
        <w:rPr>
          <w:sz w:val="22"/>
          <w:szCs w:val="22"/>
        </w:rPr>
        <w:t xml:space="preserve">zástupcovia relevantných </w:t>
      </w:r>
      <w:r>
        <w:rPr>
          <w:sz w:val="22"/>
          <w:szCs w:val="22"/>
        </w:rPr>
        <w:t xml:space="preserve">socioekonomických </w:t>
      </w:r>
      <w:r w:rsidRPr="00F94B5B">
        <w:rPr>
          <w:sz w:val="22"/>
          <w:szCs w:val="22"/>
        </w:rPr>
        <w:t>partnerov, regionálnej a</w:t>
      </w:r>
      <w:r>
        <w:rPr>
          <w:sz w:val="22"/>
          <w:szCs w:val="22"/>
        </w:rPr>
        <w:t> </w:t>
      </w:r>
      <w:r w:rsidRPr="00F94B5B">
        <w:rPr>
          <w:sz w:val="22"/>
          <w:szCs w:val="22"/>
        </w:rPr>
        <w:t>miestnej samosprávy, príslušn</w:t>
      </w:r>
      <w:r>
        <w:rPr>
          <w:sz w:val="22"/>
          <w:szCs w:val="22"/>
        </w:rPr>
        <w:t xml:space="preserve">ých orgánov </w:t>
      </w:r>
      <w:r w:rsidRPr="00F94B5B">
        <w:rPr>
          <w:sz w:val="22"/>
          <w:szCs w:val="22"/>
        </w:rPr>
        <w:t>ústrednej štátnej správy, hospodársk</w:t>
      </w:r>
      <w:r>
        <w:rPr>
          <w:sz w:val="22"/>
          <w:szCs w:val="22"/>
        </w:rPr>
        <w:t>i</w:t>
      </w:r>
      <w:r w:rsidRPr="00F94B5B">
        <w:rPr>
          <w:sz w:val="22"/>
          <w:szCs w:val="22"/>
        </w:rPr>
        <w:t xml:space="preserve"> a</w:t>
      </w:r>
      <w:r>
        <w:rPr>
          <w:sz w:val="22"/>
          <w:szCs w:val="22"/>
        </w:rPr>
        <w:t> </w:t>
      </w:r>
      <w:r w:rsidRPr="00F94B5B">
        <w:rPr>
          <w:sz w:val="22"/>
          <w:szCs w:val="22"/>
        </w:rPr>
        <w:t>sociáln</w:t>
      </w:r>
      <w:r>
        <w:rPr>
          <w:sz w:val="22"/>
          <w:szCs w:val="22"/>
        </w:rPr>
        <w:t>i</w:t>
      </w:r>
      <w:r w:rsidRPr="00F94B5B">
        <w:rPr>
          <w:sz w:val="22"/>
          <w:szCs w:val="22"/>
        </w:rPr>
        <w:t xml:space="preserve"> partneri, ako aj zást</w:t>
      </w:r>
      <w:r>
        <w:rPr>
          <w:sz w:val="22"/>
          <w:szCs w:val="22"/>
        </w:rPr>
        <w:t>upcovia mimovládnych organizácií</w:t>
      </w:r>
      <w:r w:rsidRPr="00F94B5B">
        <w:rPr>
          <w:sz w:val="22"/>
          <w:szCs w:val="22"/>
        </w:rPr>
        <w:t xml:space="preserve"> vrátane subjektov zodpovedných za</w:t>
      </w:r>
      <w:r w:rsidR="009011DB">
        <w:rPr>
          <w:sz w:val="22"/>
          <w:szCs w:val="22"/>
        </w:rPr>
        <w:t xml:space="preserve"> uplatňovanie horizontálnych princípov (udržateľný rozvoj, rovnosť príležitostí a nediskriminácia, rovnosť medzi mužmi a ženami)</w:t>
      </w:r>
      <w:r w:rsidRPr="00F94B5B">
        <w:rPr>
          <w:sz w:val="22"/>
          <w:szCs w:val="22"/>
        </w:rPr>
        <w:t>.</w:t>
      </w:r>
      <w:r>
        <w:rPr>
          <w:sz w:val="22"/>
          <w:szCs w:val="22"/>
        </w:rPr>
        <w:t xml:space="preserve"> Funkcia pozorovateľov bude patriť EK a </w:t>
      </w:r>
      <w:r w:rsidRPr="00F94B5B">
        <w:rPr>
          <w:sz w:val="22"/>
          <w:szCs w:val="22"/>
        </w:rPr>
        <w:t>JASPERS</w:t>
      </w:r>
      <w:r>
        <w:rPr>
          <w:sz w:val="22"/>
          <w:szCs w:val="22"/>
        </w:rPr>
        <w:t>.</w:t>
      </w:r>
    </w:p>
    <w:p w:rsidR="00E92F9B" w:rsidRDefault="001218A8">
      <w:pPr>
        <w:spacing w:before="120"/>
        <w:jc w:val="both"/>
        <w:rPr>
          <w:sz w:val="22"/>
          <w:szCs w:val="22"/>
        </w:rPr>
      </w:pPr>
      <w:r w:rsidRPr="001218A8">
        <w:rPr>
          <w:sz w:val="22"/>
          <w:szCs w:val="22"/>
          <w:u w:val="single"/>
        </w:rPr>
        <w:lastRenderedPageBreak/>
        <w:t>Doprava</w:t>
      </w:r>
    </w:p>
    <w:p w:rsidR="00E92F9B" w:rsidRDefault="00DC3389">
      <w:pPr>
        <w:jc w:val="both"/>
        <w:rPr>
          <w:sz w:val="22"/>
          <w:szCs w:val="22"/>
        </w:rPr>
      </w:pPr>
      <w:r>
        <w:rPr>
          <w:sz w:val="22"/>
          <w:szCs w:val="22"/>
        </w:rPr>
        <w:t>S cieľom</w:t>
      </w:r>
      <w:r w:rsidR="00D50386" w:rsidRPr="00D50386">
        <w:rPr>
          <w:sz w:val="22"/>
          <w:szCs w:val="22"/>
        </w:rPr>
        <w:t xml:space="preserve"> </w:t>
      </w:r>
      <w:r w:rsidR="00D50386" w:rsidRPr="00DC3389">
        <w:rPr>
          <w:sz w:val="22"/>
          <w:szCs w:val="22"/>
        </w:rPr>
        <w:t>vytvoriť transparentné prostredie pre efektí</w:t>
      </w:r>
      <w:r w:rsidR="00D50386">
        <w:rPr>
          <w:sz w:val="22"/>
          <w:szCs w:val="22"/>
        </w:rPr>
        <w:t>vne a </w:t>
      </w:r>
      <w:r w:rsidR="00D50386" w:rsidRPr="00DC3389">
        <w:rPr>
          <w:sz w:val="22"/>
          <w:szCs w:val="22"/>
        </w:rPr>
        <w:t>účinné riadenie prípravy OP</w:t>
      </w:r>
      <w:r w:rsidR="00D50386">
        <w:rPr>
          <w:sz w:val="22"/>
          <w:szCs w:val="22"/>
        </w:rPr>
        <w:t xml:space="preserve">II a zapojiť do procesu jeho </w:t>
      </w:r>
      <w:r w:rsidR="00D50386" w:rsidRPr="00DC3389">
        <w:rPr>
          <w:sz w:val="22"/>
          <w:szCs w:val="22"/>
        </w:rPr>
        <w:t xml:space="preserve">prípravy </w:t>
      </w:r>
      <w:r w:rsidR="00D50386">
        <w:rPr>
          <w:sz w:val="22"/>
          <w:szCs w:val="22"/>
        </w:rPr>
        <w:t>relevantných</w:t>
      </w:r>
      <w:r w:rsidR="00D50386" w:rsidRPr="00DC3389">
        <w:rPr>
          <w:sz w:val="22"/>
          <w:szCs w:val="22"/>
        </w:rPr>
        <w:t xml:space="preserve"> partner</w:t>
      </w:r>
      <w:r w:rsidR="00D50386">
        <w:rPr>
          <w:sz w:val="22"/>
          <w:szCs w:val="22"/>
        </w:rPr>
        <w:t>ov</w:t>
      </w:r>
      <w:r w:rsidRPr="00DC3389">
        <w:rPr>
          <w:sz w:val="22"/>
          <w:szCs w:val="22"/>
        </w:rPr>
        <w:t xml:space="preserve"> bola rozhodnutím ministra </w:t>
      </w:r>
      <w:r>
        <w:rPr>
          <w:sz w:val="22"/>
          <w:szCs w:val="22"/>
        </w:rPr>
        <w:t>MDVRR</w:t>
      </w:r>
      <w:r w:rsidRPr="00DC3389">
        <w:rPr>
          <w:sz w:val="22"/>
          <w:szCs w:val="22"/>
        </w:rPr>
        <w:t xml:space="preserve"> SR zo dňa </w:t>
      </w:r>
      <w:r>
        <w:rPr>
          <w:sz w:val="22"/>
          <w:szCs w:val="22"/>
        </w:rPr>
        <w:t>1</w:t>
      </w:r>
      <w:r w:rsidRPr="00DC3389">
        <w:rPr>
          <w:sz w:val="22"/>
          <w:szCs w:val="22"/>
        </w:rPr>
        <w:t>4.</w:t>
      </w:r>
      <w:r>
        <w:rPr>
          <w:sz w:val="22"/>
          <w:szCs w:val="22"/>
        </w:rPr>
        <w:t>08.</w:t>
      </w:r>
      <w:r w:rsidRPr="00DC3389">
        <w:rPr>
          <w:sz w:val="22"/>
          <w:szCs w:val="22"/>
        </w:rPr>
        <w:t>201</w:t>
      </w:r>
      <w:r>
        <w:rPr>
          <w:sz w:val="22"/>
          <w:szCs w:val="22"/>
        </w:rPr>
        <w:t>2</w:t>
      </w:r>
      <w:r w:rsidRPr="00DC3389">
        <w:rPr>
          <w:sz w:val="22"/>
          <w:szCs w:val="22"/>
        </w:rPr>
        <w:t xml:space="preserve"> zriadená </w:t>
      </w:r>
      <w:r w:rsidRPr="00CE3A02">
        <w:rPr>
          <w:i/>
          <w:color w:val="000000"/>
          <w:sz w:val="22"/>
          <w:szCs w:val="22"/>
        </w:rPr>
        <w:t>Pracovn</w:t>
      </w:r>
      <w:r>
        <w:rPr>
          <w:i/>
          <w:color w:val="000000"/>
          <w:sz w:val="22"/>
          <w:szCs w:val="22"/>
        </w:rPr>
        <w:t>á</w:t>
      </w:r>
      <w:r w:rsidRPr="00CE3A02">
        <w:rPr>
          <w:i/>
          <w:color w:val="000000"/>
          <w:sz w:val="22"/>
          <w:szCs w:val="22"/>
        </w:rPr>
        <w:t xml:space="preserve"> skupi</w:t>
      </w:r>
      <w:r w:rsidRPr="008F6241">
        <w:rPr>
          <w:i/>
          <w:sz w:val="22"/>
          <w:szCs w:val="22"/>
        </w:rPr>
        <w:t>na</w:t>
      </w:r>
      <w:r w:rsidRPr="00CE3A02">
        <w:rPr>
          <w:i/>
          <w:color w:val="000000"/>
          <w:sz w:val="22"/>
          <w:szCs w:val="22"/>
        </w:rPr>
        <w:t xml:space="preserve"> pre </w:t>
      </w:r>
      <w:r>
        <w:rPr>
          <w:i/>
          <w:color w:val="000000"/>
          <w:sz w:val="22"/>
          <w:szCs w:val="22"/>
        </w:rPr>
        <w:t>programovanie v sektore dopravy</w:t>
      </w:r>
      <w:r w:rsidRPr="00CE3A02">
        <w:rPr>
          <w:i/>
          <w:color w:val="000000"/>
          <w:sz w:val="22"/>
          <w:szCs w:val="22"/>
        </w:rPr>
        <w:t xml:space="preserve"> </w:t>
      </w:r>
      <w:r>
        <w:rPr>
          <w:i/>
          <w:color w:val="000000"/>
          <w:sz w:val="22"/>
          <w:szCs w:val="22"/>
        </w:rPr>
        <w:t>v </w:t>
      </w:r>
      <w:r w:rsidRPr="00CE3A02">
        <w:rPr>
          <w:i/>
          <w:color w:val="000000"/>
          <w:sz w:val="22"/>
          <w:szCs w:val="22"/>
        </w:rPr>
        <w:t>progra</w:t>
      </w:r>
      <w:r>
        <w:rPr>
          <w:i/>
          <w:color w:val="000000"/>
          <w:sz w:val="22"/>
          <w:szCs w:val="22"/>
        </w:rPr>
        <w:t xml:space="preserve">movom období </w:t>
      </w:r>
      <w:r w:rsidRPr="00CE3A02">
        <w:rPr>
          <w:i/>
          <w:color w:val="000000"/>
          <w:sz w:val="22"/>
          <w:szCs w:val="22"/>
        </w:rPr>
        <w:t>2014 – 2020</w:t>
      </w:r>
      <w:r w:rsidRPr="00CE3A02">
        <w:rPr>
          <w:color w:val="000000"/>
          <w:sz w:val="22"/>
          <w:szCs w:val="22"/>
        </w:rPr>
        <w:t>“</w:t>
      </w:r>
      <w:r>
        <w:rPr>
          <w:color w:val="000000"/>
          <w:sz w:val="22"/>
          <w:szCs w:val="22"/>
        </w:rPr>
        <w:t xml:space="preserve">. </w:t>
      </w:r>
      <w:r w:rsidRPr="00DC3389">
        <w:rPr>
          <w:sz w:val="22"/>
          <w:szCs w:val="22"/>
        </w:rPr>
        <w:t>Členmi pracovnej skupiny boli zástupcovia územnej samosprávy, relevantných ministerstiev a ostatných orgánov verejnej sprá</w:t>
      </w:r>
      <w:r>
        <w:rPr>
          <w:sz w:val="22"/>
          <w:szCs w:val="22"/>
        </w:rPr>
        <w:t xml:space="preserve">vy </w:t>
      </w:r>
      <w:r w:rsidRPr="00DC3389">
        <w:rPr>
          <w:sz w:val="22"/>
          <w:szCs w:val="22"/>
        </w:rPr>
        <w:t>a sociálnoekonomických partnerov, vrátane subjektov akademickej sféry („široké partnerstvo“).</w:t>
      </w:r>
    </w:p>
    <w:p w:rsidR="00DC3389" w:rsidRPr="00CE3A02" w:rsidRDefault="00DC3389" w:rsidP="00DC3389">
      <w:pPr>
        <w:spacing w:before="180" w:after="120"/>
        <w:jc w:val="both"/>
        <w:rPr>
          <w:color w:val="000000"/>
          <w:sz w:val="22"/>
          <w:szCs w:val="22"/>
        </w:rPr>
      </w:pPr>
      <w:r w:rsidRPr="00CE3A02">
        <w:rPr>
          <w:color w:val="000000"/>
          <w:sz w:val="22"/>
          <w:szCs w:val="22"/>
        </w:rPr>
        <w:t xml:space="preserve">Úlohou pracovnej skupiny </w:t>
      </w:r>
      <w:r>
        <w:rPr>
          <w:color w:val="000000"/>
          <w:sz w:val="22"/>
          <w:szCs w:val="22"/>
        </w:rPr>
        <w:t>bolo</w:t>
      </w:r>
      <w:r w:rsidRPr="00CE3A02">
        <w:rPr>
          <w:color w:val="000000"/>
          <w:sz w:val="22"/>
          <w:szCs w:val="22"/>
        </w:rPr>
        <w:t> spolupracovať s</w:t>
      </w:r>
      <w:r>
        <w:rPr>
          <w:color w:val="000000"/>
          <w:sz w:val="22"/>
          <w:szCs w:val="22"/>
        </w:rPr>
        <w:t> MDVRR SR</w:t>
      </w:r>
      <w:r w:rsidRPr="00CE3A02">
        <w:rPr>
          <w:color w:val="000000"/>
          <w:sz w:val="22"/>
          <w:szCs w:val="22"/>
        </w:rPr>
        <w:t xml:space="preserve"> pri príprave strategických dokumentov, nevyhnutn</w:t>
      </w:r>
      <w:r>
        <w:rPr>
          <w:color w:val="000000"/>
          <w:sz w:val="22"/>
          <w:szCs w:val="22"/>
        </w:rPr>
        <w:t>ých</w:t>
      </w:r>
      <w:r w:rsidRPr="00CE3A02">
        <w:rPr>
          <w:color w:val="000000"/>
          <w:sz w:val="22"/>
          <w:szCs w:val="22"/>
        </w:rPr>
        <w:t xml:space="preserve"> pre prístup k fondom EÚ</w:t>
      </w:r>
      <w:r>
        <w:rPr>
          <w:color w:val="000000"/>
          <w:sz w:val="22"/>
          <w:szCs w:val="22"/>
        </w:rPr>
        <w:t xml:space="preserve"> v oblasti dopravy v programovom období 2014 – 2020. Ide </w:t>
      </w:r>
      <w:r w:rsidRPr="00CE3A02">
        <w:rPr>
          <w:color w:val="000000"/>
          <w:sz w:val="22"/>
          <w:szCs w:val="22"/>
        </w:rPr>
        <w:t>predovšetkým</w:t>
      </w:r>
      <w:r>
        <w:rPr>
          <w:color w:val="000000"/>
          <w:sz w:val="22"/>
          <w:szCs w:val="22"/>
        </w:rPr>
        <w:t xml:space="preserve"> o tieto dokumenty</w:t>
      </w:r>
      <w:r w:rsidRPr="00CE3A02">
        <w:rPr>
          <w:color w:val="000000"/>
          <w:sz w:val="22"/>
          <w:szCs w:val="22"/>
        </w:rPr>
        <w:t>:</w:t>
      </w:r>
    </w:p>
    <w:p w:rsidR="00DC3389" w:rsidRPr="00CE3A02" w:rsidRDefault="00DC3389" w:rsidP="00FE6025">
      <w:pPr>
        <w:numPr>
          <w:ilvl w:val="0"/>
          <w:numId w:val="57"/>
        </w:numPr>
        <w:jc w:val="both"/>
        <w:rPr>
          <w:color w:val="000000"/>
          <w:sz w:val="22"/>
          <w:szCs w:val="22"/>
        </w:rPr>
      </w:pPr>
      <w:r w:rsidRPr="00CE3A02">
        <w:rPr>
          <w:color w:val="000000"/>
          <w:sz w:val="22"/>
          <w:szCs w:val="22"/>
        </w:rPr>
        <w:t>Strategický plán rozvoja dopravnej infraštruktúry SR do roku 2020,</w:t>
      </w:r>
    </w:p>
    <w:p w:rsidR="00DC3389" w:rsidRPr="008F6241" w:rsidRDefault="00DC3389" w:rsidP="00FE6025">
      <w:pPr>
        <w:numPr>
          <w:ilvl w:val="0"/>
          <w:numId w:val="57"/>
        </w:numPr>
        <w:jc w:val="both"/>
        <w:rPr>
          <w:sz w:val="22"/>
          <w:szCs w:val="22"/>
        </w:rPr>
      </w:pPr>
      <w:r w:rsidRPr="008F6241">
        <w:rPr>
          <w:sz w:val="22"/>
          <w:szCs w:val="22"/>
        </w:rPr>
        <w:t>Operačný program Integrovaná infraštruktúra 2014 – 2020</w:t>
      </w:r>
      <w:r>
        <w:rPr>
          <w:sz w:val="22"/>
          <w:szCs w:val="22"/>
        </w:rPr>
        <w:t xml:space="preserve"> (časť Doprava),</w:t>
      </w:r>
    </w:p>
    <w:p w:rsidR="00DC3389" w:rsidRPr="00CE3A02" w:rsidRDefault="00DC3389" w:rsidP="00FE6025">
      <w:pPr>
        <w:numPr>
          <w:ilvl w:val="0"/>
          <w:numId w:val="57"/>
        </w:numPr>
        <w:jc w:val="both"/>
        <w:rPr>
          <w:color w:val="000000"/>
          <w:sz w:val="22"/>
          <w:szCs w:val="22"/>
        </w:rPr>
      </w:pPr>
      <w:r>
        <w:rPr>
          <w:color w:val="000000"/>
          <w:sz w:val="22"/>
          <w:szCs w:val="22"/>
        </w:rPr>
        <w:t>Stratégia</w:t>
      </w:r>
      <w:r w:rsidRPr="00CE3A02">
        <w:rPr>
          <w:color w:val="000000"/>
          <w:sz w:val="22"/>
          <w:szCs w:val="22"/>
        </w:rPr>
        <w:t xml:space="preserve"> rozvoja verejnej osobnej </w:t>
      </w:r>
      <w:r>
        <w:rPr>
          <w:color w:val="000000"/>
          <w:sz w:val="22"/>
          <w:szCs w:val="22"/>
        </w:rPr>
        <w:t>a </w:t>
      </w:r>
      <w:r w:rsidRPr="0044578F">
        <w:rPr>
          <w:sz w:val="22"/>
          <w:szCs w:val="22"/>
        </w:rPr>
        <w:t>nemotorovej</w:t>
      </w:r>
      <w:r>
        <w:rPr>
          <w:color w:val="000000"/>
          <w:sz w:val="22"/>
          <w:szCs w:val="22"/>
        </w:rPr>
        <w:t xml:space="preserve"> </w:t>
      </w:r>
      <w:r w:rsidRPr="00CE3A02">
        <w:rPr>
          <w:color w:val="000000"/>
          <w:sz w:val="22"/>
          <w:szCs w:val="22"/>
        </w:rPr>
        <w:t>dopravy</w:t>
      </w:r>
      <w:r>
        <w:rPr>
          <w:color w:val="000000"/>
          <w:sz w:val="22"/>
          <w:szCs w:val="22"/>
        </w:rPr>
        <w:t xml:space="preserve"> </w:t>
      </w:r>
      <w:r w:rsidRPr="00A348ED">
        <w:rPr>
          <w:sz w:val="22"/>
          <w:szCs w:val="22"/>
        </w:rPr>
        <w:t>SR do roku 2020</w:t>
      </w:r>
      <w:r>
        <w:rPr>
          <w:color w:val="000000"/>
          <w:sz w:val="22"/>
          <w:szCs w:val="22"/>
        </w:rPr>
        <w:t>,</w:t>
      </w:r>
    </w:p>
    <w:p w:rsidR="00DC3389" w:rsidRPr="00CE3A02" w:rsidRDefault="00DC3389" w:rsidP="00FE6025">
      <w:pPr>
        <w:numPr>
          <w:ilvl w:val="0"/>
          <w:numId w:val="57"/>
        </w:numPr>
        <w:jc w:val="both"/>
        <w:rPr>
          <w:color w:val="000000"/>
          <w:sz w:val="22"/>
          <w:szCs w:val="22"/>
        </w:rPr>
      </w:pPr>
      <w:r w:rsidRPr="00CE3A02">
        <w:rPr>
          <w:color w:val="000000"/>
          <w:sz w:val="22"/>
          <w:szCs w:val="22"/>
        </w:rPr>
        <w:t xml:space="preserve">Strategický plán rozvoja a údržby ciest </w:t>
      </w:r>
      <w:r>
        <w:rPr>
          <w:color w:val="000000"/>
          <w:sz w:val="22"/>
          <w:szCs w:val="22"/>
        </w:rPr>
        <w:t>II. a III. triedy</w:t>
      </w:r>
      <w:r w:rsidRPr="00CE3A02">
        <w:rPr>
          <w:color w:val="000000"/>
          <w:sz w:val="22"/>
          <w:szCs w:val="22"/>
        </w:rPr>
        <w:t xml:space="preserve"> (Cestný regionálny Master Plán),</w:t>
      </w:r>
    </w:p>
    <w:p w:rsidR="00DC3389" w:rsidRDefault="00DC3389" w:rsidP="00FE6025">
      <w:pPr>
        <w:numPr>
          <w:ilvl w:val="0"/>
          <w:numId w:val="57"/>
        </w:numPr>
        <w:jc w:val="both"/>
        <w:rPr>
          <w:color w:val="000000"/>
          <w:sz w:val="22"/>
          <w:szCs w:val="22"/>
        </w:rPr>
      </w:pPr>
      <w:r w:rsidRPr="00CE3A02">
        <w:rPr>
          <w:color w:val="000000"/>
          <w:sz w:val="22"/>
          <w:szCs w:val="22"/>
        </w:rPr>
        <w:t>Dopravný model SR.</w:t>
      </w:r>
    </w:p>
    <w:p w:rsidR="00E92F9B" w:rsidRDefault="00E92F9B">
      <w:pPr>
        <w:jc w:val="both"/>
        <w:rPr>
          <w:color w:val="000000"/>
          <w:sz w:val="22"/>
          <w:szCs w:val="22"/>
          <w:u w:val="single"/>
        </w:rPr>
      </w:pPr>
    </w:p>
    <w:p w:rsidR="00E92F9B" w:rsidRDefault="00D50386">
      <w:pPr>
        <w:jc w:val="both"/>
        <w:rPr>
          <w:color w:val="000000"/>
          <w:sz w:val="22"/>
          <w:szCs w:val="22"/>
          <w:u w:val="single"/>
        </w:rPr>
      </w:pPr>
      <w:r w:rsidRPr="002B39CB">
        <w:rPr>
          <w:color w:val="000000"/>
          <w:sz w:val="22"/>
          <w:szCs w:val="22"/>
          <w:u w:val="single"/>
        </w:rPr>
        <w:t>Informačná</w:t>
      </w:r>
      <w:r w:rsidR="001218A8" w:rsidRPr="001218A8">
        <w:rPr>
          <w:color w:val="000000"/>
          <w:sz w:val="22"/>
          <w:szCs w:val="22"/>
          <w:u w:val="single"/>
        </w:rPr>
        <w:t xml:space="preserve"> spoločnosť</w:t>
      </w:r>
    </w:p>
    <w:p w:rsidR="00D50386" w:rsidRPr="00241688" w:rsidRDefault="00D50386" w:rsidP="00D50386">
      <w:pPr>
        <w:pStyle w:val="06Normal"/>
        <w:spacing w:before="0" w:after="0"/>
        <w:rPr>
          <w:szCs w:val="22"/>
        </w:rPr>
      </w:pPr>
      <w:r w:rsidRPr="00241688">
        <w:rPr>
          <w:szCs w:val="22"/>
        </w:rPr>
        <w:t xml:space="preserve">V súvislosti s plnením ex ante kondicionalít a prípravou podkladov pre </w:t>
      </w:r>
      <w:r>
        <w:rPr>
          <w:szCs w:val="22"/>
        </w:rPr>
        <w:t xml:space="preserve">Prioritnú os 7 OPII v rámci tematického cieľa 2 </w:t>
      </w:r>
      <w:r w:rsidRPr="00241688">
        <w:rPr>
          <w:szCs w:val="22"/>
        </w:rPr>
        <w:t xml:space="preserve">bola rozhodnutím ministra financií SR dňa 13.07.2012 zriadená na </w:t>
      </w:r>
      <w:r>
        <w:rPr>
          <w:szCs w:val="22"/>
        </w:rPr>
        <w:t xml:space="preserve">MF SR </w:t>
      </w:r>
      <w:r w:rsidR="001218A8" w:rsidRPr="001218A8">
        <w:rPr>
          <w:i/>
          <w:szCs w:val="22"/>
        </w:rPr>
        <w:t>Pracovná skupina pre zabezpečenie plnenia ex ante kondicionalít Rast v oblasti digitálnych služieb a Infraštruktúra prístupovej siete novej generácie (ďalej len „pracovná skupina“).</w:t>
      </w:r>
    </w:p>
    <w:p w:rsidR="00D50386" w:rsidRPr="00241688" w:rsidRDefault="00D50386" w:rsidP="00D50386">
      <w:pPr>
        <w:pStyle w:val="06Normal"/>
        <w:spacing w:after="0"/>
        <w:rPr>
          <w:szCs w:val="22"/>
        </w:rPr>
      </w:pPr>
      <w:r w:rsidRPr="00241688">
        <w:rPr>
          <w:szCs w:val="22"/>
        </w:rPr>
        <w:t>Pro</w:t>
      </w:r>
      <w:r>
        <w:rPr>
          <w:szCs w:val="22"/>
        </w:rPr>
        <w:t>stredníctvom pracovnej skupiny b</w:t>
      </w:r>
      <w:r w:rsidRPr="00241688">
        <w:rPr>
          <w:szCs w:val="22"/>
        </w:rPr>
        <w:t xml:space="preserve">oli do procesu prípravy podkladov pre </w:t>
      </w:r>
      <w:r>
        <w:rPr>
          <w:szCs w:val="22"/>
        </w:rPr>
        <w:t xml:space="preserve">Prioritnú os 7 OPII </w:t>
      </w:r>
      <w:r w:rsidRPr="00241688">
        <w:rPr>
          <w:szCs w:val="22"/>
        </w:rPr>
        <w:t>zapojení zástupcovia relevantných ministerstiev, samosprávy, akademickej obce, odborné a záujmové združenia vrátane zástupcu Centrálneho koordinačného orgánu. Funkciu predsedu pracovnej skup</w:t>
      </w:r>
      <w:r>
        <w:rPr>
          <w:szCs w:val="22"/>
        </w:rPr>
        <w:t>iny zastával štátny tajomník 1 M</w:t>
      </w:r>
      <w:r w:rsidRPr="00241688">
        <w:rPr>
          <w:szCs w:val="22"/>
        </w:rPr>
        <w:t>i</w:t>
      </w:r>
      <w:r>
        <w:rPr>
          <w:szCs w:val="22"/>
        </w:rPr>
        <w:t>nisterstva financií SR.</w:t>
      </w:r>
    </w:p>
    <w:p w:rsidR="00D50386" w:rsidRPr="00241688" w:rsidRDefault="00D50386" w:rsidP="00D50386">
      <w:pPr>
        <w:pStyle w:val="06Normal"/>
        <w:spacing w:after="0"/>
        <w:rPr>
          <w:szCs w:val="22"/>
        </w:rPr>
      </w:pPr>
      <w:r w:rsidRPr="00241688">
        <w:rPr>
          <w:szCs w:val="22"/>
        </w:rPr>
        <w:t xml:space="preserve">Výstupom </w:t>
      </w:r>
      <w:r>
        <w:rPr>
          <w:szCs w:val="22"/>
        </w:rPr>
        <w:t>pracovnej skupiny bolo vypracova</w:t>
      </w:r>
      <w:r w:rsidRPr="00241688">
        <w:rPr>
          <w:szCs w:val="22"/>
        </w:rPr>
        <w:t xml:space="preserve">nie Strategického dokumentu pre oblasť rastu digitálnych služieb a oblasť infraštruktúry prístupovej siete novej generácie (ďalej len „Strategický dokument“), ktorý predstavoval základné východisko pre prípravu </w:t>
      </w:r>
      <w:r>
        <w:rPr>
          <w:szCs w:val="22"/>
        </w:rPr>
        <w:t>Prioritnej osi 7 OPII.</w:t>
      </w:r>
    </w:p>
    <w:p w:rsidR="00D50386" w:rsidRPr="00241688" w:rsidRDefault="00D50386" w:rsidP="00D50386">
      <w:pPr>
        <w:spacing w:before="120" w:after="120"/>
        <w:jc w:val="both"/>
        <w:rPr>
          <w:sz w:val="22"/>
          <w:szCs w:val="22"/>
        </w:rPr>
      </w:pPr>
      <w:r>
        <w:rPr>
          <w:sz w:val="22"/>
          <w:szCs w:val="22"/>
        </w:rPr>
        <w:t>V rámci prípravy Strategického dokumentu</w:t>
      </w:r>
      <w:r w:rsidRPr="00241688">
        <w:rPr>
          <w:sz w:val="22"/>
          <w:szCs w:val="22"/>
        </w:rPr>
        <w:t xml:space="preserve"> bolo nevyhnutné zapojiť do prípravy a pripomienkovania Strategického dokumentu aj ďalšie relevantné subjekty (nominovaní členmi pracovnej skupiny), ktoré sa svojou odbornou participáciou a skúsenosťami z praxe podieľali na detailnejšej špecifikácii a analýze opatrení navrhovaných pre rozvoj digitálnych služieb a infraštruktúry prístupovej siete novej generácie v programovom období</w:t>
      </w:r>
      <w:r w:rsidR="002B39CB">
        <w:rPr>
          <w:sz w:val="22"/>
          <w:szCs w:val="22"/>
        </w:rPr>
        <w:t xml:space="preserve"> 2014 - 2020</w:t>
      </w:r>
      <w:r w:rsidRPr="00241688">
        <w:rPr>
          <w:sz w:val="22"/>
          <w:szCs w:val="22"/>
        </w:rPr>
        <w:t>. Za týmto účelom sa na MF SR zriadili pod pracovnou skupinou technické podskupiny pre nasledujúce prioritné oblasti:</w:t>
      </w:r>
    </w:p>
    <w:p w:rsidR="00D50386" w:rsidRPr="00600423" w:rsidRDefault="00D50386" w:rsidP="00FE6025">
      <w:pPr>
        <w:pStyle w:val="09Bullet2"/>
        <w:numPr>
          <w:ilvl w:val="0"/>
          <w:numId w:val="72"/>
        </w:numPr>
        <w:spacing w:before="0" w:after="0"/>
        <w:ind w:left="567" w:hanging="283"/>
        <w:rPr>
          <w:szCs w:val="22"/>
          <w:lang w:val="sk-SK"/>
        </w:rPr>
      </w:pPr>
      <w:r w:rsidRPr="00600423">
        <w:rPr>
          <w:szCs w:val="22"/>
          <w:lang w:val="sk-SK"/>
        </w:rPr>
        <w:t xml:space="preserve">Technická podskupina 1 – Government Cloud, </w:t>
      </w:r>
    </w:p>
    <w:p w:rsidR="00D50386" w:rsidRPr="00600423" w:rsidRDefault="00D50386" w:rsidP="00FE6025">
      <w:pPr>
        <w:pStyle w:val="09Bullet2"/>
        <w:numPr>
          <w:ilvl w:val="0"/>
          <w:numId w:val="72"/>
        </w:numPr>
        <w:spacing w:before="0" w:after="0"/>
        <w:ind w:left="567" w:hanging="283"/>
        <w:rPr>
          <w:szCs w:val="22"/>
          <w:lang w:val="sk-SK"/>
        </w:rPr>
      </w:pPr>
      <w:r w:rsidRPr="00600423">
        <w:rPr>
          <w:szCs w:val="22"/>
          <w:lang w:val="sk-SK"/>
        </w:rPr>
        <w:t>Technická podskupina 2 – Broadband/NGA,</w:t>
      </w:r>
    </w:p>
    <w:p w:rsidR="00D50386" w:rsidRPr="00600423" w:rsidRDefault="00D50386" w:rsidP="00FE6025">
      <w:pPr>
        <w:pStyle w:val="09Bullet2"/>
        <w:numPr>
          <w:ilvl w:val="0"/>
          <w:numId w:val="72"/>
        </w:numPr>
        <w:spacing w:before="0" w:after="0"/>
        <w:ind w:left="567" w:hanging="283"/>
        <w:rPr>
          <w:szCs w:val="22"/>
          <w:lang w:val="sk-SK"/>
        </w:rPr>
      </w:pPr>
      <w:r w:rsidRPr="00600423">
        <w:rPr>
          <w:szCs w:val="22"/>
          <w:lang w:val="sk-SK"/>
        </w:rPr>
        <w:t>Technická podskupina 3 – Služby</w:t>
      </w:r>
      <w:r>
        <w:rPr>
          <w:szCs w:val="22"/>
          <w:lang w:val="sk-SK"/>
        </w:rPr>
        <w:t xml:space="preserve"> </w:t>
      </w:r>
      <w:r w:rsidRPr="00600423">
        <w:rPr>
          <w:szCs w:val="22"/>
          <w:lang w:val="sk-SK"/>
        </w:rPr>
        <w:t xml:space="preserve">(mGov, eInclusion, Commerce atď.), </w:t>
      </w:r>
    </w:p>
    <w:p w:rsidR="00D50386" w:rsidRPr="00600423" w:rsidRDefault="00D50386" w:rsidP="00FE6025">
      <w:pPr>
        <w:pStyle w:val="09Bullet2"/>
        <w:numPr>
          <w:ilvl w:val="0"/>
          <w:numId w:val="72"/>
        </w:numPr>
        <w:spacing w:before="0" w:after="0"/>
        <w:ind w:left="567" w:hanging="283"/>
        <w:rPr>
          <w:szCs w:val="22"/>
          <w:lang w:val="sk-SK"/>
        </w:rPr>
      </w:pPr>
      <w:r w:rsidRPr="00600423">
        <w:rPr>
          <w:szCs w:val="22"/>
          <w:lang w:val="sk-SK"/>
        </w:rPr>
        <w:t xml:space="preserve">Technická podskupina 4 – ESO, </w:t>
      </w:r>
    </w:p>
    <w:p w:rsidR="00D50386" w:rsidRPr="00600423" w:rsidRDefault="00D50386" w:rsidP="00FE6025">
      <w:pPr>
        <w:pStyle w:val="09Bullet2"/>
        <w:numPr>
          <w:ilvl w:val="0"/>
          <w:numId w:val="72"/>
        </w:numPr>
        <w:spacing w:before="0" w:after="0"/>
        <w:ind w:left="567" w:hanging="283"/>
        <w:rPr>
          <w:szCs w:val="22"/>
          <w:lang w:val="sk-SK"/>
        </w:rPr>
      </w:pPr>
      <w:r w:rsidRPr="00600423">
        <w:rPr>
          <w:szCs w:val="22"/>
          <w:lang w:val="sk-SK"/>
        </w:rPr>
        <w:t xml:space="preserve">Technická podskupina 5 – Open Data, </w:t>
      </w:r>
    </w:p>
    <w:p w:rsidR="00D50386" w:rsidRPr="00241688" w:rsidRDefault="00D50386" w:rsidP="00FE6025">
      <w:pPr>
        <w:pStyle w:val="09Bullet2"/>
        <w:numPr>
          <w:ilvl w:val="0"/>
          <w:numId w:val="72"/>
        </w:numPr>
        <w:spacing w:before="0" w:after="0"/>
        <w:ind w:left="567" w:hanging="283"/>
        <w:rPr>
          <w:szCs w:val="22"/>
          <w:lang w:val="sk-SK"/>
        </w:rPr>
      </w:pPr>
      <w:r w:rsidRPr="00241688">
        <w:rPr>
          <w:szCs w:val="22"/>
          <w:lang w:val="sk-SK"/>
        </w:rPr>
        <w:t>Technická podskupina 6 – ŠF/komplementarita.</w:t>
      </w:r>
    </w:p>
    <w:p w:rsidR="00B43824" w:rsidRDefault="00B43824" w:rsidP="00B43824">
      <w:pPr>
        <w:spacing w:before="180"/>
        <w:jc w:val="both"/>
        <w:rPr>
          <w:sz w:val="22"/>
          <w:szCs w:val="22"/>
        </w:rPr>
      </w:pPr>
    </w:p>
    <w:p w:rsidR="00CD3ABF" w:rsidRDefault="00CD3ABF" w:rsidP="00CD3ABF">
      <w:pPr>
        <w:pStyle w:val="Nadpis1"/>
        <w:tabs>
          <w:tab w:val="num" w:pos="851"/>
        </w:tabs>
        <w:sectPr w:rsidR="00CD3ABF" w:rsidSect="00D1658B">
          <w:headerReference w:type="default" r:id="rId35"/>
          <w:pgSz w:w="11906" w:h="16838"/>
          <w:pgMar w:top="1418" w:right="1361" w:bottom="1304" w:left="1474" w:header="709" w:footer="709" w:gutter="0"/>
          <w:cols w:space="708"/>
          <w:docGrid w:linePitch="360"/>
        </w:sectPr>
      </w:pPr>
      <w:bookmarkStart w:id="148" w:name="_Toc383209154"/>
      <w:bookmarkStart w:id="149" w:name="_Toc383236568"/>
    </w:p>
    <w:p w:rsidR="00CD3ABF" w:rsidRDefault="00CD3ABF" w:rsidP="00CD3ABF">
      <w:pPr>
        <w:pStyle w:val="Nadpis1"/>
        <w:tabs>
          <w:tab w:val="num" w:pos="851"/>
        </w:tabs>
      </w:pPr>
      <w:bookmarkStart w:id="150" w:name="_Toc385310760"/>
      <w:r>
        <w:lastRenderedPageBreak/>
        <w:t>Koordinácia s inými programami a finančnými nástrojmi</w:t>
      </w:r>
      <w:bookmarkEnd w:id="148"/>
      <w:bookmarkEnd w:id="149"/>
      <w:bookmarkEnd w:id="150"/>
    </w:p>
    <w:p w:rsidR="00CD3ABF" w:rsidRDefault="00CD3ABF" w:rsidP="00CD3ABF">
      <w:pPr>
        <w:pStyle w:val="Nadpis2"/>
        <w:tabs>
          <w:tab w:val="num" w:pos="851"/>
        </w:tabs>
        <w:spacing w:before="240"/>
      </w:pPr>
      <w:bookmarkStart w:id="151" w:name="_Toc383209155"/>
      <w:bookmarkStart w:id="152" w:name="_Toc383236569"/>
      <w:bookmarkStart w:id="153" w:name="_Toc385310761"/>
      <w:r>
        <w:t>Deliace línie s ostatnými EŠIF</w:t>
      </w:r>
      <w:bookmarkEnd w:id="151"/>
      <w:bookmarkEnd w:id="152"/>
      <w:bookmarkEnd w:id="153"/>
    </w:p>
    <w:p w:rsidR="00CD3ABF" w:rsidRDefault="00CD3ABF" w:rsidP="00CD3ABF">
      <w:pPr>
        <w:jc w:val="both"/>
        <w:rPr>
          <w:sz w:val="22"/>
          <w:szCs w:val="22"/>
        </w:rPr>
      </w:pPr>
      <w:r>
        <w:rPr>
          <w:sz w:val="22"/>
          <w:szCs w:val="22"/>
        </w:rPr>
        <w:t>RO</w:t>
      </w:r>
      <w:r w:rsidRPr="00F94B5B">
        <w:rPr>
          <w:sz w:val="22"/>
          <w:szCs w:val="22"/>
        </w:rPr>
        <w:t xml:space="preserve"> </w:t>
      </w:r>
      <w:r>
        <w:rPr>
          <w:sz w:val="22"/>
          <w:szCs w:val="22"/>
        </w:rPr>
        <w:t xml:space="preserve">OPII </w:t>
      </w:r>
      <w:r w:rsidRPr="00F94B5B">
        <w:rPr>
          <w:sz w:val="22"/>
          <w:szCs w:val="22"/>
        </w:rPr>
        <w:t>v</w:t>
      </w:r>
      <w:r>
        <w:rPr>
          <w:sz w:val="22"/>
          <w:szCs w:val="22"/>
        </w:rPr>
        <w:t> </w:t>
      </w:r>
      <w:r w:rsidRPr="00F94B5B">
        <w:rPr>
          <w:sz w:val="22"/>
          <w:szCs w:val="22"/>
        </w:rPr>
        <w:t>kooperácii s</w:t>
      </w:r>
      <w:r>
        <w:rPr>
          <w:sz w:val="22"/>
          <w:szCs w:val="22"/>
        </w:rPr>
        <w:t> </w:t>
      </w:r>
      <w:r w:rsidRPr="00F94B5B">
        <w:rPr>
          <w:sz w:val="22"/>
          <w:szCs w:val="22"/>
        </w:rPr>
        <w:t xml:space="preserve">riadiacimi orgánmi </w:t>
      </w:r>
      <w:r>
        <w:rPr>
          <w:sz w:val="22"/>
          <w:szCs w:val="22"/>
        </w:rPr>
        <w:t xml:space="preserve">ostatných operačných programov financovaných z EŠIF </w:t>
      </w:r>
      <w:r w:rsidRPr="00F94B5B">
        <w:rPr>
          <w:sz w:val="22"/>
          <w:szCs w:val="22"/>
        </w:rPr>
        <w:t>identifikoval a</w:t>
      </w:r>
      <w:r>
        <w:rPr>
          <w:sz w:val="22"/>
          <w:szCs w:val="22"/>
        </w:rPr>
        <w:t> </w:t>
      </w:r>
      <w:r w:rsidRPr="00F94B5B">
        <w:rPr>
          <w:sz w:val="22"/>
          <w:szCs w:val="22"/>
        </w:rPr>
        <w:t>definoval synergické prepojenia medzi príbuznými stratégiami v</w:t>
      </w:r>
      <w:r>
        <w:rPr>
          <w:sz w:val="22"/>
          <w:szCs w:val="22"/>
        </w:rPr>
        <w:t> </w:t>
      </w:r>
      <w:r w:rsidRPr="00F94B5B">
        <w:rPr>
          <w:sz w:val="22"/>
          <w:szCs w:val="22"/>
        </w:rPr>
        <w:t>rámci nasledovných operačných programov.</w:t>
      </w:r>
    </w:p>
    <w:p w:rsidR="00CD3ABF" w:rsidRDefault="00CD3ABF" w:rsidP="00CD3ABF">
      <w:pPr>
        <w:pStyle w:val="Tab"/>
      </w:pPr>
      <w:r>
        <w:t>Demarkačné línie medzi OPII a IROP</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396"/>
        <w:gridCol w:w="4676"/>
      </w:tblGrid>
      <w:tr w:rsidR="00CD3ABF" w:rsidRPr="00CD3ABF" w:rsidTr="00A127CB">
        <w:trPr>
          <w:trHeight w:val="340"/>
          <w:jc w:val="center"/>
        </w:trPr>
        <w:tc>
          <w:tcPr>
            <w:tcW w:w="4396" w:type="dxa"/>
            <w:shd w:val="clear" w:color="auto" w:fill="C6D9F1" w:themeFill="text2" w:themeFillTint="33"/>
            <w:vAlign w:val="center"/>
          </w:tcPr>
          <w:p w:rsidR="00CD3ABF" w:rsidRPr="00CD3ABF" w:rsidRDefault="00CD3ABF" w:rsidP="00CD3ABF">
            <w:pPr>
              <w:widowControl w:val="0"/>
              <w:tabs>
                <w:tab w:val="left" w:pos="0"/>
                <w:tab w:val="left" w:pos="851"/>
              </w:tabs>
              <w:adjustRightInd w:val="0"/>
              <w:ind w:left="0"/>
              <w:jc w:val="center"/>
              <w:textAlignment w:val="baseline"/>
              <w:rPr>
                <w:snapToGrid w:val="0"/>
                <w:sz w:val="18"/>
                <w:szCs w:val="18"/>
                <w:lang w:eastAsia="cs-CZ"/>
              </w:rPr>
            </w:pPr>
            <w:r w:rsidRPr="00CD3ABF">
              <w:rPr>
                <w:snapToGrid w:val="0"/>
                <w:sz w:val="18"/>
                <w:szCs w:val="18"/>
                <w:lang w:eastAsia="cs-CZ"/>
              </w:rPr>
              <w:t>OP Integrovaná infraštruktúra</w:t>
            </w:r>
          </w:p>
        </w:tc>
        <w:tc>
          <w:tcPr>
            <w:tcW w:w="4676" w:type="dxa"/>
            <w:shd w:val="clear" w:color="auto" w:fill="C6D9F1" w:themeFill="text2" w:themeFillTint="33"/>
            <w:vAlign w:val="center"/>
          </w:tcPr>
          <w:p w:rsidR="00CD3ABF" w:rsidRPr="00CD3ABF" w:rsidRDefault="00CD3ABF" w:rsidP="00CD3ABF">
            <w:pPr>
              <w:widowControl w:val="0"/>
              <w:tabs>
                <w:tab w:val="left" w:pos="0"/>
                <w:tab w:val="left" w:pos="851"/>
              </w:tabs>
              <w:adjustRightInd w:val="0"/>
              <w:ind w:left="0"/>
              <w:jc w:val="center"/>
              <w:textAlignment w:val="baseline"/>
              <w:rPr>
                <w:snapToGrid w:val="0"/>
                <w:sz w:val="18"/>
                <w:szCs w:val="18"/>
                <w:lang w:eastAsia="cs-CZ"/>
              </w:rPr>
            </w:pPr>
            <w:r w:rsidRPr="00CD3ABF">
              <w:rPr>
                <w:snapToGrid w:val="0"/>
                <w:sz w:val="18"/>
                <w:szCs w:val="18"/>
                <w:lang w:eastAsia="cs-CZ"/>
              </w:rPr>
              <w:t>Integrovaný Regionálny OP</w:t>
            </w:r>
          </w:p>
        </w:tc>
      </w:tr>
      <w:tr w:rsidR="00CD3ABF" w:rsidRPr="00CD3ABF" w:rsidTr="00A127CB">
        <w:trPr>
          <w:trHeight w:val="834"/>
          <w:jc w:val="center"/>
        </w:trPr>
        <w:tc>
          <w:tcPr>
            <w:tcW w:w="4396" w:type="dxa"/>
          </w:tcPr>
          <w:p w:rsidR="00CD3ABF" w:rsidRPr="00CD3ABF" w:rsidRDefault="00CD3ABF" w:rsidP="00CD3ABF">
            <w:pPr>
              <w:widowControl w:val="0"/>
              <w:tabs>
                <w:tab w:val="left" w:pos="0"/>
                <w:tab w:val="left" w:pos="851"/>
              </w:tabs>
              <w:adjustRightInd w:val="0"/>
              <w:spacing w:before="120" w:after="60"/>
              <w:ind w:left="0"/>
              <w:textAlignment w:val="baseline"/>
              <w:rPr>
                <w:b/>
                <w:snapToGrid w:val="0"/>
                <w:sz w:val="18"/>
                <w:szCs w:val="18"/>
                <w:lang w:eastAsia="cs-CZ"/>
              </w:rPr>
            </w:pPr>
            <w:r w:rsidRPr="00CD3ABF">
              <w:rPr>
                <w:b/>
                <w:snapToGrid w:val="0"/>
                <w:sz w:val="18"/>
                <w:szCs w:val="18"/>
                <w:lang w:eastAsia="cs-CZ"/>
              </w:rPr>
              <w:t>Výstavba a modernizácia cestnej infraštruktúry:</w:t>
            </w:r>
          </w:p>
          <w:p w:rsidR="00CD3ABF" w:rsidRPr="00CD3ABF" w:rsidRDefault="00CD3ABF" w:rsidP="0042523B">
            <w:pPr>
              <w:widowControl w:val="0"/>
              <w:numPr>
                <w:ilvl w:val="0"/>
                <w:numId w:val="22"/>
              </w:numPr>
              <w:tabs>
                <w:tab w:val="left" w:pos="0"/>
              </w:tabs>
              <w:adjustRightInd w:val="0"/>
              <w:ind w:left="318" w:hanging="284"/>
              <w:textAlignment w:val="baseline"/>
              <w:rPr>
                <w:snapToGrid w:val="0"/>
                <w:sz w:val="18"/>
                <w:szCs w:val="18"/>
                <w:lang w:eastAsia="cs-CZ"/>
              </w:rPr>
            </w:pPr>
            <w:r w:rsidRPr="00CD3ABF">
              <w:rPr>
                <w:snapToGrid w:val="0"/>
                <w:sz w:val="18"/>
                <w:szCs w:val="18"/>
                <w:lang w:eastAsia="cs-CZ"/>
              </w:rPr>
              <w:t>výstavba diaľnic a rýchlostných ciest;</w:t>
            </w:r>
          </w:p>
          <w:p w:rsidR="00CD3ABF" w:rsidRPr="00CD3ABF" w:rsidRDefault="00CD3ABF" w:rsidP="00197539">
            <w:pPr>
              <w:widowControl w:val="0"/>
              <w:numPr>
                <w:ilvl w:val="0"/>
                <w:numId w:val="22"/>
              </w:numPr>
              <w:tabs>
                <w:tab w:val="left" w:pos="0"/>
              </w:tabs>
              <w:adjustRightInd w:val="0"/>
              <w:ind w:left="318" w:hanging="284"/>
              <w:textAlignment w:val="baseline"/>
              <w:rPr>
                <w:snapToGrid w:val="0"/>
                <w:sz w:val="18"/>
                <w:szCs w:val="18"/>
                <w:lang w:eastAsia="cs-CZ"/>
              </w:rPr>
            </w:pPr>
            <w:r w:rsidRPr="00CD3ABF">
              <w:rPr>
                <w:snapToGrid w:val="0"/>
                <w:sz w:val="18"/>
                <w:szCs w:val="18"/>
                <w:lang w:eastAsia="cs-CZ"/>
              </w:rPr>
              <w:t>výstavba a modernizácia ciest I. triedy.</w:t>
            </w:r>
          </w:p>
          <w:p w:rsidR="00CD3ABF" w:rsidRPr="00CD3ABF" w:rsidRDefault="00CD3ABF" w:rsidP="00CD3ABF">
            <w:pPr>
              <w:widowControl w:val="0"/>
              <w:tabs>
                <w:tab w:val="left" w:pos="0"/>
              </w:tabs>
              <w:adjustRightInd w:val="0"/>
              <w:spacing w:before="120" w:after="60"/>
              <w:ind w:left="34"/>
              <w:textAlignment w:val="baseline"/>
              <w:rPr>
                <w:b/>
                <w:snapToGrid w:val="0"/>
                <w:sz w:val="18"/>
                <w:szCs w:val="18"/>
                <w:lang w:eastAsia="cs-CZ"/>
              </w:rPr>
            </w:pPr>
            <w:r w:rsidRPr="00CD3ABF">
              <w:rPr>
                <w:b/>
                <w:snapToGrid w:val="0"/>
                <w:sz w:val="18"/>
                <w:szCs w:val="18"/>
                <w:lang w:eastAsia="cs-CZ"/>
              </w:rPr>
              <w:t>Podpora udržateľnej mestskej mobility:</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výstavba a modernizácia infraštruktúry pre integrované dopravné systémy;</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obstaranie mobilných prostriedkov dráhovej mestskej hromadnej dopravy (električky a trolejbusy vrátane vozidiel s pomocným pohonom);</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modernizácia a výstavba električkových tratí v Bratislave a Košiciach vrátane prvkov preferencie MHD a napojenia na ostatné druhy MHD a nemotorovú dopravu;</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modernizácia a výstavba trolejbusových tratí vrátane prvkov preferencie MHD a napojenia na ostatné druhy MHD a nemotorovú dopravu;</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vybudovanie a modernizácia technickej základne na opravu a údržbu vozidlového parku dráhovej MHD;</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prestupných terminálov so zásahom do železničnej infraštruktúry;</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záchytných parkovísk Park &amp; Ride (P+R), Kiss &amp; Ride (K+R), Bike &amp; Ride (B+R) (so zásahom do železničnej infraštruktúry);</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projektová príprava.</w:t>
            </w:r>
          </w:p>
        </w:tc>
        <w:tc>
          <w:tcPr>
            <w:tcW w:w="4676" w:type="dxa"/>
          </w:tcPr>
          <w:p w:rsidR="00CD3ABF" w:rsidRPr="00CD3ABF" w:rsidRDefault="00CD3ABF" w:rsidP="00CD3ABF">
            <w:pPr>
              <w:widowControl w:val="0"/>
              <w:tabs>
                <w:tab w:val="left" w:pos="0"/>
                <w:tab w:val="left" w:pos="851"/>
              </w:tabs>
              <w:adjustRightInd w:val="0"/>
              <w:spacing w:before="120" w:after="60"/>
              <w:ind w:left="0"/>
              <w:textAlignment w:val="baseline"/>
              <w:rPr>
                <w:b/>
                <w:snapToGrid w:val="0"/>
                <w:sz w:val="18"/>
                <w:szCs w:val="18"/>
                <w:lang w:eastAsia="cs-CZ"/>
              </w:rPr>
            </w:pPr>
            <w:r w:rsidRPr="00CD3ABF">
              <w:rPr>
                <w:b/>
                <w:snapToGrid w:val="0"/>
                <w:sz w:val="18"/>
                <w:szCs w:val="18"/>
                <w:lang w:eastAsia="cs-CZ"/>
              </w:rPr>
              <w:t>Výstavba a modernizácia cestnej infraštruktúry:</w:t>
            </w:r>
          </w:p>
          <w:p w:rsidR="00CD3ABF" w:rsidRPr="00CD3ABF" w:rsidRDefault="00CD3ABF" w:rsidP="0042523B">
            <w:pPr>
              <w:widowControl w:val="0"/>
              <w:numPr>
                <w:ilvl w:val="0"/>
                <w:numId w:val="22"/>
              </w:numPr>
              <w:tabs>
                <w:tab w:val="left" w:pos="0"/>
              </w:tabs>
              <w:adjustRightInd w:val="0"/>
              <w:ind w:left="318" w:hanging="284"/>
              <w:textAlignment w:val="baseline"/>
              <w:rPr>
                <w:snapToGrid w:val="0"/>
                <w:sz w:val="18"/>
                <w:szCs w:val="18"/>
                <w:lang w:eastAsia="cs-CZ"/>
              </w:rPr>
            </w:pPr>
            <w:r w:rsidRPr="00CD3ABF">
              <w:rPr>
                <w:snapToGrid w:val="0"/>
                <w:sz w:val="18"/>
                <w:szCs w:val="18"/>
                <w:lang w:eastAsia="cs-CZ"/>
              </w:rPr>
              <w:t>Výstavba, rekonštrukcia a modernizácia ciest II. a  III. triedy (vo vzťahu k zlepšeniu dostupnosti na TEN-T).</w:t>
            </w:r>
          </w:p>
          <w:p w:rsidR="00CD3ABF" w:rsidRPr="00CD3ABF" w:rsidRDefault="00CD3ABF" w:rsidP="00CD3ABF">
            <w:pPr>
              <w:widowControl w:val="0"/>
              <w:tabs>
                <w:tab w:val="left" w:pos="0"/>
              </w:tabs>
              <w:adjustRightInd w:val="0"/>
              <w:spacing w:before="120" w:after="60"/>
              <w:ind w:left="34"/>
              <w:textAlignment w:val="baseline"/>
              <w:rPr>
                <w:b/>
                <w:snapToGrid w:val="0"/>
                <w:sz w:val="18"/>
                <w:szCs w:val="18"/>
                <w:lang w:eastAsia="cs-CZ"/>
              </w:rPr>
            </w:pPr>
            <w:r w:rsidRPr="00CD3ABF">
              <w:rPr>
                <w:b/>
                <w:snapToGrid w:val="0"/>
                <w:sz w:val="18"/>
                <w:szCs w:val="18"/>
                <w:lang w:eastAsia="cs-CZ"/>
              </w:rPr>
              <w:t>Podpora udržateľnej mestskej mobility:</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spracovanie strategických dokumentov a územnoplánovacích podkladov (plány mobility , generely dopravy, plány dopravnej obsluhy);</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obnova a budovanie vyhradených jazdných pruhov pre verejnú osobnú dopravu;</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náhrada autobusov mestskej hromadnej dopravy alebo prímestskej autobusovej dopravy na dieselový pohon vysokoekologickými autobusmi, napr. plynovými autobusmi, hybridnými autobusmi alebo elektrobusmi, spolu s budovaním zodpovedajúcej zásobovacej infraštruktúry (napr. plniacich staníc plynu, nabíjacích staníc) vrátane nákupu nízkopodlažných/low-entry nízkoemi</w:t>
            </w:r>
            <w:r w:rsidR="002D4DB4">
              <w:rPr>
                <w:snapToGrid w:val="0"/>
                <w:sz w:val="18"/>
                <w:szCs w:val="18"/>
                <w:lang w:eastAsia="cs-CZ"/>
              </w:rPr>
              <w:t>sných autobusov/elektrobusov;</w:t>
            </w:r>
          </w:p>
          <w:p w:rsidR="003C1464" w:rsidRDefault="003C1464"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3C1464">
              <w:rPr>
                <w:snapToGrid w:val="0"/>
                <w:sz w:val="18"/>
                <w:szCs w:val="18"/>
                <w:lang w:eastAsia="cs-CZ"/>
              </w:rPr>
              <w:t>rekonštrukcia, modernizácia a výstavba prestupných terminálov, okrem terminálov so zásahom do železničnej infraštruktúry</w:t>
            </w:r>
            <w:r>
              <w:rPr>
                <w:snapToGrid w:val="0"/>
                <w:sz w:val="18"/>
                <w:szCs w:val="18"/>
                <w:lang w:eastAsia="cs-CZ"/>
              </w:rPr>
              <w:t>;</w:t>
            </w:r>
          </w:p>
          <w:p w:rsidR="00CD3ABF" w:rsidRPr="003C1464"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3C1464">
              <w:rPr>
                <w:snapToGrid w:val="0"/>
                <w:sz w:val="18"/>
                <w:szCs w:val="18"/>
                <w:lang w:eastAsia="cs-CZ"/>
              </w:rPr>
              <w:t>rekonštrukcia, modernizácia a výstavba integrovaných zastávok subsystémov verejnej osobnej dopravy;</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obratísk cestnej verejnej osobnej dopravy;</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záchytných parkovísk Park &amp; Ride (P+R), Kiss &amp; Ride (K+R), Bike &amp; Ride (B+R) (bez zásahu do železničnej infraštruktúry);</w:t>
            </w:r>
          </w:p>
          <w:p w:rsidR="00CD3ABF" w:rsidRPr="00CD3ABF" w:rsidRDefault="00CD3ABF" w:rsidP="0042523B">
            <w:pPr>
              <w:widowControl w:val="0"/>
              <w:numPr>
                <w:ilvl w:val="0"/>
                <w:numId w:val="22"/>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zavádzanie opatrení preferencie verejnej osobnej dopravy na križovatkách;</w:t>
            </w:r>
          </w:p>
          <w:p w:rsidR="003C1464" w:rsidRDefault="003C1464" w:rsidP="0042523B">
            <w:pPr>
              <w:widowControl w:val="0"/>
              <w:numPr>
                <w:ilvl w:val="0"/>
                <w:numId w:val="22"/>
              </w:numPr>
              <w:tabs>
                <w:tab w:val="left" w:pos="0"/>
              </w:tabs>
              <w:adjustRightInd w:val="0"/>
              <w:spacing w:before="60" w:after="60"/>
              <w:ind w:left="318" w:hanging="284"/>
              <w:textAlignment w:val="baseline"/>
              <w:rPr>
                <w:snapToGrid w:val="0"/>
                <w:sz w:val="18"/>
                <w:szCs w:val="18"/>
                <w:lang w:eastAsia="cs-CZ"/>
              </w:rPr>
            </w:pPr>
            <w:r w:rsidRPr="003C1464">
              <w:rPr>
                <w:snapToGrid w:val="0"/>
                <w:sz w:val="18"/>
                <w:szCs w:val="18"/>
                <w:lang w:eastAsia="cs-CZ"/>
              </w:rPr>
              <w:t xml:space="preserve">modernizácia existujúcich a zavádzanie nových integrovaných dopravných systémov - technická podpora softvérového zabezpečenia, </w:t>
            </w:r>
            <w:r>
              <w:rPr>
                <w:snapToGrid w:val="0"/>
                <w:sz w:val="18"/>
                <w:szCs w:val="18"/>
                <w:lang w:eastAsia="cs-CZ"/>
              </w:rPr>
              <w:t>ako aj hardvérového vybavenia;</w:t>
            </w:r>
          </w:p>
          <w:p w:rsidR="00CD3ABF" w:rsidRPr="00CD3ABF" w:rsidRDefault="00CD3ABF" w:rsidP="0042523B">
            <w:pPr>
              <w:widowControl w:val="0"/>
              <w:numPr>
                <w:ilvl w:val="0"/>
                <w:numId w:val="22"/>
              </w:numPr>
              <w:tabs>
                <w:tab w:val="left" w:pos="0"/>
              </w:tabs>
              <w:adjustRightInd w:val="0"/>
              <w:spacing w:before="60" w:after="60"/>
              <w:ind w:left="318" w:hanging="284"/>
              <w:textAlignment w:val="baseline"/>
              <w:rPr>
                <w:snapToGrid w:val="0"/>
                <w:sz w:val="18"/>
                <w:szCs w:val="18"/>
                <w:lang w:eastAsia="cs-CZ"/>
              </w:rPr>
            </w:pPr>
            <w:r w:rsidRPr="00CD3ABF">
              <w:rPr>
                <w:snapToGrid w:val="0"/>
                <w:sz w:val="18"/>
                <w:szCs w:val="18"/>
                <w:lang w:eastAsia="cs-CZ"/>
              </w:rPr>
              <w:t>zavádzanie doplnkových služieb verejnej osobnej dopravy (napr. preprava bicyklov, lyží, internetové pripojenie a pod.)</w:t>
            </w:r>
          </w:p>
        </w:tc>
      </w:tr>
    </w:tbl>
    <w:p w:rsidR="00CD3ABF" w:rsidRDefault="00CD3ABF" w:rsidP="00CD3ABF">
      <w:pPr>
        <w:spacing w:before="240"/>
        <w:jc w:val="both"/>
        <w:rPr>
          <w:sz w:val="22"/>
          <w:szCs w:val="22"/>
        </w:rPr>
      </w:pPr>
      <w:r>
        <w:rPr>
          <w:sz w:val="22"/>
          <w:szCs w:val="22"/>
        </w:rPr>
        <w:t>V oblasti verejnej osobnej a nemotorovej dopravy sa OPII zameriava na investične najnáročnejšie projekty v dráhovej doprave, ktorá súčasne vykazuje najväčšiu zastaranosť. Zdroje IROP budú použité na realizáciu opatrení mimo dráhovej dopravy a tzv. mäkkých opatrení. V rámci IROP sa jedná o investičnú prioritu „</w:t>
      </w:r>
      <w:r w:rsidRPr="003B31F2">
        <w:rPr>
          <w:sz w:val="22"/>
          <w:szCs w:val="22"/>
        </w:rPr>
        <w:t>Vývoj a zlepšovanie ekologicky priazni</w:t>
      </w:r>
      <w:r>
        <w:rPr>
          <w:sz w:val="22"/>
          <w:szCs w:val="22"/>
        </w:rPr>
        <w:t>vých, vrátane nízkohlukových, a </w:t>
      </w:r>
      <w:r w:rsidRPr="003B31F2">
        <w:rPr>
          <w:sz w:val="22"/>
          <w:szCs w:val="22"/>
        </w:rPr>
        <w:t>nízkouhlíkových dopravných systémov vrátane vnútrozemských vodných ciest a námornej dopravy, prístavov, multimodálnych prepojení a letiskovej infraštruktúry v záujme podpory udržateľnej regionálnej a miestnej mobility</w:t>
      </w:r>
      <w:r>
        <w:rPr>
          <w:sz w:val="22"/>
          <w:szCs w:val="22"/>
        </w:rPr>
        <w:t>“ prioritnej osi 1 „</w:t>
      </w:r>
      <w:r w:rsidRPr="00426B5A">
        <w:rPr>
          <w:sz w:val="22"/>
          <w:szCs w:val="22"/>
        </w:rPr>
        <w:t>Bezpečná a ekologická doprava v regiónoch</w:t>
      </w:r>
      <w:r>
        <w:rPr>
          <w:sz w:val="22"/>
          <w:szCs w:val="22"/>
        </w:rPr>
        <w:t>“. Problematiku verejnej osobnej dopravy zahŕňajú dva špecifické ciele, a to ŠC 1.2.1 „</w:t>
      </w:r>
      <w:r w:rsidRPr="00BC7CCB">
        <w:rPr>
          <w:sz w:val="22"/>
          <w:szCs w:val="22"/>
        </w:rPr>
        <w:t>Zníženie environm</w:t>
      </w:r>
      <w:r>
        <w:rPr>
          <w:sz w:val="22"/>
          <w:szCs w:val="22"/>
        </w:rPr>
        <w:t>entálneho zaťaženia mestských a </w:t>
      </w:r>
      <w:r w:rsidRPr="00BC7CCB">
        <w:rPr>
          <w:sz w:val="22"/>
          <w:szCs w:val="22"/>
        </w:rPr>
        <w:t>prímestských oblastí prostredníctvom podpory a rozvoja integrovaných dopravných s</w:t>
      </w:r>
      <w:r>
        <w:rPr>
          <w:sz w:val="22"/>
          <w:szCs w:val="22"/>
        </w:rPr>
        <w:t>ystémov a </w:t>
      </w:r>
      <w:r w:rsidRPr="00BC7CCB">
        <w:rPr>
          <w:sz w:val="22"/>
          <w:szCs w:val="22"/>
        </w:rPr>
        <w:t>zvyšovania atrak</w:t>
      </w:r>
      <w:r>
        <w:rPr>
          <w:sz w:val="22"/>
          <w:szCs w:val="22"/>
        </w:rPr>
        <w:t xml:space="preserve">tivity verejnej osobnej dopravy“ a ŠC 1.2.2 </w:t>
      </w:r>
      <w:r>
        <w:rPr>
          <w:sz w:val="22"/>
          <w:szCs w:val="22"/>
        </w:rPr>
        <w:lastRenderedPageBreak/>
        <w:t>„</w:t>
      </w:r>
      <w:r w:rsidRPr="00BC7CCB">
        <w:rPr>
          <w:sz w:val="22"/>
          <w:szCs w:val="22"/>
        </w:rPr>
        <w:t>Zvýšenie atraktivity a prepravnej kapacity nemotorovej dopravy (predovšetkým cyklistickej dopravy) na c</w:t>
      </w:r>
      <w:r>
        <w:rPr>
          <w:sz w:val="22"/>
          <w:szCs w:val="22"/>
        </w:rPr>
        <w:t>elkovom počte prepravených osôb“, ktorý sa venuje verejnej osobnej doprave najmä čo sa týka jej umiestnenia vo verejných priestoroch.</w:t>
      </w:r>
    </w:p>
    <w:p w:rsidR="00CD3ABF" w:rsidRDefault="00CD3ABF" w:rsidP="00CD3ABF">
      <w:pPr>
        <w:spacing w:before="180"/>
        <w:jc w:val="both"/>
        <w:rPr>
          <w:sz w:val="22"/>
          <w:szCs w:val="22"/>
        </w:rPr>
      </w:pPr>
      <w:r w:rsidRPr="00611AFF">
        <w:rPr>
          <w:sz w:val="22"/>
          <w:szCs w:val="22"/>
        </w:rPr>
        <w:t xml:space="preserve">Nevyhnutným predpokladom </w:t>
      </w:r>
      <w:r w:rsidR="00A6133B">
        <w:rPr>
          <w:sz w:val="22"/>
          <w:szCs w:val="22"/>
        </w:rPr>
        <w:t>pre</w:t>
      </w:r>
      <w:r w:rsidRPr="00611AFF">
        <w:rPr>
          <w:sz w:val="22"/>
          <w:szCs w:val="22"/>
        </w:rPr>
        <w:t xml:space="preserve"> n</w:t>
      </w:r>
      <w:r w:rsidR="00A6133B">
        <w:rPr>
          <w:sz w:val="22"/>
          <w:szCs w:val="22"/>
        </w:rPr>
        <w:t>aplnenie</w:t>
      </w:r>
      <w:r w:rsidRPr="00611AFF">
        <w:rPr>
          <w:sz w:val="22"/>
          <w:szCs w:val="22"/>
        </w:rPr>
        <w:t xml:space="preserve"> špecifických cieľov v rámci jednotlivých </w:t>
      </w:r>
      <w:r>
        <w:rPr>
          <w:sz w:val="22"/>
          <w:szCs w:val="22"/>
        </w:rPr>
        <w:t>operačných programov</w:t>
      </w:r>
      <w:r w:rsidRPr="00611AFF">
        <w:rPr>
          <w:sz w:val="22"/>
          <w:szCs w:val="22"/>
        </w:rPr>
        <w:t xml:space="preserve"> bude ich vzájomná koordinácia a logická väzba medzi aktivitami. Jednotlivé opatrenia by mali vytvárať komplexné projekty, pričom ich tematická koncentrácia môže byť rôznorodá s cieľom dosiahnutia čo najefe</w:t>
      </w:r>
      <w:r w:rsidR="00A3669F">
        <w:rPr>
          <w:sz w:val="22"/>
          <w:szCs w:val="22"/>
        </w:rPr>
        <w:t>ktívnejšieho výsledku vo vzťahu</w:t>
      </w:r>
      <w:r w:rsidRPr="00611AFF">
        <w:rPr>
          <w:sz w:val="22"/>
          <w:szCs w:val="22"/>
        </w:rPr>
        <w:t xml:space="preserve"> k udržateľnosti a atraktívnosti VOD a podpore nemotorovej dopravy. </w:t>
      </w:r>
      <w:r w:rsidRPr="00C542FE">
        <w:rPr>
          <w:b/>
          <w:sz w:val="22"/>
          <w:szCs w:val="22"/>
        </w:rPr>
        <w:t>S cieľom zabezpečenia synergie a komplementarity medzi OPII a IROP bude zriadený koordinačný výbor</w:t>
      </w:r>
      <w:r w:rsidRPr="00611AFF">
        <w:rPr>
          <w:sz w:val="22"/>
          <w:szCs w:val="22"/>
        </w:rPr>
        <w:t xml:space="preserve">, ktorého cieľom bude zosúladenie a monitorovanie implementácie príslušných </w:t>
      </w:r>
      <w:r>
        <w:rPr>
          <w:sz w:val="22"/>
          <w:szCs w:val="22"/>
        </w:rPr>
        <w:t>operačných programov</w:t>
      </w:r>
      <w:r w:rsidRPr="00611AFF">
        <w:rPr>
          <w:sz w:val="22"/>
          <w:szCs w:val="22"/>
        </w:rPr>
        <w:t>, pričom jednou z činností koord</w:t>
      </w:r>
      <w:r>
        <w:rPr>
          <w:sz w:val="22"/>
          <w:szCs w:val="22"/>
        </w:rPr>
        <w:t>inačného výboru bude aj vecné a </w:t>
      </w:r>
      <w:r w:rsidRPr="00611AFF">
        <w:rPr>
          <w:sz w:val="22"/>
          <w:szCs w:val="22"/>
        </w:rPr>
        <w:t>časové zlaďovanie, resp. harmonizácia výziev/vyzvaní.</w:t>
      </w:r>
    </w:p>
    <w:p w:rsidR="00CD3ABF" w:rsidRDefault="00CD3ABF" w:rsidP="00CD3ABF">
      <w:pPr>
        <w:spacing w:before="180"/>
        <w:jc w:val="both"/>
        <w:rPr>
          <w:sz w:val="22"/>
          <w:szCs w:val="22"/>
        </w:rPr>
      </w:pPr>
      <w:r>
        <w:rPr>
          <w:sz w:val="22"/>
          <w:szCs w:val="22"/>
        </w:rPr>
        <w:t>Konkrétne závislosti vyplývajú z charakteru jednotlivých projektov. Ako príklad je možné uviesť budovanie prvkov preferencie MHD (IROP) a až následné obstarávanie trolejbusov (OPII). Dosiahne sa tým efektívne využitie vozidiel, zvýšenie ich obežnej rýchlosti a tým aj zníženie prevádzkových nákladov a súčasne zvýšenie atraktivity MHD.</w:t>
      </w:r>
    </w:p>
    <w:p w:rsidR="00CD3ABF" w:rsidRDefault="00CD3ABF" w:rsidP="00CD3ABF">
      <w:pPr>
        <w:spacing w:before="180"/>
        <w:jc w:val="both"/>
        <w:rPr>
          <w:sz w:val="22"/>
          <w:szCs w:val="22"/>
        </w:rPr>
      </w:pPr>
      <w:r>
        <w:rPr>
          <w:sz w:val="22"/>
          <w:szCs w:val="22"/>
        </w:rPr>
        <w:t xml:space="preserve">Viaceré z aktivít verejnej osobnej dopravy si vyžiadajú realizáciu organizačných a prevádzkových opatrení mimo rámca OPII a IROP v zmysle </w:t>
      </w:r>
      <w:r>
        <w:rPr>
          <w:color w:val="000000"/>
          <w:sz w:val="22"/>
          <w:szCs w:val="22"/>
        </w:rPr>
        <w:t>Stratégie</w:t>
      </w:r>
      <w:r w:rsidRPr="00A5254D">
        <w:rPr>
          <w:color w:val="000000"/>
          <w:sz w:val="22"/>
          <w:szCs w:val="22"/>
        </w:rPr>
        <w:t xml:space="preserve"> rozvoja verejnej osobnej </w:t>
      </w:r>
      <w:r>
        <w:rPr>
          <w:color w:val="000000"/>
          <w:sz w:val="22"/>
          <w:szCs w:val="22"/>
        </w:rPr>
        <w:t>a </w:t>
      </w:r>
      <w:r w:rsidRPr="0044578F">
        <w:rPr>
          <w:sz w:val="22"/>
          <w:szCs w:val="22"/>
        </w:rPr>
        <w:t>nemotorovej</w:t>
      </w:r>
      <w:r>
        <w:rPr>
          <w:color w:val="000000"/>
          <w:sz w:val="22"/>
          <w:szCs w:val="22"/>
        </w:rPr>
        <w:t xml:space="preserve"> </w:t>
      </w:r>
      <w:r w:rsidRPr="00A5254D">
        <w:rPr>
          <w:color w:val="000000"/>
          <w:sz w:val="22"/>
          <w:szCs w:val="22"/>
        </w:rPr>
        <w:t>dopravy</w:t>
      </w:r>
      <w:r>
        <w:rPr>
          <w:color w:val="000000"/>
          <w:sz w:val="22"/>
          <w:szCs w:val="22"/>
        </w:rPr>
        <w:t xml:space="preserve"> </w:t>
      </w:r>
      <w:r w:rsidRPr="00A348ED">
        <w:rPr>
          <w:sz w:val="22"/>
          <w:szCs w:val="22"/>
        </w:rPr>
        <w:t>SR do roku 2020</w:t>
      </w:r>
      <w:r>
        <w:rPr>
          <w:sz w:val="22"/>
          <w:szCs w:val="22"/>
        </w:rPr>
        <w:t>. Ak použijeme príklad z predchádzajúceho odseku, efektívnejšiemu uplatneniu infraštruktúrnych opatrení na preferenciu MHD pomôžu zmeny v legislatíve, ktoré odstránia administratívne prekážky ich zavádzania.</w:t>
      </w:r>
    </w:p>
    <w:p w:rsidR="00CD3ABF" w:rsidRPr="00197539" w:rsidRDefault="00CD3ABF" w:rsidP="00197539">
      <w:pPr>
        <w:pStyle w:val="Obr"/>
        <w:rPr>
          <w:szCs w:val="22"/>
        </w:rPr>
      </w:pPr>
      <w:r w:rsidRPr="00197539">
        <w:rPr>
          <w:szCs w:val="22"/>
        </w:rPr>
        <w:t>Príklad komplementárnych aktivít financovaných z OPII a IROP v oblasti verejnej osobnej dopravy (ilustratívny obrázok)</w:t>
      </w:r>
    </w:p>
    <w:p w:rsidR="00CD3ABF" w:rsidRDefault="00B75FBB" w:rsidP="00197539">
      <w:pPr>
        <w:keepNext/>
        <w:jc w:val="center"/>
        <w:rPr>
          <w:i/>
          <w:sz w:val="22"/>
          <w:szCs w:val="22"/>
        </w:rPr>
      </w:pPr>
      <w:r w:rsidRPr="00B75FBB">
        <w:rPr>
          <w:noProof/>
          <w:sz w:val="22"/>
          <w:szCs w:val="22"/>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_x0000_s1136" type="#_x0000_t63" style="position:absolute;left:0;text-align:left;margin-left:143.1pt;margin-top:18.05pt;width:128.95pt;height:42.65pt;z-index:251669504;v-text-anchor:middle" adj="5695,30488" fillcolor="white [3201]" strokecolor="#d99594 [1941]" strokeweight="1pt">
            <v:fill color2="#e5b8b7 [1301]" focusposition="1" focussize="" focus="100%" type="gradient"/>
            <v:shadow on="t" type="perspective" color="#622423 [1605]" opacity=".5" offset="1pt" offset2="-3pt"/>
            <v:textbox style="mso-next-textbox:#_x0000_s1136">
              <w:txbxContent>
                <w:p w:rsidR="00532DA2" w:rsidRDefault="00532DA2" w:rsidP="00CD3ABF">
                  <w:pPr>
                    <w:jc w:val="center"/>
                    <w:rPr>
                      <w:rFonts w:ascii="Arial" w:hAnsi="Arial" w:cs="Arial"/>
                      <w:sz w:val="20"/>
                    </w:rPr>
                  </w:pPr>
                  <w:r w:rsidRPr="00FD04A7">
                    <w:rPr>
                      <w:rFonts w:ascii="Arial" w:hAnsi="Arial" w:cs="Arial"/>
                      <w:sz w:val="20"/>
                    </w:rPr>
                    <w:t>Prvky upokojenia dopravy</w:t>
                  </w:r>
                </w:p>
              </w:txbxContent>
            </v:textbox>
          </v:shape>
        </w:pict>
      </w:r>
      <w:r>
        <w:rPr>
          <w:i/>
          <w:noProof/>
          <w:sz w:val="22"/>
          <w:szCs w:val="22"/>
        </w:rPr>
        <w:pict>
          <v:shape id="_x0000_s1134" type="#_x0000_t63" style="position:absolute;left:0;text-align:left;margin-left:67.6pt;margin-top:271.55pt;width:56.3pt;height:27.65pt;z-index:251667456" adj="10973,20975" fillcolor="white [3201]" strokecolor="#d99594 [1941]" strokeweight="1pt">
            <v:fill color2="#e5b8b7 [1301]" focusposition="1" focussize="" focus="100%" type="gradient"/>
            <v:shadow on="t" type="perspective" color="#622423 [1605]" opacity=".5" offset="1pt" offset2="-3pt"/>
            <v:textbox style="mso-next-textbox:#_x0000_s1134">
              <w:txbxContent>
                <w:p w:rsidR="00532DA2" w:rsidRDefault="00532DA2" w:rsidP="00CD3ABF">
                  <w:pPr>
                    <w:jc w:val="center"/>
                    <w:rPr>
                      <w:rFonts w:ascii="Arial" w:hAnsi="Arial" w:cs="Arial"/>
                      <w:b/>
                      <w:sz w:val="20"/>
                    </w:rPr>
                  </w:pPr>
                  <w:r w:rsidRPr="00FD04A7">
                    <w:rPr>
                      <w:rFonts w:ascii="Arial" w:hAnsi="Arial" w:cs="Arial"/>
                      <w:b/>
                      <w:sz w:val="20"/>
                    </w:rPr>
                    <w:t>IROP</w:t>
                  </w:r>
                </w:p>
              </w:txbxContent>
            </v:textbox>
          </v:shape>
        </w:pict>
      </w:r>
      <w:r>
        <w:rPr>
          <w:i/>
          <w:noProof/>
          <w:sz w:val="22"/>
          <w:szCs w:val="22"/>
        </w:rPr>
        <w:pict>
          <v:shape id="_x0000_s1133" type="#_x0000_t63" style="position:absolute;left:0;text-align:left;margin-left:7.35pt;margin-top:271.55pt;width:56.3pt;height:27.65pt;z-index:251666432" adj="10973,20975" fillcolor="white [3201]" strokecolor="#95b3d7 [1940]" strokeweight="1pt">
            <v:fill color2="#b8cce4 [1300]" focusposition="1" focussize="" focus="100%" type="gradient"/>
            <v:shadow on="t" type="perspective" color="#243f60 [1604]" opacity=".5" offset="1pt" offset2="-3pt"/>
            <v:textbox style="mso-next-textbox:#_x0000_s1133">
              <w:txbxContent>
                <w:p w:rsidR="00532DA2" w:rsidRDefault="00532DA2" w:rsidP="00CD3ABF">
                  <w:pPr>
                    <w:jc w:val="center"/>
                    <w:rPr>
                      <w:rFonts w:ascii="Arial" w:hAnsi="Arial" w:cs="Arial"/>
                      <w:b/>
                      <w:sz w:val="20"/>
                    </w:rPr>
                  </w:pPr>
                  <w:r w:rsidRPr="00FD04A7">
                    <w:rPr>
                      <w:rFonts w:ascii="Arial" w:hAnsi="Arial" w:cs="Arial"/>
                      <w:b/>
                      <w:sz w:val="20"/>
                    </w:rPr>
                    <w:t>OPII</w:t>
                  </w:r>
                </w:p>
              </w:txbxContent>
            </v:textbox>
          </v:shape>
        </w:pict>
      </w:r>
      <w:r w:rsidRPr="00B75FBB">
        <w:rPr>
          <w:noProof/>
          <w:sz w:val="22"/>
          <w:szCs w:val="22"/>
        </w:rPr>
        <w:pict>
          <v:shape id="_x0000_s1129" type="#_x0000_t63" style="position:absolute;left:0;text-align:left;margin-left:67.6pt;margin-top:64.9pt;width:78.1pt;height:39.2pt;z-index:251662336" adj="19788,26807" fillcolor="white [3201]" strokecolor="#95b3d7 [1940]" strokeweight="1pt">
            <v:fill color2="#b8cce4 [1300]" focusposition="1" focussize="" focus="100%" type="gradient"/>
            <v:shadow on="t" type="perspective" color="#243f60 [1604]" opacity=".5" offset="1pt" offset2="-3pt"/>
            <v:textbox style="mso-next-textbox:#_x0000_s1129">
              <w:txbxContent>
                <w:p w:rsidR="00532DA2" w:rsidRDefault="00532DA2" w:rsidP="00CD3ABF">
                  <w:pPr>
                    <w:jc w:val="center"/>
                    <w:rPr>
                      <w:rFonts w:ascii="Arial" w:hAnsi="Arial" w:cs="Arial"/>
                      <w:sz w:val="20"/>
                    </w:rPr>
                  </w:pPr>
                  <w:r w:rsidRPr="00FD04A7">
                    <w:rPr>
                      <w:rFonts w:ascii="Arial" w:hAnsi="Arial" w:cs="Arial"/>
                      <w:sz w:val="20"/>
                    </w:rPr>
                    <w:t>Trolejové vedenie</w:t>
                  </w:r>
                </w:p>
              </w:txbxContent>
            </v:textbox>
          </v:shape>
        </w:pict>
      </w:r>
      <w:r w:rsidRPr="00B75FBB">
        <w:rPr>
          <w:noProof/>
          <w:sz w:val="22"/>
          <w:szCs w:val="22"/>
        </w:rPr>
        <w:pict>
          <v:shape id="_x0000_s1132" type="#_x0000_t63" style="position:absolute;left:0;text-align:left;margin-left:3.15pt;margin-top:145.4pt;width:90.25pt;height:55.7pt;z-index:251665408" adj="21133,2327" fillcolor="white [3201]" strokecolor="#d99594 [1941]" strokeweight="1pt">
            <v:fill color2="#e5b8b7 [1301]" focusposition="1" focussize="" focus="100%" type="gradient"/>
            <v:shadow on="t" type="perspective" color="#622423 [1605]" opacity=".5" offset="1pt" offset2="-3pt"/>
            <v:textbox style="mso-next-textbox:#_x0000_s1132">
              <w:txbxContent>
                <w:p w:rsidR="00532DA2" w:rsidRDefault="00532DA2" w:rsidP="00CD3ABF">
                  <w:pPr>
                    <w:jc w:val="center"/>
                    <w:rPr>
                      <w:rFonts w:ascii="Arial" w:hAnsi="Arial" w:cs="Arial"/>
                      <w:sz w:val="20"/>
                    </w:rPr>
                  </w:pPr>
                  <w:r w:rsidRPr="00FD04A7">
                    <w:rPr>
                      <w:rFonts w:ascii="Arial" w:hAnsi="Arial" w:cs="Arial"/>
                      <w:sz w:val="20"/>
                    </w:rPr>
                    <w:t>Vyhradený jazdný pruh pre MHD</w:t>
                  </w:r>
                </w:p>
              </w:txbxContent>
            </v:textbox>
          </v:shape>
        </w:pict>
      </w:r>
      <w:r w:rsidRPr="00B75FBB">
        <w:rPr>
          <w:noProof/>
          <w:sz w:val="22"/>
          <w:szCs w:val="22"/>
        </w:rPr>
        <w:pict>
          <v:shape id="_x0000_s1128" type="#_x0000_t63" style="position:absolute;left:0;text-align:left;margin-left:194.3pt;margin-top:80.65pt;width:77.75pt;height:27.65pt;z-index:251661312" adj="1334,29451" fillcolor="white [3201]" strokecolor="#95b3d7 [1940]" strokeweight="1pt">
            <v:fill color2="#b8cce4 [1300]" focusposition="1" focussize="" focus="100%" type="gradient"/>
            <v:shadow on="t" type="perspective" color="#243f60 [1604]" opacity=".5" offset="1pt" offset2="-3pt"/>
            <v:textbox style="mso-next-textbox:#_x0000_s1128">
              <w:txbxContent>
                <w:p w:rsidR="00532DA2" w:rsidRDefault="00532DA2" w:rsidP="00CD3ABF">
                  <w:pPr>
                    <w:jc w:val="center"/>
                    <w:rPr>
                      <w:rFonts w:ascii="Arial" w:hAnsi="Arial" w:cs="Arial"/>
                      <w:sz w:val="20"/>
                    </w:rPr>
                  </w:pPr>
                  <w:r w:rsidRPr="00FD04A7">
                    <w:rPr>
                      <w:rFonts w:ascii="Arial" w:hAnsi="Arial" w:cs="Arial"/>
                      <w:sz w:val="20"/>
                    </w:rPr>
                    <w:t>Električky</w:t>
                  </w:r>
                </w:p>
              </w:txbxContent>
            </v:textbox>
          </v:shape>
        </w:pict>
      </w:r>
      <w:r w:rsidRPr="00B75FBB">
        <w:rPr>
          <w:noProof/>
          <w:sz w:val="22"/>
          <w:szCs w:val="22"/>
        </w:rPr>
        <w:pict>
          <v:shape id="_x0000_s1131" type="#_x0000_t63" style="position:absolute;left:0;text-align:left;margin-left:350.15pt;margin-top:132.85pt;width:82.85pt;height:38.4pt;flip:x;z-index:251664384" adj="-926,-1238" fillcolor="white [3201]" strokecolor="#d99594 [1941]" strokeweight="1pt">
            <v:fill color2="#e5b8b7 [1301]" focusposition="1" focussize="" focus="100%" type="gradient"/>
            <v:shadow on="t" type="perspective" color="#622423 [1605]" opacity=".5" offset="1pt" offset2="-3pt"/>
            <v:textbox style="mso-next-textbox:#_x0000_s1131">
              <w:txbxContent>
                <w:p w:rsidR="00532DA2" w:rsidRDefault="00532DA2" w:rsidP="00CD3ABF">
                  <w:pPr>
                    <w:jc w:val="center"/>
                    <w:rPr>
                      <w:rFonts w:ascii="Arial" w:hAnsi="Arial" w:cs="Arial"/>
                      <w:sz w:val="20"/>
                    </w:rPr>
                  </w:pPr>
                  <w:r w:rsidRPr="00FD04A7">
                    <w:rPr>
                      <w:rFonts w:ascii="Arial" w:hAnsi="Arial" w:cs="Arial"/>
                      <w:sz w:val="20"/>
                    </w:rPr>
                    <w:t>Prestupný terminál</w:t>
                  </w:r>
                </w:p>
              </w:txbxContent>
            </v:textbox>
          </v:shape>
        </w:pict>
      </w:r>
      <w:r w:rsidRPr="00B75FBB">
        <w:rPr>
          <w:noProof/>
          <w:sz w:val="22"/>
          <w:szCs w:val="22"/>
        </w:rPr>
        <w:pict>
          <v:shape id="_x0000_s1127" type="#_x0000_t63" style="position:absolute;left:0;text-align:left;margin-left:326.2pt;margin-top:214pt;width:96.5pt;height:41.45pt;z-index:251660288" adj="1074,26837" fillcolor="white [3201]" strokecolor="#95b3d7 [1940]" strokeweight="1pt">
            <v:fill color2="#b8cce4 [1300]" focusposition="1" focussize="" focus="100%" type="gradient"/>
            <v:shadow on="t" type="perspective" color="#243f60 [1604]" opacity=".5" offset="1pt" offset2="-3pt"/>
            <v:textbox style="mso-next-textbox:#_x0000_s1127">
              <w:txbxContent>
                <w:p w:rsidR="00532DA2" w:rsidRDefault="00532DA2" w:rsidP="00CD3ABF">
                  <w:pPr>
                    <w:jc w:val="center"/>
                    <w:rPr>
                      <w:rFonts w:ascii="Arial" w:hAnsi="Arial" w:cs="Arial"/>
                      <w:sz w:val="20"/>
                    </w:rPr>
                  </w:pPr>
                  <w:r w:rsidRPr="00FD04A7">
                    <w:rPr>
                      <w:rFonts w:ascii="Arial" w:hAnsi="Arial" w:cs="Arial"/>
                      <w:sz w:val="20"/>
                    </w:rPr>
                    <w:t>Električková trať</w:t>
                  </w:r>
                </w:p>
              </w:txbxContent>
            </v:textbox>
          </v:shape>
        </w:pict>
      </w:r>
      <w:r>
        <w:rPr>
          <w:i/>
          <w:noProof/>
          <w:sz w:val="22"/>
          <w:szCs w:val="22"/>
        </w:rPr>
        <w:pict>
          <v:shape id="_x0000_s1135" type="#_x0000_t63" style="position:absolute;left:0;text-align:left;margin-left:93.4pt;margin-top:213.3pt;width:141.25pt;height:41.45pt;z-index:251668480" adj="14994,-9328" fillcolor="white [3201]" strokecolor="#d99594 [1941]" strokeweight="1pt">
            <v:fill color2="#e5b8b7 [1301]" focusposition="1" focussize="" focus="100%" type="gradient"/>
            <v:shadow on="t" type="perspective" color="#622423 [1605]" opacity=".5" offset="1pt" offset2="-3pt"/>
            <v:textbox style="mso-next-textbox:#_x0000_s1135">
              <w:txbxContent>
                <w:p w:rsidR="00532DA2" w:rsidRDefault="00532DA2" w:rsidP="00CD3ABF">
                  <w:pPr>
                    <w:jc w:val="center"/>
                    <w:rPr>
                      <w:rFonts w:ascii="Arial" w:hAnsi="Arial" w:cs="Arial"/>
                      <w:sz w:val="20"/>
                    </w:rPr>
                  </w:pPr>
                  <w:r w:rsidRPr="00FD04A7">
                    <w:rPr>
                      <w:rFonts w:ascii="Arial" w:hAnsi="Arial" w:cs="Arial"/>
                      <w:sz w:val="20"/>
                    </w:rPr>
                    <w:t>Signalizácia s preferenciou MHD</w:t>
                  </w:r>
                </w:p>
              </w:txbxContent>
            </v:textbox>
          </v:shape>
        </w:pict>
      </w:r>
      <w:r w:rsidRPr="00B75FBB">
        <w:rPr>
          <w:noProof/>
          <w:sz w:val="22"/>
          <w:szCs w:val="22"/>
        </w:rPr>
        <w:pict>
          <v:shape id="_x0000_s1130" type="#_x0000_t63" style="position:absolute;left:0;text-align:left;margin-left:304.85pt;margin-top:81.1pt;width:75.2pt;height:28.45pt;z-index:251663360" adj="1379,29230" fillcolor="white [3201]" strokecolor="#d99594 [1941]" strokeweight="1pt">
            <v:fill color2="#e5b8b7 [1301]" focusposition="1" focussize="" focus="100%" type="gradient"/>
            <v:shadow on="t" type="perspective" color="#622423 [1605]" opacity=".5" offset="1pt" offset2="-3pt"/>
            <v:textbox style="mso-next-textbox:#_x0000_s1130">
              <w:txbxContent>
                <w:p w:rsidR="00532DA2" w:rsidRDefault="00532DA2" w:rsidP="00CD3ABF">
                  <w:pPr>
                    <w:jc w:val="center"/>
                    <w:rPr>
                      <w:rFonts w:ascii="Arial" w:hAnsi="Arial" w:cs="Arial"/>
                      <w:sz w:val="20"/>
                    </w:rPr>
                  </w:pPr>
                  <w:r w:rsidRPr="00FD04A7">
                    <w:rPr>
                      <w:rFonts w:ascii="Arial" w:hAnsi="Arial" w:cs="Arial"/>
                      <w:sz w:val="20"/>
                    </w:rPr>
                    <w:t>Autobusy</w:t>
                  </w:r>
                </w:p>
              </w:txbxContent>
            </v:textbox>
          </v:shape>
        </w:pict>
      </w:r>
      <w:r w:rsidR="00CD3ABF">
        <w:rPr>
          <w:noProof/>
          <w:sz w:val="22"/>
          <w:szCs w:val="22"/>
        </w:rPr>
        <w:drawing>
          <wp:inline distT="0" distB="0" distL="0" distR="0">
            <wp:extent cx="5660809" cy="3456000"/>
            <wp:effectExtent l="19050" t="0" r="0" b="0"/>
            <wp:docPr id="50"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is.jpg"/>
                    <pic:cNvPicPr/>
                  </pic:nvPicPr>
                  <pic:blipFill>
                    <a:blip r:embed="rId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660809" cy="3456000"/>
                    </a:xfrm>
                    <a:prstGeom prst="rect">
                      <a:avLst/>
                    </a:prstGeom>
                  </pic:spPr>
                </pic:pic>
              </a:graphicData>
            </a:graphic>
          </wp:inline>
        </w:drawing>
      </w:r>
    </w:p>
    <w:p w:rsidR="00CD3ABF" w:rsidRDefault="00CD3ABF" w:rsidP="00CD3ABF">
      <w:pPr>
        <w:spacing w:before="300"/>
        <w:jc w:val="both"/>
        <w:rPr>
          <w:i/>
          <w:sz w:val="22"/>
          <w:szCs w:val="22"/>
        </w:rPr>
      </w:pPr>
    </w:p>
    <w:p w:rsidR="00197539" w:rsidRDefault="00197539">
      <w:pPr>
        <w:rPr>
          <w:snapToGrid w:val="0"/>
          <w:sz w:val="22"/>
          <w:szCs w:val="23"/>
          <w:lang w:eastAsia="cs-CZ"/>
        </w:rPr>
      </w:pPr>
      <w:r>
        <w:br w:type="page"/>
      </w:r>
    </w:p>
    <w:p w:rsidR="00CD3ABF" w:rsidRDefault="003E67A7" w:rsidP="003E67A7">
      <w:pPr>
        <w:pStyle w:val="Tab"/>
      </w:pPr>
      <w:r>
        <w:lastRenderedPageBreak/>
        <w:t>Komplementarita operačných programov vo vzťahu k informačnej spoločnosti</w:t>
      </w:r>
    </w:p>
    <w:tbl>
      <w:tblPr>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654"/>
        <w:gridCol w:w="1926"/>
        <w:gridCol w:w="1502"/>
        <w:gridCol w:w="4990"/>
      </w:tblGrid>
      <w:tr w:rsidR="007B15C4" w:rsidRPr="00AD2FA3" w:rsidTr="00A127CB">
        <w:trPr>
          <w:trHeight w:val="300"/>
          <w:jc w:val="center"/>
        </w:trPr>
        <w:tc>
          <w:tcPr>
            <w:tcW w:w="654" w:type="dxa"/>
            <w:shd w:val="clear" w:color="auto" w:fill="C6D9F1" w:themeFill="text2" w:themeFillTint="33"/>
            <w:noWrap/>
            <w:vAlign w:val="bottom"/>
            <w:hideMark/>
          </w:tcPr>
          <w:p w:rsidR="007B15C4" w:rsidRPr="00AD2FA3" w:rsidRDefault="007B15C4" w:rsidP="00F07429">
            <w:pPr>
              <w:pStyle w:val="09TableHeading"/>
              <w:rPr>
                <w:rFonts w:ascii="Times New Roman" w:hAnsi="Times New Roman" w:cs="Times New Roman"/>
                <w:b w:val="0"/>
                <w:color w:val="auto"/>
                <w:sz w:val="18"/>
                <w:szCs w:val="18"/>
              </w:rPr>
            </w:pPr>
            <w:r w:rsidRPr="00AD2FA3">
              <w:rPr>
                <w:rFonts w:ascii="Times New Roman" w:hAnsi="Times New Roman" w:cs="Times New Roman"/>
                <w:b w:val="0"/>
                <w:color w:val="auto"/>
                <w:sz w:val="18"/>
                <w:szCs w:val="18"/>
              </w:rPr>
              <w:t>OP</w:t>
            </w:r>
          </w:p>
        </w:tc>
        <w:tc>
          <w:tcPr>
            <w:tcW w:w="1926" w:type="dxa"/>
            <w:shd w:val="clear" w:color="auto" w:fill="C6D9F1" w:themeFill="text2" w:themeFillTint="33"/>
            <w:vAlign w:val="bottom"/>
            <w:hideMark/>
          </w:tcPr>
          <w:p w:rsidR="007B15C4" w:rsidRPr="00AD2FA3" w:rsidRDefault="007B15C4" w:rsidP="00F07429">
            <w:pPr>
              <w:pStyle w:val="09TableHeading"/>
              <w:rPr>
                <w:rFonts w:ascii="Times New Roman" w:hAnsi="Times New Roman" w:cs="Times New Roman"/>
                <w:b w:val="0"/>
                <w:color w:val="auto"/>
                <w:sz w:val="18"/>
                <w:szCs w:val="18"/>
              </w:rPr>
            </w:pPr>
            <w:r w:rsidRPr="00AD2FA3">
              <w:rPr>
                <w:rFonts w:ascii="Times New Roman" w:hAnsi="Times New Roman" w:cs="Times New Roman"/>
                <w:b w:val="0"/>
                <w:color w:val="auto"/>
                <w:sz w:val="18"/>
                <w:szCs w:val="18"/>
              </w:rPr>
              <w:t>Prioritná os</w:t>
            </w:r>
          </w:p>
        </w:tc>
        <w:tc>
          <w:tcPr>
            <w:tcW w:w="1502" w:type="dxa"/>
            <w:shd w:val="clear" w:color="auto" w:fill="C6D9F1" w:themeFill="text2" w:themeFillTint="33"/>
            <w:vAlign w:val="bottom"/>
            <w:hideMark/>
          </w:tcPr>
          <w:p w:rsidR="007B15C4" w:rsidRPr="00AD2FA3" w:rsidRDefault="007B15C4" w:rsidP="00F07429">
            <w:pPr>
              <w:pStyle w:val="09TableHeading"/>
              <w:rPr>
                <w:rFonts w:ascii="Times New Roman" w:hAnsi="Times New Roman" w:cs="Times New Roman"/>
                <w:b w:val="0"/>
                <w:color w:val="auto"/>
                <w:sz w:val="18"/>
                <w:szCs w:val="18"/>
              </w:rPr>
            </w:pPr>
            <w:r w:rsidRPr="00AD2FA3">
              <w:rPr>
                <w:rFonts w:ascii="Times New Roman" w:hAnsi="Times New Roman" w:cs="Times New Roman"/>
                <w:b w:val="0"/>
                <w:color w:val="auto"/>
                <w:sz w:val="18"/>
                <w:szCs w:val="18"/>
              </w:rPr>
              <w:t>OPII</w:t>
            </w:r>
          </w:p>
        </w:tc>
        <w:tc>
          <w:tcPr>
            <w:tcW w:w="4990" w:type="dxa"/>
            <w:shd w:val="clear" w:color="auto" w:fill="C6D9F1" w:themeFill="text2" w:themeFillTint="33"/>
            <w:noWrap/>
            <w:vAlign w:val="bottom"/>
            <w:hideMark/>
          </w:tcPr>
          <w:p w:rsidR="007B15C4" w:rsidRPr="00AD2FA3" w:rsidRDefault="007B15C4" w:rsidP="00F07429">
            <w:pPr>
              <w:pStyle w:val="09TableHeading"/>
              <w:rPr>
                <w:rFonts w:ascii="Times New Roman" w:hAnsi="Times New Roman" w:cs="Times New Roman"/>
                <w:b w:val="0"/>
                <w:color w:val="auto"/>
                <w:sz w:val="18"/>
                <w:szCs w:val="18"/>
              </w:rPr>
            </w:pPr>
            <w:r w:rsidRPr="00AD2FA3">
              <w:rPr>
                <w:rFonts w:ascii="Times New Roman" w:hAnsi="Times New Roman" w:cs="Times New Roman"/>
                <w:b w:val="0"/>
                <w:color w:val="auto"/>
                <w:sz w:val="18"/>
                <w:szCs w:val="18"/>
              </w:rPr>
              <w:t>Vzájomná synergia/deliaca línia</w:t>
            </w:r>
          </w:p>
        </w:tc>
      </w:tr>
      <w:tr w:rsidR="00FA0B29" w:rsidRPr="00B02869" w:rsidTr="00A127CB">
        <w:trPr>
          <w:trHeight w:val="1860"/>
          <w:jc w:val="center"/>
        </w:trPr>
        <w:tc>
          <w:tcPr>
            <w:tcW w:w="654" w:type="dxa"/>
            <w:shd w:val="clear" w:color="auto" w:fill="auto"/>
            <w:noWrap/>
            <w:hideMark/>
          </w:tcPr>
          <w:p w:rsidR="00FA0B29" w:rsidRPr="00B02869" w:rsidRDefault="00FA0B29" w:rsidP="00F07429">
            <w:pPr>
              <w:pStyle w:val="08TableText"/>
              <w:jc w:val="left"/>
              <w:rPr>
                <w:rFonts w:ascii="Times New Roman" w:hAnsi="Times New Roman" w:cs="Times New Roman"/>
                <w:sz w:val="18"/>
                <w:szCs w:val="18"/>
              </w:rPr>
            </w:pPr>
            <w:r w:rsidRPr="00B02869">
              <w:rPr>
                <w:rFonts w:ascii="Times New Roman" w:hAnsi="Times New Roman" w:cs="Times New Roman"/>
                <w:sz w:val="18"/>
                <w:szCs w:val="18"/>
              </w:rPr>
              <w:t>EVS</w:t>
            </w:r>
          </w:p>
        </w:tc>
        <w:tc>
          <w:tcPr>
            <w:tcW w:w="1926" w:type="dxa"/>
            <w:shd w:val="clear" w:color="auto" w:fill="auto"/>
            <w:hideMark/>
          </w:tcPr>
          <w:p w:rsidR="00FA0B29" w:rsidRPr="00B02869" w:rsidRDefault="00FA0B29" w:rsidP="00F07429">
            <w:pPr>
              <w:pStyle w:val="08TableText"/>
              <w:jc w:val="left"/>
              <w:rPr>
                <w:rFonts w:ascii="Times New Roman" w:hAnsi="Times New Roman" w:cs="Times New Roman"/>
                <w:sz w:val="18"/>
                <w:szCs w:val="18"/>
              </w:rPr>
            </w:pPr>
            <w:r w:rsidRPr="00B02869">
              <w:rPr>
                <w:rFonts w:ascii="Times New Roman" w:hAnsi="Times New Roman" w:cs="Times New Roman"/>
                <w:sz w:val="18"/>
                <w:szCs w:val="18"/>
              </w:rPr>
              <w:t>Prioritná os 1 – Posilňovanie inštitucionálnych kapacít a</w:t>
            </w:r>
            <w:r>
              <w:rPr>
                <w:rFonts w:ascii="Times New Roman" w:hAnsi="Times New Roman" w:cs="Times New Roman"/>
                <w:sz w:val="18"/>
                <w:szCs w:val="18"/>
              </w:rPr>
              <w:t> </w:t>
            </w:r>
            <w:r w:rsidRPr="00B02869">
              <w:rPr>
                <w:rFonts w:ascii="Times New Roman" w:hAnsi="Times New Roman" w:cs="Times New Roman"/>
                <w:sz w:val="18"/>
                <w:szCs w:val="18"/>
              </w:rPr>
              <w:t>efektívnosti verejnej správy</w:t>
            </w:r>
          </w:p>
        </w:tc>
        <w:tc>
          <w:tcPr>
            <w:tcW w:w="1502" w:type="dxa"/>
            <w:vMerge w:val="restart"/>
            <w:shd w:val="clear" w:color="auto" w:fill="auto"/>
            <w:vAlign w:val="center"/>
            <w:hideMark/>
          </w:tcPr>
          <w:p w:rsidR="00E92F9B" w:rsidRDefault="00FA0B29">
            <w:pPr>
              <w:pStyle w:val="08TableText"/>
              <w:jc w:val="left"/>
              <w:rPr>
                <w:rFonts w:ascii="Times New Roman" w:hAnsi="Times New Roman" w:cs="Times New Roman"/>
                <w:b/>
                <w:bCs/>
                <w:i/>
                <w:color w:val="548DD4" w:themeColor="text2" w:themeTint="99"/>
                <w:sz w:val="18"/>
                <w:szCs w:val="18"/>
              </w:rPr>
            </w:pPr>
            <w:r>
              <w:rPr>
                <w:rFonts w:ascii="Times New Roman" w:hAnsi="Times New Roman" w:cs="Times New Roman"/>
                <w:sz w:val="18"/>
                <w:szCs w:val="18"/>
              </w:rPr>
              <w:t>Prioritná os 7 Informačná</w:t>
            </w:r>
            <w:r w:rsidRPr="00B02869">
              <w:rPr>
                <w:rFonts w:ascii="Times New Roman" w:hAnsi="Times New Roman" w:cs="Times New Roman"/>
                <w:sz w:val="18"/>
                <w:szCs w:val="18"/>
              </w:rPr>
              <w:t xml:space="preserve"> spoločnos</w:t>
            </w:r>
            <w:r>
              <w:rPr>
                <w:rFonts w:ascii="Times New Roman" w:hAnsi="Times New Roman" w:cs="Times New Roman"/>
                <w:sz w:val="18"/>
                <w:szCs w:val="18"/>
              </w:rPr>
              <w:t>ť</w:t>
            </w:r>
          </w:p>
          <w:p w:rsidR="00E92F9B" w:rsidRDefault="00E92F9B">
            <w:pPr>
              <w:pStyle w:val="08TableText"/>
              <w:jc w:val="left"/>
              <w:rPr>
                <w:rFonts w:ascii="Times New Roman" w:hAnsi="Times New Roman" w:cs="Times New Roman"/>
                <w:sz w:val="18"/>
                <w:szCs w:val="18"/>
              </w:rPr>
            </w:pPr>
          </w:p>
        </w:tc>
        <w:tc>
          <w:tcPr>
            <w:tcW w:w="4990" w:type="dxa"/>
            <w:shd w:val="clear" w:color="auto" w:fill="auto"/>
            <w:hideMark/>
          </w:tcPr>
          <w:p w:rsidR="00FA0B29" w:rsidRPr="004B5305" w:rsidRDefault="00FA0B29" w:rsidP="00F07429">
            <w:pPr>
              <w:spacing w:before="60" w:after="60"/>
              <w:jc w:val="both"/>
              <w:rPr>
                <w:rFonts w:eastAsia="Calibri"/>
                <w:sz w:val="18"/>
                <w:szCs w:val="18"/>
                <w:lang w:eastAsia="en-US"/>
              </w:rPr>
            </w:pPr>
            <w:r>
              <w:rPr>
                <w:rFonts w:eastAsia="Calibri"/>
                <w:sz w:val="18"/>
                <w:szCs w:val="18"/>
                <w:lang w:eastAsia="en-US"/>
              </w:rPr>
              <w:t>OP</w:t>
            </w:r>
            <w:r w:rsidRPr="004B5305">
              <w:rPr>
                <w:rFonts w:eastAsia="Calibri"/>
                <w:sz w:val="18"/>
                <w:szCs w:val="18"/>
                <w:lang w:eastAsia="en-US"/>
              </w:rPr>
              <w:t>II podporí proje</w:t>
            </w:r>
            <w:r>
              <w:rPr>
                <w:rFonts w:eastAsia="Calibri"/>
                <w:sz w:val="18"/>
                <w:szCs w:val="18"/>
                <w:lang w:eastAsia="en-US"/>
              </w:rPr>
              <w:t>kty informatizácie vyplývajúce z</w:t>
            </w:r>
            <w:r w:rsidRPr="004B5305">
              <w:rPr>
                <w:rFonts w:eastAsia="Calibri"/>
                <w:sz w:val="18"/>
                <w:szCs w:val="18"/>
                <w:lang w:eastAsia="en-US"/>
              </w:rPr>
              <w:t xml:space="preserve"> reformy </w:t>
            </w:r>
            <w:r>
              <w:rPr>
                <w:rFonts w:eastAsia="Calibri"/>
                <w:sz w:val="18"/>
                <w:szCs w:val="18"/>
                <w:lang w:eastAsia="en-US"/>
              </w:rPr>
              <w:t>VS</w:t>
            </w:r>
            <w:r w:rsidRPr="004B5305">
              <w:rPr>
                <w:rFonts w:eastAsia="Calibri"/>
                <w:sz w:val="18"/>
                <w:szCs w:val="18"/>
                <w:lang w:eastAsia="en-US"/>
              </w:rPr>
              <w:t xml:space="preserve">, ktoré realizujú: </w:t>
            </w:r>
          </w:p>
          <w:p w:rsidR="00FA0B29" w:rsidRDefault="00FA0B29" w:rsidP="00F07429">
            <w:pPr>
              <w:pStyle w:val="08Bullet1"/>
              <w:spacing w:after="0"/>
              <w:ind w:left="206" w:hanging="206"/>
              <w:rPr>
                <w:sz w:val="18"/>
                <w:szCs w:val="18"/>
              </w:rPr>
            </w:pPr>
            <w:r w:rsidRPr="00BD7CE9">
              <w:rPr>
                <w:sz w:val="18"/>
                <w:szCs w:val="18"/>
              </w:rPr>
              <w:t>implementáciu politík;</w:t>
            </w:r>
          </w:p>
          <w:p w:rsidR="00FA0B29" w:rsidRDefault="00FA0B29" w:rsidP="00F07429">
            <w:pPr>
              <w:pStyle w:val="08Bullet1"/>
              <w:spacing w:after="0"/>
              <w:ind w:left="206" w:hanging="206"/>
              <w:rPr>
                <w:sz w:val="18"/>
              </w:rPr>
            </w:pPr>
            <w:r w:rsidRPr="004B5305">
              <w:rPr>
                <w:sz w:val="18"/>
              </w:rPr>
              <w:t xml:space="preserve">organizačnú zmenu inštitúcií </w:t>
            </w:r>
            <w:r>
              <w:rPr>
                <w:sz w:val="18"/>
              </w:rPr>
              <w:t>VS</w:t>
            </w:r>
            <w:r w:rsidRPr="004B5305">
              <w:rPr>
                <w:sz w:val="18"/>
              </w:rPr>
              <w:t>;</w:t>
            </w:r>
          </w:p>
          <w:p w:rsidR="00FA0B29" w:rsidRDefault="00FA0B29" w:rsidP="00F07429">
            <w:pPr>
              <w:pStyle w:val="08Bullet1"/>
              <w:spacing w:after="0"/>
              <w:ind w:left="206" w:hanging="206"/>
              <w:rPr>
                <w:sz w:val="18"/>
              </w:rPr>
            </w:pPr>
            <w:r w:rsidRPr="004B5305">
              <w:rPr>
                <w:sz w:val="18"/>
              </w:rPr>
              <w:t>konkrétne návrhy optimalizovaných procesov;</w:t>
            </w:r>
          </w:p>
          <w:p w:rsidR="00FA0B29" w:rsidRDefault="00FA0B29" w:rsidP="00F07429">
            <w:pPr>
              <w:pStyle w:val="08Bullet1"/>
              <w:spacing w:after="0"/>
              <w:ind w:left="206" w:hanging="206"/>
              <w:rPr>
                <w:sz w:val="18"/>
              </w:rPr>
            </w:pPr>
            <w:r w:rsidRPr="004B5305">
              <w:rPr>
                <w:sz w:val="18"/>
              </w:rPr>
              <w:t xml:space="preserve">nové metódy používané vo </w:t>
            </w:r>
            <w:r>
              <w:rPr>
                <w:sz w:val="18"/>
              </w:rPr>
              <w:t>VS</w:t>
            </w:r>
            <w:r w:rsidRPr="004B5305">
              <w:rPr>
                <w:sz w:val="18"/>
              </w:rPr>
              <w:t>.</w:t>
            </w:r>
          </w:p>
          <w:p w:rsidR="00FA0B29" w:rsidRDefault="00FA0B29" w:rsidP="00F07429">
            <w:pPr>
              <w:spacing w:before="60" w:after="60"/>
              <w:jc w:val="both"/>
              <w:rPr>
                <w:rFonts w:eastAsia="Calibri"/>
                <w:sz w:val="18"/>
                <w:szCs w:val="18"/>
                <w:lang w:eastAsia="en-US"/>
              </w:rPr>
            </w:pPr>
            <w:r>
              <w:rPr>
                <w:rFonts w:eastAsia="Calibri"/>
                <w:sz w:val="18"/>
                <w:szCs w:val="18"/>
                <w:lang w:eastAsia="en-US"/>
              </w:rPr>
              <w:t>V rámci OP</w:t>
            </w:r>
            <w:r w:rsidRPr="004B5305">
              <w:rPr>
                <w:rFonts w:eastAsia="Calibri"/>
                <w:sz w:val="18"/>
                <w:szCs w:val="18"/>
                <w:lang w:eastAsia="en-US"/>
              </w:rPr>
              <w:t>II bude nástrojmi IKT podporený každý špecifický cieľ</w:t>
            </w:r>
            <w:r>
              <w:rPr>
                <w:rFonts w:eastAsia="Calibri"/>
                <w:sz w:val="18"/>
                <w:szCs w:val="18"/>
                <w:lang w:eastAsia="en-US"/>
              </w:rPr>
              <w:t xml:space="preserve"> OP EVS</w:t>
            </w:r>
            <w:r w:rsidRPr="004B5305">
              <w:rPr>
                <w:rFonts w:eastAsia="Calibri"/>
                <w:sz w:val="18"/>
                <w:szCs w:val="18"/>
                <w:lang w:eastAsia="en-US"/>
              </w:rPr>
              <w:t>:</w:t>
            </w:r>
          </w:p>
          <w:p w:rsidR="00E92F9B" w:rsidRDefault="001218A8" w:rsidP="00FE6025">
            <w:pPr>
              <w:pStyle w:val="Odsekzoznamu"/>
              <w:numPr>
                <w:ilvl w:val="0"/>
                <w:numId w:val="71"/>
              </w:numPr>
              <w:spacing w:before="60" w:after="60"/>
              <w:ind w:left="206" w:hanging="206"/>
              <w:jc w:val="both"/>
              <w:rPr>
                <w:rFonts w:eastAsia="Calibri"/>
                <w:b/>
                <w:sz w:val="18"/>
                <w:szCs w:val="18"/>
                <w:lang w:eastAsia="en-US"/>
              </w:rPr>
            </w:pPr>
            <w:r w:rsidRPr="001218A8">
              <w:rPr>
                <w:rFonts w:eastAsia="Calibri"/>
                <w:b/>
                <w:sz w:val="18"/>
                <w:szCs w:val="18"/>
                <w:lang w:eastAsia="en-US"/>
              </w:rPr>
              <w:t>Špecifický cieľ 1: Zvyšovanie účinnosti politík verejnej správy</w:t>
            </w:r>
          </w:p>
          <w:p w:rsidR="00E92F9B" w:rsidRDefault="001218A8">
            <w:pPr>
              <w:pStyle w:val="08Bullet1"/>
              <w:spacing w:after="0"/>
              <w:ind w:left="206" w:hanging="206"/>
              <w:rPr>
                <w:sz w:val="18"/>
              </w:rPr>
            </w:pPr>
            <w:r w:rsidRPr="001218A8">
              <w:rPr>
                <w:sz w:val="18"/>
              </w:rPr>
              <w:t>Zefektívnenie justičného systému a vymožiteľnosti práva</w:t>
            </w:r>
          </w:p>
          <w:p w:rsidR="00E92F9B" w:rsidRDefault="00FA0B29">
            <w:pPr>
              <w:pStyle w:val="08Bullet1"/>
              <w:spacing w:after="0"/>
              <w:ind w:left="206" w:hanging="206"/>
              <w:rPr>
                <w:sz w:val="18"/>
              </w:rPr>
            </w:pPr>
            <w:r>
              <w:rPr>
                <w:sz w:val="18"/>
              </w:rPr>
              <w:t>Zamedzenie korupcie a podpora transparentnosti</w:t>
            </w:r>
          </w:p>
          <w:p w:rsidR="00E92F9B" w:rsidRDefault="00FA0B29">
            <w:pPr>
              <w:pStyle w:val="08Bullet1"/>
              <w:spacing w:after="0"/>
              <w:ind w:left="206" w:hanging="206"/>
              <w:rPr>
                <w:sz w:val="18"/>
              </w:rPr>
            </w:pPr>
            <w:r>
              <w:rPr>
                <w:sz w:val="18"/>
              </w:rPr>
              <w:t>Podpora sociálneho dialógu prostredníctvom budovania kapacít a spolupráce verejnej správy so sociálnymi a ekonomickými partnermi a občianskou spoločnosťou</w:t>
            </w:r>
          </w:p>
          <w:p w:rsidR="00E92F9B" w:rsidRDefault="001218A8">
            <w:pPr>
              <w:pStyle w:val="08Bullet1"/>
              <w:spacing w:after="0"/>
              <w:ind w:left="206" w:hanging="206"/>
              <w:rPr>
                <w:sz w:val="18"/>
              </w:rPr>
            </w:pPr>
            <w:r w:rsidRPr="001218A8">
              <w:rPr>
                <w:sz w:val="18"/>
              </w:rPr>
              <w:t>Zefektívnenie verejného obstarávania</w:t>
            </w:r>
          </w:p>
          <w:p w:rsidR="00E92F9B" w:rsidRDefault="001218A8">
            <w:pPr>
              <w:pStyle w:val="08Bullet1"/>
              <w:spacing w:after="0"/>
              <w:ind w:left="206" w:hanging="206"/>
              <w:rPr>
                <w:sz w:val="18"/>
              </w:rPr>
            </w:pPr>
            <w:r w:rsidRPr="001218A8">
              <w:rPr>
                <w:sz w:val="18"/>
              </w:rPr>
              <w:t>Zefektívnenie finančnej správy</w:t>
            </w:r>
          </w:p>
          <w:p w:rsidR="00E92F9B" w:rsidRDefault="001218A8" w:rsidP="00FE6025">
            <w:pPr>
              <w:pStyle w:val="Odsekzoznamu"/>
              <w:numPr>
                <w:ilvl w:val="0"/>
                <w:numId w:val="71"/>
              </w:numPr>
              <w:spacing w:before="60" w:after="60"/>
              <w:ind w:left="206" w:hanging="206"/>
              <w:jc w:val="both"/>
              <w:rPr>
                <w:rFonts w:eastAsia="Calibri"/>
                <w:b/>
                <w:noProof/>
                <w:sz w:val="18"/>
                <w:szCs w:val="18"/>
                <w:lang w:eastAsia="en-US"/>
              </w:rPr>
            </w:pPr>
            <w:r w:rsidRPr="001218A8">
              <w:rPr>
                <w:rFonts w:eastAsia="Calibri"/>
                <w:b/>
                <w:sz w:val="18"/>
                <w:szCs w:val="18"/>
                <w:lang w:eastAsia="en-US"/>
              </w:rPr>
              <w:t>Špecifický cieľ 2: rozvoj ľudských zdrojov vo verejnej správe a posilnenie analytických kapacít vo väzbe na realizáciu reformy verejnej správy</w:t>
            </w:r>
          </w:p>
          <w:p w:rsidR="00E92F9B" w:rsidRDefault="001218A8" w:rsidP="00FE6025">
            <w:pPr>
              <w:pStyle w:val="Odsekzoznamu"/>
              <w:numPr>
                <w:ilvl w:val="0"/>
                <w:numId w:val="71"/>
              </w:numPr>
              <w:spacing w:before="60" w:after="60"/>
              <w:ind w:left="206" w:hanging="206"/>
              <w:jc w:val="both"/>
              <w:rPr>
                <w:rFonts w:eastAsia="Calibri"/>
                <w:b/>
                <w:noProof/>
                <w:sz w:val="18"/>
                <w:szCs w:val="18"/>
                <w:lang w:eastAsia="en-US"/>
              </w:rPr>
            </w:pPr>
            <w:r w:rsidRPr="001218A8">
              <w:rPr>
                <w:rFonts w:eastAsia="Calibri"/>
                <w:b/>
                <w:sz w:val="18"/>
                <w:szCs w:val="18"/>
                <w:lang w:eastAsia="en-US"/>
              </w:rPr>
              <w:t>Špecifický cieľ 3: Integrácia a optimalizácia procesov a štruktúry verejnej správy</w:t>
            </w:r>
          </w:p>
          <w:p w:rsidR="00E92F9B" w:rsidRDefault="001218A8" w:rsidP="00FE6025">
            <w:pPr>
              <w:pStyle w:val="Odsekzoznamu"/>
              <w:numPr>
                <w:ilvl w:val="0"/>
                <w:numId w:val="71"/>
              </w:numPr>
              <w:spacing w:before="60" w:after="60"/>
              <w:ind w:left="206" w:hanging="206"/>
              <w:jc w:val="both"/>
              <w:rPr>
                <w:rFonts w:eastAsia="Calibri"/>
                <w:b/>
                <w:sz w:val="18"/>
                <w:szCs w:val="18"/>
                <w:lang w:eastAsia="en-US"/>
              </w:rPr>
            </w:pPr>
            <w:r w:rsidRPr="001218A8">
              <w:rPr>
                <w:rFonts w:eastAsia="Calibri"/>
                <w:b/>
                <w:sz w:val="18"/>
                <w:szCs w:val="18"/>
                <w:lang w:eastAsia="en-US"/>
              </w:rPr>
              <w:t>Špecifický cieľ 4: zvýšenie výkonu verejnej správy v Bratislavskom samosprávnom kraji</w:t>
            </w:r>
          </w:p>
          <w:p w:rsidR="00FA0B29" w:rsidRDefault="00FA0B29" w:rsidP="00F07429">
            <w:pPr>
              <w:pStyle w:val="08TableText"/>
              <w:rPr>
                <w:rFonts w:ascii="Times New Roman" w:eastAsia="Times New Roman" w:hAnsi="Times New Roman" w:cs="Times New Roman"/>
                <w:sz w:val="18"/>
                <w:szCs w:val="18"/>
                <w:lang w:eastAsia="sk-SK"/>
              </w:rPr>
            </w:pPr>
            <w:r w:rsidRPr="004B5305">
              <w:rPr>
                <w:rFonts w:ascii="Times New Roman" w:eastAsia="Times New Roman" w:hAnsi="Times New Roman" w:cs="Times New Roman"/>
                <w:sz w:val="18"/>
                <w:szCs w:val="18"/>
                <w:lang w:eastAsia="sk-SK"/>
              </w:rPr>
              <w:t xml:space="preserve">EVS tak bude financovať </w:t>
            </w:r>
            <w:r>
              <w:rPr>
                <w:rFonts w:ascii="Times New Roman" w:eastAsia="Times New Roman" w:hAnsi="Times New Roman" w:cs="Times New Roman"/>
                <w:sz w:val="18"/>
                <w:szCs w:val="18"/>
                <w:lang w:eastAsia="sk-SK"/>
              </w:rPr>
              <w:t xml:space="preserve">projekty </w:t>
            </w:r>
            <w:r w:rsidR="001218A8" w:rsidRPr="001218A8">
              <w:rPr>
                <w:rFonts w:ascii="Times New Roman" w:eastAsia="Times New Roman" w:hAnsi="Times New Roman" w:cs="Times New Roman"/>
                <w:sz w:val="18"/>
                <w:szCs w:val="18"/>
                <w:lang w:eastAsia="sk-SK"/>
              </w:rPr>
              <w:t>zamerané na zmenu a zlepšenie procesov a fungovanie VS</w:t>
            </w:r>
            <w:r w:rsidRPr="004B5305" w:rsidDel="0092704A">
              <w:rPr>
                <w:rFonts w:ascii="Times New Roman" w:eastAsia="Times New Roman" w:hAnsi="Times New Roman" w:cs="Times New Roman"/>
                <w:sz w:val="18"/>
                <w:szCs w:val="18"/>
                <w:lang w:eastAsia="sk-SK"/>
              </w:rPr>
              <w:t xml:space="preserve"> </w:t>
            </w:r>
            <w:r>
              <w:rPr>
                <w:rFonts w:ascii="Times New Roman" w:eastAsia="Times New Roman" w:hAnsi="Times New Roman" w:cs="Times New Roman"/>
                <w:sz w:val="18"/>
                <w:szCs w:val="18"/>
                <w:lang w:eastAsia="sk-SK"/>
              </w:rPr>
              <w:t>z ESF, OP</w:t>
            </w:r>
            <w:r w:rsidRPr="004B5305">
              <w:rPr>
                <w:rFonts w:ascii="Times New Roman" w:eastAsia="Times New Roman" w:hAnsi="Times New Roman" w:cs="Times New Roman"/>
                <w:sz w:val="18"/>
                <w:szCs w:val="18"/>
                <w:lang w:eastAsia="sk-SK"/>
              </w:rPr>
              <w:t xml:space="preserve">II bude financovať informatické projekty zamerané na podporu reformy </w:t>
            </w:r>
            <w:r>
              <w:rPr>
                <w:rFonts w:ascii="Times New Roman" w:eastAsia="Times New Roman" w:hAnsi="Times New Roman" w:cs="Times New Roman"/>
                <w:sz w:val="18"/>
                <w:szCs w:val="18"/>
                <w:lang w:eastAsia="sk-SK"/>
              </w:rPr>
              <w:t xml:space="preserve">VS, </w:t>
            </w:r>
            <w:r w:rsidR="001218A8" w:rsidRPr="001218A8">
              <w:rPr>
                <w:rFonts w:ascii="Times New Roman" w:eastAsia="Times New Roman" w:hAnsi="Times New Roman" w:cs="Times New Roman"/>
                <w:sz w:val="18"/>
                <w:szCs w:val="18"/>
                <w:lang w:eastAsia="sk-SK"/>
              </w:rPr>
              <w:t>boj proti korupcii a podvodom a podporu krízového riadenia</w:t>
            </w:r>
            <w:r w:rsidRPr="004B5305">
              <w:rPr>
                <w:rFonts w:ascii="Times New Roman" w:eastAsia="Times New Roman" w:hAnsi="Times New Roman" w:cs="Times New Roman"/>
                <w:sz w:val="18"/>
                <w:szCs w:val="18"/>
                <w:lang w:eastAsia="sk-SK"/>
              </w:rPr>
              <w:t xml:space="preserve"> z</w:t>
            </w:r>
            <w:r>
              <w:rPr>
                <w:rFonts w:ascii="Times New Roman" w:eastAsia="Times New Roman" w:hAnsi="Times New Roman" w:cs="Times New Roman"/>
                <w:sz w:val="18"/>
                <w:szCs w:val="18"/>
                <w:lang w:eastAsia="sk-SK"/>
              </w:rPr>
              <w:t> EFRR.</w:t>
            </w:r>
            <w:r w:rsidR="001218A8" w:rsidRPr="001218A8">
              <w:rPr>
                <w:rFonts w:ascii="Times New Roman" w:eastAsia="Times New Roman" w:hAnsi="Times New Roman" w:cs="Times New Roman"/>
                <w:sz w:val="18"/>
                <w:szCs w:val="18"/>
                <w:lang w:eastAsia="sk-SK"/>
              </w:rPr>
              <w:t xml:space="preserve"> </w:t>
            </w:r>
            <w:r>
              <w:rPr>
                <w:rFonts w:ascii="Times New Roman" w:eastAsia="Times New Roman" w:hAnsi="Times New Roman" w:cs="Times New Roman"/>
                <w:sz w:val="18"/>
                <w:szCs w:val="18"/>
                <w:lang w:eastAsia="sk-SK"/>
              </w:rPr>
              <w:t>Takéto</w:t>
            </w:r>
            <w:r w:rsidRPr="005E7CAE">
              <w:rPr>
                <w:rFonts w:ascii="Times New Roman" w:eastAsia="Times New Roman" w:hAnsi="Times New Roman" w:cs="Times New Roman"/>
                <w:sz w:val="18"/>
                <w:szCs w:val="18"/>
                <w:lang w:eastAsia="sk-SK"/>
              </w:rPr>
              <w:t xml:space="preserve"> projekt</w:t>
            </w:r>
            <w:r>
              <w:rPr>
                <w:rFonts w:ascii="Times New Roman" w:eastAsia="Times New Roman" w:hAnsi="Times New Roman" w:cs="Times New Roman"/>
                <w:sz w:val="18"/>
                <w:szCs w:val="18"/>
                <w:lang w:eastAsia="sk-SK"/>
              </w:rPr>
              <w:t>y</w:t>
            </w:r>
            <w:r w:rsidRPr="005E7CAE">
              <w:rPr>
                <w:rFonts w:ascii="Times New Roman" w:eastAsia="Times New Roman" w:hAnsi="Times New Roman" w:cs="Times New Roman"/>
                <w:sz w:val="18"/>
                <w:szCs w:val="18"/>
                <w:lang w:eastAsia="sk-SK"/>
              </w:rPr>
              <w:t xml:space="preserve"> bud</w:t>
            </w:r>
            <w:r>
              <w:rPr>
                <w:rFonts w:ascii="Times New Roman" w:eastAsia="Times New Roman" w:hAnsi="Times New Roman" w:cs="Times New Roman"/>
                <w:sz w:val="18"/>
                <w:szCs w:val="18"/>
                <w:lang w:eastAsia="sk-SK"/>
              </w:rPr>
              <w:t>ú</w:t>
            </w:r>
            <w:r w:rsidRPr="005E7CAE">
              <w:rPr>
                <w:rFonts w:ascii="Times New Roman" w:eastAsia="Times New Roman" w:hAnsi="Times New Roman" w:cs="Times New Roman"/>
                <w:sz w:val="18"/>
                <w:szCs w:val="18"/>
                <w:lang w:eastAsia="sk-SK"/>
              </w:rPr>
              <w:t xml:space="preserve"> s OP EVS koordinovaná podľa koordinačného mechanizmu</w:t>
            </w:r>
            <w:r>
              <w:rPr>
                <w:rFonts w:ascii="Times New Roman" w:eastAsia="Times New Roman" w:hAnsi="Times New Roman" w:cs="Times New Roman"/>
                <w:sz w:val="18"/>
                <w:szCs w:val="18"/>
                <w:lang w:eastAsia="sk-SK"/>
              </w:rPr>
              <w:t>, ktorý vychádza z nasledovných východísk:</w:t>
            </w:r>
          </w:p>
          <w:p w:rsidR="00FA0B29" w:rsidRPr="00C06BA3" w:rsidRDefault="00FA0B29" w:rsidP="00F07429">
            <w:pPr>
              <w:jc w:val="both"/>
              <w:rPr>
                <w:sz w:val="18"/>
                <w:szCs w:val="18"/>
              </w:rPr>
            </w:pPr>
            <w:r w:rsidRPr="00C06BA3">
              <w:rPr>
                <w:sz w:val="18"/>
                <w:szCs w:val="18"/>
              </w:rPr>
              <w:t>Reforma VS určuje obsahovú náplň pre OP EVS a čiastočne pre OP II, ktorých spoločným cieľom je efektívna VS</w:t>
            </w:r>
            <w:r>
              <w:rPr>
                <w:sz w:val="18"/>
                <w:szCs w:val="18"/>
              </w:rPr>
              <w:t xml:space="preserve">, </w:t>
            </w:r>
            <w:r w:rsidRPr="00C06BA3">
              <w:rPr>
                <w:sz w:val="18"/>
                <w:szCs w:val="18"/>
              </w:rPr>
              <w:t>OP EVS definuje dizajn z</w:t>
            </w:r>
            <w:r>
              <w:rPr>
                <w:sz w:val="18"/>
                <w:szCs w:val="18"/>
              </w:rPr>
              <w:t xml:space="preserve">mien organizácie a procesov VS, pričom </w:t>
            </w:r>
            <w:r w:rsidRPr="00C06BA3">
              <w:rPr>
                <w:sz w:val="18"/>
                <w:szCs w:val="18"/>
              </w:rPr>
              <w:t>ich presadenie do praxe a dosiahnutie cieľovej úrovne efektívnosti služieb VS a účinnosti politík je podmienené ISVS a elektronickými službami na ich podporu</w:t>
            </w:r>
            <w:r>
              <w:rPr>
                <w:sz w:val="18"/>
                <w:szCs w:val="18"/>
              </w:rPr>
              <w:t xml:space="preserve">. </w:t>
            </w:r>
            <w:r w:rsidRPr="00C06BA3">
              <w:rPr>
                <w:sz w:val="18"/>
                <w:szCs w:val="18"/>
              </w:rPr>
              <w:t xml:space="preserve">OP II realizuje investície </w:t>
            </w:r>
            <w:r>
              <w:rPr>
                <w:sz w:val="18"/>
                <w:szCs w:val="18"/>
              </w:rPr>
              <w:t xml:space="preserve">do ISVS a služieb eGovernmentu, </w:t>
            </w:r>
            <w:r w:rsidRPr="00C06BA3">
              <w:rPr>
                <w:sz w:val="18"/>
                <w:szCs w:val="18"/>
              </w:rPr>
              <w:t>ich implementácia je podmienená zmenou procesov a organizácie VS; realizuje národné projekty komplementárne k  OP EVS.</w:t>
            </w:r>
          </w:p>
          <w:p w:rsidR="00FA0B29" w:rsidRPr="00C06BA3" w:rsidRDefault="00FA0B29" w:rsidP="00F07429">
            <w:pPr>
              <w:pStyle w:val="08TableText"/>
              <w:spacing w:before="0" w:after="0"/>
              <w:rPr>
                <w:rFonts w:ascii="Times New Roman" w:eastAsia="Times New Roman" w:hAnsi="Times New Roman" w:cs="Times New Roman"/>
                <w:sz w:val="18"/>
                <w:szCs w:val="18"/>
                <w:lang w:eastAsia="sk-SK"/>
              </w:rPr>
            </w:pPr>
          </w:p>
          <w:p w:rsidR="00FA0B29" w:rsidRPr="00C06BA3" w:rsidRDefault="00FA0B29" w:rsidP="00F07429">
            <w:pPr>
              <w:jc w:val="both"/>
              <w:rPr>
                <w:sz w:val="18"/>
                <w:szCs w:val="18"/>
              </w:rPr>
            </w:pPr>
            <w:r w:rsidRPr="00C06BA3">
              <w:rPr>
                <w:sz w:val="18"/>
                <w:szCs w:val="18"/>
              </w:rPr>
              <w:t>Inštitucionálny systém koordinácie medzi OP Integrovaná infraštruktúra a OP Efektívna verejná správa bude pozostávať z 3 základných úrovní:</w:t>
            </w:r>
          </w:p>
          <w:p w:rsidR="00FA0B29" w:rsidRDefault="00FA0B29" w:rsidP="00FE6025">
            <w:pPr>
              <w:pStyle w:val="Odsekzoznamu"/>
              <w:numPr>
                <w:ilvl w:val="0"/>
                <w:numId w:val="70"/>
              </w:numPr>
              <w:ind w:left="284" w:hanging="284"/>
              <w:jc w:val="both"/>
              <w:rPr>
                <w:sz w:val="18"/>
                <w:szCs w:val="18"/>
              </w:rPr>
            </w:pPr>
            <w:r w:rsidRPr="0092704A">
              <w:rPr>
                <w:sz w:val="18"/>
                <w:szCs w:val="18"/>
              </w:rPr>
              <w:t>Politická úroveň</w:t>
            </w:r>
            <w:r>
              <w:rPr>
                <w:sz w:val="18"/>
                <w:szCs w:val="18"/>
              </w:rPr>
              <w:t xml:space="preserve"> - </w:t>
            </w:r>
            <w:r w:rsidRPr="0092704A">
              <w:rPr>
                <w:sz w:val="18"/>
                <w:szCs w:val="18"/>
              </w:rPr>
              <w:t xml:space="preserve"> monitorovací výbor,</w:t>
            </w:r>
          </w:p>
          <w:p w:rsidR="00FA0B29" w:rsidRDefault="00FA0B29" w:rsidP="00FE6025">
            <w:pPr>
              <w:pStyle w:val="Odsekzoznamu"/>
              <w:numPr>
                <w:ilvl w:val="0"/>
                <w:numId w:val="70"/>
              </w:numPr>
              <w:ind w:left="284" w:hanging="284"/>
              <w:jc w:val="both"/>
              <w:rPr>
                <w:sz w:val="18"/>
                <w:szCs w:val="18"/>
              </w:rPr>
            </w:pPr>
            <w:r w:rsidRPr="0092704A">
              <w:rPr>
                <w:sz w:val="18"/>
                <w:szCs w:val="18"/>
              </w:rPr>
              <w:t>Technická programová úroveň</w:t>
            </w:r>
            <w:r>
              <w:rPr>
                <w:sz w:val="18"/>
                <w:szCs w:val="18"/>
              </w:rPr>
              <w:t xml:space="preserve"> - </w:t>
            </w:r>
            <w:r w:rsidRPr="0092704A">
              <w:rPr>
                <w:sz w:val="18"/>
                <w:szCs w:val="18"/>
              </w:rPr>
              <w:t xml:space="preserve">Interný dozorný monitorovací výbor, </w:t>
            </w:r>
          </w:p>
          <w:p w:rsidR="00FA0B29" w:rsidRPr="00C06BA3" w:rsidRDefault="00FA0B29" w:rsidP="00FE6025">
            <w:pPr>
              <w:pStyle w:val="Odsekzoznamu"/>
              <w:numPr>
                <w:ilvl w:val="0"/>
                <w:numId w:val="70"/>
              </w:numPr>
              <w:ind w:left="284" w:hanging="284"/>
              <w:jc w:val="both"/>
              <w:rPr>
                <w:sz w:val="18"/>
                <w:szCs w:val="18"/>
              </w:rPr>
            </w:pPr>
            <w:r w:rsidRPr="00C06BA3">
              <w:rPr>
                <w:sz w:val="18"/>
                <w:szCs w:val="18"/>
              </w:rPr>
              <w:t>Technická projektová úroveň</w:t>
            </w:r>
            <w:r>
              <w:rPr>
                <w:sz w:val="18"/>
                <w:szCs w:val="18"/>
              </w:rPr>
              <w:t xml:space="preserve"> - </w:t>
            </w:r>
            <w:r w:rsidRPr="00C06BA3">
              <w:rPr>
                <w:sz w:val="18"/>
                <w:szCs w:val="18"/>
              </w:rPr>
              <w:t xml:space="preserve">Riadiaci výbor pre štúdie </w:t>
            </w:r>
            <w:r>
              <w:rPr>
                <w:sz w:val="18"/>
                <w:szCs w:val="18"/>
              </w:rPr>
              <w:t>realizovateľnosti</w:t>
            </w:r>
            <w:r w:rsidRPr="00C06BA3">
              <w:rPr>
                <w:sz w:val="18"/>
                <w:szCs w:val="18"/>
              </w:rPr>
              <w:t>.</w:t>
            </w:r>
          </w:p>
        </w:tc>
      </w:tr>
      <w:tr w:rsidR="00FA0B29" w:rsidRPr="00B02869" w:rsidTr="00A127CB">
        <w:trPr>
          <w:trHeight w:val="1638"/>
          <w:jc w:val="center"/>
        </w:trPr>
        <w:tc>
          <w:tcPr>
            <w:tcW w:w="654" w:type="dxa"/>
            <w:vMerge w:val="restart"/>
            <w:shd w:val="clear" w:color="auto" w:fill="auto"/>
            <w:noWrap/>
            <w:hideMark/>
          </w:tcPr>
          <w:p w:rsidR="00FA0B29" w:rsidRPr="00B02869" w:rsidRDefault="00FA0B29" w:rsidP="00F07429">
            <w:pPr>
              <w:pStyle w:val="08TableText"/>
              <w:jc w:val="left"/>
              <w:rPr>
                <w:rFonts w:ascii="Times New Roman" w:hAnsi="Times New Roman" w:cs="Times New Roman"/>
                <w:sz w:val="18"/>
                <w:szCs w:val="18"/>
              </w:rPr>
            </w:pPr>
            <w:r w:rsidRPr="00B02869">
              <w:rPr>
                <w:rFonts w:ascii="Times New Roman" w:hAnsi="Times New Roman" w:cs="Times New Roman"/>
                <w:sz w:val="18"/>
                <w:szCs w:val="18"/>
              </w:rPr>
              <w:t>OP VaI</w:t>
            </w:r>
          </w:p>
        </w:tc>
        <w:tc>
          <w:tcPr>
            <w:tcW w:w="1926" w:type="dxa"/>
            <w:shd w:val="clear" w:color="auto" w:fill="auto"/>
            <w:hideMark/>
          </w:tcPr>
          <w:p w:rsidR="00FA0B29" w:rsidRDefault="00FA0B29" w:rsidP="00F07429">
            <w:pPr>
              <w:pStyle w:val="08TableText"/>
              <w:jc w:val="left"/>
              <w:rPr>
                <w:rFonts w:ascii="Times New Roman" w:hAnsi="Times New Roman" w:cs="Times New Roman"/>
                <w:sz w:val="18"/>
                <w:szCs w:val="18"/>
              </w:rPr>
            </w:pPr>
            <w:r w:rsidRPr="00B02869">
              <w:rPr>
                <w:rFonts w:ascii="Times New Roman" w:hAnsi="Times New Roman" w:cs="Times New Roman"/>
                <w:sz w:val="18"/>
                <w:szCs w:val="18"/>
              </w:rPr>
              <w:t xml:space="preserve">Prioritná os 1 </w:t>
            </w:r>
            <w:r>
              <w:rPr>
                <w:rFonts w:ascii="Times New Roman" w:hAnsi="Times New Roman" w:cs="Times New Roman"/>
                <w:sz w:val="18"/>
                <w:szCs w:val="18"/>
              </w:rPr>
              <w:t>–</w:t>
            </w:r>
            <w:r w:rsidRPr="00B02869">
              <w:rPr>
                <w:rFonts w:ascii="Times New Roman" w:hAnsi="Times New Roman" w:cs="Times New Roman"/>
                <w:sz w:val="18"/>
                <w:szCs w:val="18"/>
              </w:rPr>
              <w:t xml:space="preserve"> Výskum vývoj a</w:t>
            </w:r>
            <w:r>
              <w:rPr>
                <w:rFonts w:ascii="Times New Roman" w:hAnsi="Times New Roman" w:cs="Times New Roman"/>
                <w:sz w:val="18"/>
                <w:szCs w:val="18"/>
              </w:rPr>
              <w:t> </w:t>
            </w:r>
            <w:r w:rsidRPr="00B02869">
              <w:rPr>
                <w:rFonts w:ascii="Times New Roman" w:hAnsi="Times New Roman" w:cs="Times New Roman"/>
                <w:sz w:val="18"/>
                <w:szCs w:val="18"/>
              </w:rPr>
              <w:t>inovácie</w:t>
            </w:r>
            <w:r>
              <w:rPr>
                <w:rFonts w:ascii="Times New Roman" w:hAnsi="Times New Roman" w:cs="Times New Roman"/>
                <w:sz w:val="18"/>
                <w:szCs w:val="18"/>
              </w:rPr>
              <w:t xml:space="preserve"> </w:t>
            </w:r>
          </w:p>
          <w:p w:rsidR="00FA0B29" w:rsidRDefault="00FA0B29" w:rsidP="00F07429">
            <w:pPr>
              <w:pStyle w:val="08TableText"/>
              <w:jc w:val="left"/>
              <w:rPr>
                <w:rFonts w:ascii="Times New Roman" w:hAnsi="Times New Roman" w:cs="Times New Roman"/>
                <w:sz w:val="18"/>
                <w:szCs w:val="18"/>
              </w:rPr>
            </w:pPr>
          </w:p>
          <w:p w:rsidR="00FA0B29" w:rsidRPr="00B02869" w:rsidRDefault="00FA0B29" w:rsidP="00F07429">
            <w:pPr>
              <w:pStyle w:val="08TableText"/>
              <w:jc w:val="left"/>
              <w:rPr>
                <w:rFonts w:ascii="Times New Roman" w:hAnsi="Times New Roman" w:cs="Times New Roman"/>
                <w:sz w:val="18"/>
                <w:szCs w:val="18"/>
              </w:rPr>
            </w:pPr>
            <w:r w:rsidRPr="00371C8E">
              <w:rPr>
                <w:rFonts w:ascii="Times New Roman" w:hAnsi="Times New Roman" w:cs="Times New Roman"/>
                <w:sz w:val="18"/>
                <w:szCs w:val="18"/>
              </w:rPr>
              <w:t>Prioritná os 2 - Podpora výskumno-vývojových kapacít Bratislavského kraja pre potreby rozvoja ostatných regiónov SR</w:t>
            </w:r>
          </w:p>
        </w:tc>
        <w:tc>
          <w:tcPr>
            <w:tcW w:w="1502" w:type="dxa"/>
            <w:vMerge/>
            <w:shd w:val="clear" w:color="auto" w:fill="auto"/>
            <w:hideMark/>
          </w:tcPr>
          <w:p w:rsidR="00FA0B29" w:rsidRPr="00B02869" w:rsidRDefault="00FA0B29" w:rsidP="00F07429">
            <w:pPr>
              <w:pStyle w:val="08TableText"/>
              <w:jc w:val="left"/>
              <w:rPr>
                <w:rFonts w:ascii="Times New Roman" w:hAnsi="Times New Roman" w:cs="Times New Roman"/>
                <w:sz w:val="18"/>
                <w:szCs w:val="18"/>
              </w:rPr>
            </w:pPr>
          </w:p>
        </w:tc>
        <w:tc>
          <w:tcPr>
            <w:tcW w:w="4990" w:type="dxa"/>
            <w:shd w:val="clear" w:color="auto" w:fill="auto"/>
            <w:hideMark/>
          </w:tcPr>
          <w:p w:rsidR="00E92F9B" w:rsidRDefault="00FA0B29">
            <w:pPr>
              <w:pStyle w:val="08TableText"/>
              <w:rPr>
                <w:rFonts w:ascii="Times New Roman" w:hAnsi="Times New Roman" w:cs="Times New Roman"/>
                <w:sz w:val="18"/>
                <w:szCs w:val="18"/>
              </w:rPr>
            </w:pPr>
            <w:r w:rsidRPr="00371C8E">
              <w:rPr>
                <w:rFonts w:ascii="Times New Roman" w:hAnsi="Times New Roman" w:cs="Times New Roman"/>
                <w:sz w:val="18"/>
                <w:szCs w:val="18"/>
              </w:rPr>
              <w:t xml:space="preserve">OP VaI plánuje priamo investovať do podpory výskumu a vývoja v oblasti IKT pre </w:t>
            </w:r>
            <w:r>
              <w:rPr>
                <w:rFonts w:ascii="Times New Roman" w:hAnsi="Times New Roman" w:cs="Times New Roman"/>
                <w:sz w:val="18"/>
                <w:szCs w:val="18"/>
              </w:rPr>
              <w:t>inštitúcie výskumu a vývoja, OP</w:t>
            </w:r>
            <w:r w:rsidRPr="00371C8E">
              <w:rPr>
                <w:rFonts w:ascii="Times New Roman" w:hAnsi="Times New Roman" w:cs="Times New Roman"/>
                <w:sz w:val="18"/>
                <w:szCs w:val="18"/>
              </w:rPr>
              <w:t>II bude implementovať národné projekty ÚOŠ</w:t>
            </w:r>
            <w:r>
              <w:rPr>
                <w:rFonts w:ascii="Times New Roman" w:hAnsi="Times New Roman" w:cs="Times New Roman"/>
                <w:sz w:val="18"/>
                <w:szCs w:val="18"/>
              </w:rPr>
              <w:t>S</w:t>
            </w:r>
            <w:r w:rsidRPr="00371C8E">
              <w:rPr>
                <w:rFonts w:ascii="Times New Roman" w:hAnsi="Times New Roman" w:cs="Times New Roman"/>
                <w:sz w:val="18"/>
                <w:szCs w:val="18"/>
              </w:rPr>
              <w:t xml:space="preserve"> a OS, ktoré vyvolajú dopyt po inováciách v oblasti IKT.</w:t>
            </w:r>
          </w:p>
        </w:tc>
      </w:tr>
      <w:tr w:rsidR="00FA0B29" w:rsidRPr="00B02869" w:rsidTr="00A127CB">
        <w:trPr>
          <w:trHeight w:val="1550"/>
          <w:jc w:val="center"/>
        </w:trPr>
        <w:tc>
          <w:tcPr>
            <w:tcW w:w="654" w:type="dxa"/>
            <w:vMerge/>
            <w:hideMark/>
          </w:tcPr>
          <w:p w:rsidR="00FA0B29" w:rsidRPr="00B02869" w:rsidRDefault="00FA0B29" w:rsidP="00F07429">
            <w:pPr>
              <w:pStyle w:val="08TableText"/>
              <w:jc w:val="left"/>
              <w:rPr>
                <w:rFonts w:ascii="Times New Roman" w:hAnsi="Times New Roman" w:cs="Times New Roman"/>
                <w:sz w:val="18"/>
                <w:szCs w:val="18"/>
              </w:rPr>
            </w:pPr>
          </w:p>
        </w:tc>
        <w:tc>
          <w:tcPr>
            <w:tcW w:w="1926" w:type="dxa"/>
            <w:shd w:val="clear" w:color="auto" w:fill="auto"/>
            <w:hideMark/>
          </w:tcPr>
          <w:p w:rsidR="00FA0B29" w:rsidRPr="00B02869" w:rsidRDefault="00FA0B29" w:rsidP="00F07429">
            <w:pPr>
              <w:pStyle w:val="08TableText"/>
              <w:jc w:val="left"/>
              <w:rPr>
                <w:rFonts w:ascii="Times New Roman" w:hAnsi="Times New Roman" w:cs="Times New Roman"/>
                <w:sz w:val="18"/>
                <w:szCs w:val="18"/>
              </w:rPr>
            </w:pPr>
            <w:r w:rsidRPr="00371C8E">
              <w:rPr>
                <w:rFonts w:ascii="Times New Roman" w:hAnsi="Times New Roman" w:cs="Times New Roman"/>
                <w:sz w:val="18"/>
                <w:szCs w:val="18"/>
              </w:rPr>
              <w:t xml:space="preserve">Prioritná os 3 - Podnikateľské prostredie </w:t>
            </w:r>
            <w:r>
              <w:rPr>
                <w:rFonts w:ascii="Times New Roman" w:hAnsi="Times New Roman" w:cs="Times New Roman"/>
                <w:sz w:val="18"/>
                <w:szCs w:val="18"/>
              </w:rPr>
              <w:t>priaznivé pre </w:t>
            </w:r>
            <w:r w:rsidRPr="00371C8E">
              <w:rPr>
                <w:rFonts w:ascii="Times New Roman" w:hAnsi="Times New Roman" w:cs="Times New Roman"/>
                <w:sz w:val="18"/>
                <w:szCs w:val="18"/>
              </w:rPr>
              <w:t>inovácie</w:t>
            </w:r>
          </w:p>
        </w:tc>
        <w:tc>
          <w:tcPr>
            <w:tcW w:w="1502" w:type="dxa"/>
            <w:vMerge/>
            <w:shd w:val="clear" w:color="auto" w:fill="auto"/>
            <w:hideMark/>
          </w:tcPr>
          <w:p w:rsidR="00FA0B29" w:rsidRPr="00B02869" w:rsidRDefault="00FA0B29" w:rsidP="00F07429">
            <w:pPr>
              <w:pStyle w:val="08TableText"/>
              <w:jc w:val="left"/>
              <w:rPr>
                <w:rFonts w:ascii="Times New Roman" w:hAnsi="Times New Roman" w:cs="Times New Roman"/>
                <w:sz w:val="18"/>
                <w:szCs w:val="18"/>
              </w:rPr>
            </w:pPr>
          </w:p>
        </w:tc>
        <w:tc>
          <w:tcPr>
            <w:tcW w:w="4990" w:type="dxa"/>
            <w:shd w:val="clear" w:color="auto" w:fill="auto"/>
            <w:hideMark/>
          </w:tcPr>
          <w:p w:rsidR="00FA0B29" w:rsidRDefault="00FA0B29" w:rsidP="00F07429">
            <w:pPr>
              <w:pStyle w:val="08TableText"/>
              <w:rPr>
                <w:rFonts w:ascii="Times New Roman" w:hAnsi="Times New Roman" w:cs="Times New Roman"/>
                <w:sz w:val="18"/>
                <w:szCs w:val="18"/>
              </w:rPr>
            </w:pPr>
            <w:r w:rsidRPr="00B02869">
              <w:rPr>
                <w:rFonts w:ascii="Times New Roman" w:hAnsi="Times New Roman" w:cs="Times New Roman"/>
                <w:sz w:val="18"/>
                <w:szCs w:val="18"/>
              </w:rPr>
              <w:t xml:space="preserve">OP VAI </w:t>
            </w:r>
            <w:r>
              <w:rPr>
                <w:rFonts w:ascii="Times New Roman" w:hAnsi="Times New Roman" w:cs="Times New Roman"/>
                <w:sz w:val="18"/>
                <w:szCs w:val="18"/>
              </w:rPr>
              <w:t>plánuje s</w:t>
            </w:r>
            <w:r w:rsidRPr="00B02869">
              <w:rPr>
                <w:rFonts w:ascii="Times New Roman" w:hAnsi="Times New Roman" w:cs="Times New Roman"/>
                <w:sz w:val="18"/>
                <w:szCs w:val="18"/>
              </w:rPr>
              <w:t>timulovať využí</w:t>
            </w:r>
            <w:r>
              <w:rPr>
                <w:rFonts w:ascii="Times New Roman" w:hAnsi="Times New Roman" w:cs="Times New Roman"/>
                <w:sz w:val="18"/>
                <w:szCs w:val="18"/>
              </w:rPr>
              <w:t>vanie digitálnych technológií a </w:t>
            </w:r>
            <w:r w:rsidRPr="00B02869">
              <w:rPr>
                <w:rFonts w:ascii="Times New Roman" w:hAnsi="Times New Roman" w:cs="Times New Roman"/>
                <w:sz w:val="18"/>
                <w:szCs w:val="18"/>
              </w:rPr>
              <w:t>e-obchodu, najmä začínajúcim</w:t>
            </w:r>
            <w:r>
              <w:rPr>
                <w:rFonts w:ascii="Times New Roman" w:hAnsi="Times New Roman" w:cs="Times New Roman"/>
                <w:sz w:val="18"/>
                <w:szCs w:val="18"/>
              </w:rPr>
              <w:t>i malými a strednými podnikmi s </w:t>
            </w:r>
            <w:r w:rsidRPr="00B02869">
              <w:rPr>
                <w:rFonts w:ascii="Times New Roman" w:hAnsi="Times New Roman" w:cs="Times New Roman"/>
                <w:sz w:val="18"/>
                <w:szCs w:val="18"/>
              </w:rPr>
              <w:t>cieľom uľahčiť im prístup na trh.</w:t>
            </w:r>
            <w:r>
              <w:rPr>
                <w:rFonts w:ascii="Times New Roman" w:hAnsi="Times New Roman" w:cs="Times New Roman"/>
                <w:sz w:val="18"/>
                <w:szCs w:val="18"/>
              </w:rPr>
              <w:t xml:space="preserve"> OPII bude investovať do </w:t>
            </w:r>
            <w:r w:rsidRPr="00B02869">
              <w:rPr>
                <w:rFonts w:ascii="Times New Roman" w:hAnsi="Times New Roman" w:cs="Times New Roman"/>
                <w:sz w:val="18"/>
                <w:szCs w:val="18"/>
              </w:rPr>
              <w:t xml:space="preserve">projektov rozvoja eGov služieb, cloudových riešení, informačnej podpory reformy </w:t>
            </w:r>
            <w:r>
              <w:rPr>
                <w:rFonts w:ascii="Times New Roman" w:hAnsi="Times New Roman" w:cs="Times New Roman"/>
                <w:sz w:val="18"/>
                <w:szCs w:val="18"/>
              </w:rPr>
              <w:t>VS</w:t>
            </w:r>
            <w:r w:rsidRPr="00B02869">
              <w:rPr>
                <w:rFonts w:ascii="Times New Roman" w:hAnsi="Times New Roman" w:cs="Times New Roman"/>
                <w:sz w:val="18"/>
                <w:szCs w:val="18"/>
              </w:rPr>
              <w:t>, br</w:t>
            </w:r>
            <w:r>
              <w:rPr>
                <w:rFonts w:ascii="Times New Roman" w:hAnsi="Times New Roman" w:cs="Times New Roman"/>
                <w:sz w:val="18"/>
                <w:szCs w:val="18"/>
              </w:rPr>
              <w:t>o</w:t>
            </w:r>
            <w:r w:rsidRPr="00B02869">
              <w:rPr>
                <w:rFonts w:ascii="Times New Roman" w:hAnsi="Times New Roman" w:cs="Times New Roman"/>
                <w:sz w:val="18"/>
                <w:szCs w:val="18"/>
              </w:rPr>
              <w:t>adbandu</w:t>
            </w:r>
            <w:r>
              <w:rPr>
                <w:rFonts w:ascii="Times New Roman" w:hAnsi="Times New Roman" w:cs="Times New Roman"/>
                <w:sz w:val="18"/>
                <w:szCs w:val="18"/>
              </w:rPr>
              <w:t>.</w:t>
            </w:r>
            <w:r w:rsidRPr="00B02869">
              <w:rPr>
                <w:rFonts w:ascii="Times New Roman" w:hAnsi="Times New Roman" w:cs="Times New Roman"/>
                <w:sz w:val="18"/>
                <w:szCs w:val="18"/>
              </w:rPr>
              <w:t xml:space="preserve"> </w:t>
            </w:r>
            <w:r>
              <w:rPr>
                <w:rFonts w:ascii="Times New Roman" w:hAnsi="Times New Roman" w:cs="Times New Roman"/>
                <w:sz w:val="18"/>
                <w:szCs w:val="18"/>
              </w:rPr>
              <w:t>V</w:t>
            </w:r>
            <w:r w:rsidRPr="00B02869">
              <w:rPr>
                <w:rFonts w:ascii="Times New Roman" w:hAnsi="Times New Roman" w:cs="Times New Roman"/>
                <w:sz w:val="18"/>
                <w:szCs w:val="18"/>
              </w:rPr>
              <w:t>ytvorí</w:t>
            </w:r>
            <w:r>
              <w:rPr>
                <w:rFonts w:ascii="Times New Roman" w:hAnsi="Times New Roman" w:cs="Times New Roman"/>
                <w:sz w:val="18"/>
                <w:szCs w:val="18"/>
              </w:rPr>
              <w:t xml:space="preserve"> sa</w:t>
            </w:r>
            <w:r w:rsidRPr="00B02869">
              <w:rPr>
                <w:rFonts w:ascii="Times New Roman" w:hAnsi="Times New Roman" w:cs="Times New Roman"/>
                <w:sz w:val="18"/>
                <w:szCs w:val="18"/>
              </w:rPr>
              <w:t xml:space="preserve"> tak prostredie pre zapojenie sa MSP ako dodávateľov riešení</w:t>
            </w:r>
            <w:r>
              <w:rPr>
                <w:rFonts w:ascii="Times New Roman" w:hAnsi="Times New Roman" w:cs="Times New Roman"/>
                <w:sz w:val="18"/>
                <w:szCs w:val="18"/>
              </w:rPr>
              <w:t>, respektíve používateľov</w:t>
            </w:r>
            <w:r w:rsidRPr="00282255">
              <w:rPr>
                <w:rFonts w:ascii="Times New Roman" w:eastAsia="Times New Roman" w:hAnsi="Times New Roman" w:cs="Times New Roman"/>
                <w:sz w:val="18"/>
                <w:szCs w:val="18"/>
                <w:lang w:eastAsia="sk-SK"/>
              </w:rPr>
              <w:t xml:space="preserve"> </w:t>
            </w:r>
            <w:r w:rsidRPr="00282255">
              <w:rPr>
                <w:rFonts w:ascii="Times New Roman" w:hAnsi="Times New Roman" w:cs="Times New Roman"/>
                <w:sz w:val="18"/>
                <w:szCs w:val="18"/>
              </w:rPr>
              <w:t>zdieľaných</w:t>
            </w:r>
            <w:r>
              <w:rPr>
                <w:rFonts w:ascii="Times New Roman" w:hAnsi="Times New Roman" w:cs="Times New Roman"/>
                <w:sz w:val="18"/>
                <w:szCs w:val="18"/>
              </w:rPr>
              <w:t xml:space="preserve"> služieb primárne určených pre VS</w:t>
            </w:r>
            <w:r w:rsidRPr="00B02869">
              <w:rPr>
                <w:rFonts w:ascii="Times New Roman" w:hAnsi="Times New Roman" w:cs="Times New Roman"/>
                <w:sz w:val="18"/>
                <w:szCs w:val="18"/>
              </w:rPr>
              <w:t>.</w:t>
            </w:r>
          </w:p>
          <w:p w:rsidR="00FA0B29" w:rsidRDefault="00FA0B29" w:rsidP="00F07429">
            <w:pPr>
              <w:pStyle w:val="08TableText"/>
              <w:rPr>
                <w:rFonts w:ascii="Times New Roman" w:hAnsi="Times New Roman" w:cs="Times New Roman"/>
                <w:sz w:val="18"/>
                <w:szCs w:val="18"/>
              </w:rPr>
            </w:pPr>
            <w:r w:rsidRPr="00B02869">
              <w:rPr>
                <w:rFonts w:ascii="Times New Roman" w:hAnsi="Times New Roman" w:cs="Times New Roman"/>
                <w:sz w:val="18"/>
                <w:szCs w:val="18"/>
              </w:rPr>
              <w:t>Podpora s</w:t>
            </w:r>
            <w:r>
              <w:rPr>
                <w:rFonts w:ascii="Times New Roman" w:hAnsi="Times New Roman" w:cs="Times New Roman"/>
                <w:sz w:val="18"/>
                <w:szCs w:val="18"/>
              </w:rPr>
              <w:t>tartupov a spinoffov nebude realizovaná v OP</w:t>
            </w:r>
            <w:r w:rsidRPr="00282255">
              <w:rPr>
                <w:rFonts w:ascii="Times New Roman" w:hAnsi="Times New Roman" w:cs="Times New Roman"/>
                <w:sz w:val="18"/>
                <w:szCs w:val="18"/>
              </w:rPr>
              <w:t>II.</w:t>
            </w:r>
          </w:p>
          <w:p w:rsidR="00FA0B29" w:rsidRPr="00B02869" w:rsidRDefault="00FA0B29" w:rsidP="00F07429">
            <w:pPr>
              <w:pStyle w:val="08TableText"/>
              <w:rPr>
                <w:rFonts w:ascii="Times New Roman" w:hAnsi="Times New Roman" w:cs="Times New Roman"/>
                <w:sz w:val="18"/>
                <w:szCs w:val="18"/>
              </w:rPr>
            </w:pPr>
            <w:r w:rsidRPr="00560E77">
              <w:rPr>
                <w:rFonts w:ascii="Times New Roman" w:hAnsi="Times New Roman" w:cs="Times New Roman"/>
                <w:sz w:val="18"/>
                <w:szCs w:val="18"/>
              </w:rPr>
              <w:t xml:space="preserve">Keďže podpora využívania nástrojov elektronického podnikania v prostredí malého a stredného podnikania je plánovaná aj v rámci Operačného programu Výskum a inovácie (ďalej len „OP VaI“), bude realizácia aktivít špecifického cieľa </w:t>
            </w:r>
            <w:r>
              <w:rPr>
                <w:rFonts w:ascii="Times New Roman" w:hAnsi="Times New Roman" w:cs="Times New Roman"/>
                <w:sz w:val="18"/>
                <w:szCs w:val="18"/>
              </w:rPr>
              <w:t>7.2 PO7 OPII</w:t>
            </w:r>
            <w:r w:rsidRPr="00560E77">
              <w:rPr>
                <w:rFonts w:ascii="Times New Roman" w:hAnsi="Times New Roman" w:cs="Times New Roman"/>
                <w:sz w:val="18"/>
                <w:szCs w:val="18"/>
              </w:rPr>
              <w:t xml:space="preserve"> koordinovaná s príslušnými aktivitami špecifického cieľa 3.3 OP VaI. Zatiaľ čo OP II bude podporovať projekty, kde prijímateľmi budú ÚOŠS s cieľom vytvoriť vhodné podmienky pre elektronické podnikanie, v rámci OP VaI budú prijímateľmi priamo MSP</w:t>
            </w:r>
            <w:r>
              <w:rPr>
                <w:rFonts w:ascii="Times New Roman" w:hAnsi="Times New Roman" w:cs="Calibri"/>
                <w:iCs/>
                <w:sz w:val="20"/>
              </w:rPr>
              <w:t>.</w:t>
            </w:r>
          </w:p>
        </w:tc>
      </w:tr>
      <w:tr w:rsidR="00FA0B29" w:rsidRPr="00B02869" w:rsidTr="00A127CB">
        <w:trPr>
          <w:trHeight w:val="645"/>
          <w:jc w:val="center"/>
        </w:trPr>
        <w:tc>
          <w:tcPr>
            <w:tcW w:w="654" w:type="dxa"/>
            <w:shd w:val="clear" w:color="auto" w:fill="auto"/>
            <w:noWrap/>
            <w:hideMark/>
          </w:tcPr>
          <w:p w:rsidR="00FA0B29" w:rsidRPr="007B788E" w:rsidRDefault="00FA0B29" w:rsidP="00F07429">
            <w:pPr>
              <w:pStyle w:val="08TableText"/>
              <w:jc w:val="left"/>
              <w:rPr>
                <w:rFonts w:ascii="Times New Roman" w:hAnsi="Times New Roman" w:cs="Times New Roman"/>
                <w:sz w:val="18"/>
                <w:szCs w:val="18"/>
              </w:rPr>
            </w:pPr>
            <w:r w:rsidRPr="007B788E">
              <w:rPr>
                <w:rFonts w:ascii="Times New Roman" w:hAnsi="Times New Roman" w:cs="Times New Roman"/>
                <w:sz w:val="18"/>
                <w:szCs w:val="18"/>
              </w:rPr>
              <w:t>PRV</w:t>
            </w:r>
          </w:p>
        </w:tc>
        <w:tc>
          <w:tcPr>
            <w:tcW w:w="1926" w:type="dxa"/>
            <w:shd w:val="clear" w:color="auto" w:fill="auto"/>
            <w:hideMark/>
          </w:tcPr>
          <w:p w:rsidR="00FA0B29" w:rsidRPr="007B788E" w:rsidRDefault="00FA0B29" w:rsidP="00F07429">
            <w:pPr>
              <w:pStyle w:val="08TableText"/>
              <w:jc w:val="left"/>
              <w:rPr>
                <w:rFonts w:ascii="Times New Roman" w:hAnsi="Times New Roman" w:cs="Times New Roman"/>
                <w:sz w:val="18"/>
                <w:szCs w:val="18"/>
              </w:rPr>
            </w:pPr>
            <w:r w:rsidRPr="007B788E">
              <w:t>P</w:t>
            </w:r>
            <w:r w:rsidRPr="007B788E">
              <w:rPr>
                <w:rFonts w:ascii="Times New Roman" w:hAnsi="Times New Roman" w:cs="Times New Roman"/>
                <w:sz w:val="18"/>
                <w:szCs w:val="18"/>
              </w:rPr>
              <w:t>riorita č. 6 Podpora sociálnej</w:t>
            </w:r>
            <w:r>
              <w:rPr>
                <w:rFonts w:ascii="Times New Roman" w:hAnsi="Times New Roman" w:cs="Times New Roman"/>
                <w:sz w:val="18"/>
                <w:szCs w:val="18"/>
              </w:rPr>
              <w:t xml:space="preserve"> inklúzie, zmiernenia chudoby a podpora hospodárskeho rastu vo </w:t>
            </w:r>
            <w:r w:rsidRPr="007B788E">
              <w:rPr>
                <w:rFonts w:ascii="Times New Roman" w:hAnsi="Times New Roman" w:cs="Times New Roman"/>
                <w:sz w:val="18"/>
                <w:szCs w:val="18"/>
              </w:rPr>
              <w:t>vidieckych oblastiach</w:t>
            </w:r>
          </w:p>
        </w:tc>
        <w:tc>
          <w:tcPr>
            <w:tcW w:w="1502" w:type="dxa"/>
            <w:vMerge/>
            <w:shd w:val="clear" w:color="auto" w:fill="auto"/>
            <w:hideMark/>
          </w:tcPr>
          <w:p w:rsidR="00FA0B29" w:rsidRPr="007B788E" w:rsidRDefault="00FA0B29" w:rsidP="00F07429">
            <w:pPr>
              <w:pStyle w:val="08TableText"/>
              <w:jc w:val="left"/>
              <w:rPr>
                <w:rFonts w:ascii="Times New Roman" w:hAnsi="Times New Roman" w:cs="Times New Roman"/>
                <w:sz w:val="18"/>
                <w:szCs w:val="18"/>
              </w:rPr>
            </w:pPr>
          </w:p>
        </w:tc>
        <w:tc>
          <w:tcPr>
            <w:tcW w:w="4990" w:type="dxa"/>
            <w:shd w:val="clear" w:color="auto" w:fill="auto"/>
            <w:vAlign w:val="bottom"/>
            <w:hideMark/>
          </w:tcPr>
          <w:p w:rsidR="00E92F9B" w:rsidRDefault="00FA0B29">
            <w:pPr>
              <w:pStyle w:val="08TableText"/>
              <w:rPr>
                <w:rFonts w:ascii="Times New Roman" w:hAnsi="Times New Roman" w:cs="Times New Roman"/>
                <w:sz w:val="18"/>
                <w:szCs w:val="18"/>
              </w:rPr>
            </w:pPr>
            <w:r w:rsidRPr="007B788E">
              <w:rPr>
                <w:rFonts w:ascii="Times New Roman" w:hAnsi="Times New Roman" w:cs="Times New Roman"/>
                <w:sz w:val="18"/>
                <w:szCs w:val="18"/>
              </w:rPr>
              <w:t>OPII podporí budovani</w:t>
            </w:r>
            <w:r>
              <w:rPr>
                <w:rFonts w:ascii="Times New Roman" w:hAnsi="Times New Roman" w:cs="Times New Roman"/>
                <w:sz w:val="18"/>
                <w:szCs w:val="18"/>
              </w:rPr>
              <w:t>e</w:t>
            </w:r>
            <w:r w:rsidRPr="007B788E">
              <w:rPr>
                <w:rFonts w:ascii="Times New Roman" w:hAnsi="Times New Roman" w:cs="Times New Roman"/>
                <w:sz w:val="18"/>
                <w:szCs w:val="18"/>
              </w:rPr>
              <w:t xml:space="preserve"> širokopásmového pripojenia a zavádzanie sietí nových generácií. Pri riešení bielych miest širokopásmovým internetom o minimálnej rýchlosti 30 Mbit/s sa zameria na výstavbu národných regionálnych sietí a budovanie prístupových sietí prostredníctvom dopytových projektov v oblastiach zlyhania trhu. OPII tiež zabezpečí príslušné analytické práce a koordináciu výstavby sietí. PRV bude realizovať dopytové projekty pre budovanie prístupových sietí v jednotlivých obciach (do 500 obyvateľov), ktoré spadajú do bielych miest.</w:t>
            </w:r>
          </w:p>
        </w:tc>
      </w:tr>
    </w:tbl>
    <w:p w:rsidR="00CD3ABF" w:rsidRPr="00CD3ABF" w:rsidRDefault="00CD3ABF" w:rsidP="00CD3ABF"/>
    <w:p w:rsidR="00CD3ABF" w:rsidRDefault="003E67A7" w:rsidP="003E67A7">
      <w:pPr>
        <w:pStyle w:val="Nadpis2"/>
      </w:pPr>
      <w:bookmarkStart w:id="154" w:name="_Toc383209156"/>
      <w:bookmarkStart w:id="155" w:name="_Toc383236570"/>
      <w:bookmarkStart w:id="156" w:name="_Toc385310762"/>
      <w:r>
        <w:t>Zabezpečenie koordinácie s Nástrojom na prepájanie Európy (NPE)</w:t>
      </w:r>
      <w:bookmarkEnd w:id="154"/>
      <w:bookmarkEnd w:id="155"/>
      <w:bookmarkEnd w:id="156"/>
    </w:p>
    <w:p w:rsidR="003E67A7" w:rsidRDefault="003E67A7" w:rsidP="003E67A7">
      <w:pPr>
        <w:pStyle w:val="Nadpis3"/>
      </w:pPr>
      <w:bookmarkStart w:id="157" w:name="_Toc385310763"/>
      <w:r>
        <w:t>Doprava</w:t>
      </w:r>
      <w:bookmarkEnd w:id="157"/>
    </w:p>
    <w:p w:rsidR="003E67A7" w:rsidRPr="003E67A7" w:rsidRDefault="003E67A7" w:rsidP="003E67A7">
      <w:pPr>
        <w:autoSpaceDE w:val="0"/>
        <w:autoSpaceDN w:val="0"/>
        <w:adjustRightInd w:val="0"/>
        <w:spacing w:before="120"/>
        <w:jc w:val="both"/>
        <w:rPr>
          <w:snapToGrid w:val="0"/>
          <w:sz w:val="22"/>
          <w:szCs w:val="22"/>
          <w:lang w:eastAsia="cs-CZ"/>
        </w:rPr>
      </w:pPr>
      <w:r w:rsidRPr="003E67A7">
        <w:rPr>
          <w:snapToGrid w:val="0"/>
          <w:sz w:val="22"/>
          <w:szCs w:val="22"/>
          <w:lang w:eastAsia="cs-CZ"/>
        </w:rPr>
        <w:t xml:space="preserve">Keďže </w:t>
      </w:r>
      <w:r w:rsidR="00E267CA">
        <w:rPr>
          <w:snapToGrid w:val="0"/>
          <w:sz w:val="22"/>
          <w:szCs w:val="22"/>
          <w:lang w:eastAsia="cs-CZ"/>
        </w:rPr>
        <w:t>napĺňanie cieľov stanovených v B</w:t>
      </w:r>
      <w:r w:rsidRPr="003E67A7">
        <w:rPr>
          <w:snapToGrid w:val="0"/>
          <w:sz w:val="22"/>
          <w:szCs w:val="22"/>
          <w:lang w:eastAsia="cs-CZ"/>
        </w:rPr>
        <w:t>ielej knihe nie je možné uspokojivo dosiahnuť len na úrovni samotných členských štátov, je v tomto smere potrebná koordinácia zo strany EK. V</w:t>
      </w:r>
      <w:r w:rsidRPr="003E67A7">
        <w:rPr>
          <w:rFonts w:ascii="EUAlbertina" w:hAnsi="EUAlbertina"/>
          <w:snapToGrid w:val="0"/>
          <w:sz w:val="22"/>
          <w:szCs w:val="22"/>
          <w:lang w:eastAsia="cs-CZ"/>
        </w:rPr>
        <w:t> nariadení Európskeho parlamentu a Rady (EÚ) č. 1315/2013</w:t>
      </w:r>
      <w:r w:rsidRPr="003E67A7">
        <w:rPr>
          <w:rFonts w:ascii="EUAlbertina" w:hAnsi="EUAlbertina"/>
        </w:rPr>
        <w:t xml:space="preserve"> </w:t>
      </w:r>
      <w:r w:rsidRPr="003E67A7">
        <w:rPr>
          <w:rFonts w:ascii="EUAlbertina" w:hAnsi="EUAlbertina"/>
          <w:snapToGrid w:val="0"/>
          <w:sz w:val="22"/>
          <w:szCs w:val="22"/>
          <w:lang w:eastAsia="cs-CZ"/>
        </w:rPr>
        <w:t>o usmerneniach Únie pre rozvoj transeurópskej dopravnej siete a o zrušení rozhodnutia č. 661/2010/EÚ, sa identifikuje infraštruktúra TEN-T, špecifikujú požiadavky, ktoré má spĺňať, a stanovujú opatrenia na ich realizáciu</w:t>
      </w:r>
      <w:r w:rsidR="009F007F">
        <w:rPr>
          <w:rFonts w:ascii="EUAlbertina" w:hAnsi="EUAlbertina"/>
          <w:snapToGrid w:val="0"/>
          <w:sz w:val="22"/>
          <w:szCs w:val="22"/>
          <w:lang w:eastAsia="cs-CZ"/>
        </w:rPr>
        <w:t xml:space="preserve"> (pozri tiež kap. 1.1.1.2).</w:t>
      </w:r>
    </w:p>
    <w:p w:rsidR="003E67A7" w:rsidRPr="003E67A7" w:rsidRDefault="003E67A7" w:rsidP="003E67A7">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Na základe analýzy plánov dopravnej infraštruktúry členských štátov Komisia odhaduje, že investičné potreby do dopravy na obdobie rokov 2014 – 2020 predstavujú 500 000 mil. EUR v súhrnnej sieti TEN-T, z toho približne 250 000 mil. EUR sa bude musieť investovať do základnej siete TEN-T</w:t>
      </w:r>
      <w:r w:rsidR="003162B7">
        <w:rPr>
          <w:rStyle w:val="Odkaznapoznmkupodiarou"/>
          <w:snapToGrid w:val="0"/>
          <w:sz w:val="22"/>
          <w:szCs w:val="22"/>
          <w:lang w:eastAsia="cs-CZ"/>
        </w:rPr>
        <w:footnoteReference w:id="33"/>
      </w:r>
      <w:r w:rsidRPr="003E67A7">
        <w:rPr>
          <w:snapToGrid w:val="0"/>
          <w:sz w:val="22"/>
          <w:szCs w:val="22"/>
          <w:lang w:eastAsia="cs-CZ"/>
        </w:rPr>
        <w:t>.</w:t>
      </w:r>
    </w:p>
    <w:p w:rsidR="003162B7" w:rsidRDefault="003E67A7" w:rsidP="003E67A7">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 xml:space="preserve">Poskytovanie finančných prostriedkov pre rozvoj TEN-T siete by v záujme dosiahnutia čo najväčšieho súladu medzi usmerneniami a plánovaním v rámci príslušných finančných nástrojov dostupných na úrovni EÚ malo byť v súlade s týmto nariadením a vychádzať z nariadenia Európskeho parlamentu a Rady (EÚ) č. 1316/2013 z 11. decembra 2013, ktorým sa zriaďuje </w:t>
      </w:r>
      <w:r w:rsidRPr="003E67A7">
        <w:rPr>
          <w:b/>
          <w:snapToGrid w:val="0"/>
          <w:sz w:val="22"/>
          <w:szCs w:val="22"/>
          <w:lang w:eastAsia="cs-CZ"/>
        </w:rPr>
        <w:t>Nástroj na prepájanie Európy</w:t>
      </w:r>
      <w:r w:rsidRPr="003E67A7">
        <w:rPr>
          <w:snapToGrid w:val="0"/>
          <w:sz w:val="22"/>
          <w:szCs w:val="22"/>
          <w:lang w:eastAsia="cs-CZ"/>
        </w:rPr>
        <w:t xml:space="preserve">, mení nariadenie (EÚ) č. 913/2010 a zrušujú nariadenia (ES) č. 680/2007 a (ES) č. 67/2010 (ďalej aj „NPE“). </w:t>
      </w:r>
    </w:p>
    <w:p w:rsidR="003E67A7" w:rsidRDefault="003E67A7" w:rsidP="003E67A7">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Členské štáty EÚ by sa mali zároveň zamerať na zosúladenie a kombinovanie finančných prostriedkov poskytnutých z príslušných interných a externých nástrojov, ako sú štrukturálne fondy, Kohézny fond, investičný nástroj európskej susedskej politiky (NIF), nástroj predvstupovej pomoci (IPA) a financovania z Európskej investičnej banky, Európskej banky pre obnovu a rozvoj a iných finančných inštitúcií, na rozvoj siete TEN-T.</w:t>
      </w:r>
    </w:p>
    <w:p w:rsidR="003162B7" w:rsidRPr="003E67A7" w:rsidRDefault="003162B7" w:rsidP="003E67A7">
      <w:pPr>
        <w:widowControl w:val="0"/>
        <w:tabs>
          <w:tab w:val="left" w:pos="0"/>
          <w:tab w:val="left" w:pos="851"/>
        </w:tabs>
        <w:adjustRightInd w:val="0"/>
        <w:spacing w:before="180"/>
        <w:jc w:val="both"/>
        <w:textAlignment w:val="baseline"/>
        <w:rPr>
          <w:snapToGrid w:val="0"/>
          <w:sz w:val="22"/>
          <w:szCs w:val="22"/>
          <w:lang w:eastAsia="cs-CZ"/>
        </w:rPr>
      </w:pPr>
    </w:p>
    <w:p w:rsidR="003E67A7" w:rsidRDefault="003E67A7" w:rsidP="003E67A7">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lastRenderedPageBreak/>
        <w:t>Konkrétne projekty infraštruktúry na európskej úrovni, ktoré sú dôležité pre prepojenie členských štátov v oblasti transeurópskych sietí s cieľom zlepšiť podmienky pre fungovanie vnútorného trhu EÚ, zabezpečenie dlhodobého hospodárskeho rastu a zvýšenie globálnej konkurencieschopnosti sú stanovené v nariadení NPE.</w:t>
      </w:r>
    </w:p>
    <w:p w:rsidR="003E67A7" w:rsidRPr="003E67A7" w:rsidRDefault="003E67A7" w:rsidP="003E67A7">
      <w:pPr>
        <w:widowControl w:val="0"/>
        <w:tabs>
          <w:tab w:val="left" w:pos="0"/>
          <w:tab w:val="left" w:pos="851"/>
        </w:tabs>
        <w:adjustRightInd w:val="0"/>
        <w:spacing w:before="180" w:after="120"/>
        <w:jc w:val="both"/>
        <w:textAlignment w:val="baseline"/>
        <w:rPr>
          <w:snapToGrid w:val="0"/>
          <w:sz w:val="22"/>
          <w:szCs w:val="22"/>
          <w:lang w:eastAsia="cs-CZ"/>
        </w:rPr>
      </w:pPr>
      <w:r w:rsidRPr="003E67A7">
        <w:rPr>
          <w:snapToGrid w:val="0"/>
          <w:sz w:val="22"/>
          <w:szCs w:val="22"/>
          <w:lang w:eastAsia="cs-CZ"/>
        </w:rPr>
        <w:t xml:space="preserve">NPE umožňuje financovať prípravu a realizáciu projektov spoločného záujmu v rámci politiky transeurópskych sietí v sektoroch dopravy, energetiky a telekomunikácií. Finančné krytie nástroja na obdobie rokov 2014 – 2020 je </w:t>
      </w:r>
      <w:r w:rsidRPr="003E67A7">
        <w:rPr>
          <w:b/>
          <w:snapToGrid w:val="0"/>
          <w:sz w:val="22"/>
          <w:szCs w:val="22"/>
          <w:lang w:eastAsia="cs-CZ"/>
        </w:rPr>
        <w:t xml:space="preserve">33 242 mil. EUR </w:t>
      </w:r>
      <w:r w:rsidRPr="003E67A7">
        <w:rPr>
          <w:snapToGrid w:val="0"/>
          <w:sz w:val="22"/>
          <w:szCs w:val="22"/>
          <w:lang w:eastAsia="cs-CZ"/>
        </w:rPr>
        <w:t>(v bežných cenách). Táto suma sa medzi jednotlivé sektory delí nasledovne:</w:t>
      </w:r>
    </w:p>
    <w:p w:rsidR="003E67A7" w:rsidRPr="003E67A7" w:rsidRDefault="003E67A7" w:rsidP="0042523B">
      <w:pPr>
        <w:widowControl w:val="0"/>
        <w:numPr>
          <w:ilvl w:val="0"/>
          <w:numId w:val="24"/>
        </w:numPr>
        <w:tabs>
          <w:tab w:val="left" w:pos="0"/>
          <w:tab w:val="left" w:pos="851"/>
        </w:tabs>
        <w:adjustRightInd w:val="0"/>
        <w:jc w:val="both"/>
        <w:textAlignment w:val="baseline"/>
        <w:rPr>
          <w:snapToGrid w:val="0"/>
          <w:sz w:val="22"/>
          <w:szCs w:val="22"/>
          <w:lang w:eastAsia="cs-CZ"/>
        </w:rPr>
      </w:pPr>
      <w:r w:rsidRPr="003E67A7">
        <w:rPr>
          <w:snapToGrid w:val="0"/>
          <w:sz w:val="22"/>
          <w:szCs w:val="22"/>
          <w:u w:val="single"/>
          <w:lang w:eastAsia="cs-CZ"/>
        </w:rPr>
        <w:t>doprava</w:t>
      </w:r>
      <w:r w:rsidRPr="003E67A7">
        <w:rPr>
          <w:snapToGrid w:val="0"/>
          <w:sz w:val="22"/>
          <w:szCs w:val="22"/>
          <w:lang w:eastAsia="cs-CZ"/>
        </w:rPr>
        <w:t>: 26 251 mil. EUR, vrátane 11 306 mil. EUR v krajinách podporovaných v rámci politiky súdržnosti (presun z Kohézneho fondu),</w:t>
      </w:r>
    </w:p>
    <w:p w:rsidR="003E67A7" w:rsidRPr="003E67A7" w:rsidRDefault="003E67A7" w:rsidP="0042523B">
      <w:pPr>
        <w:widowControl w:val="0"/>
        <w:numPr>
          <w:ilvl w:val="0"/>
          <w:numId w:val="24"/>
        </w:numPr>
        <w:tabs>
          <w:tab w:val="left" w:pos="0"/>
          <w:tab w:val="left" w:pos="851"/>
        </w:tabs>
        <w:adjustRightInd w:val="0"/>
        <w:jc w:val="both"/>
        <w:textAlignment w:val="baseline"/>
        <w:rPr>
          <w:snapToGrid w:val="0"/>
          <w:sz w:val="22"/>
          <w:szCs w:val="22"/>
          <w:lang w:eastAsia="cs-CZ"/>
        </w:rPr>
      </w:pPr>
      <w:r w:rsidRPr="003E67A7">
        <w:rPr>
          <w:snapToGrid w:val="0"/>
          <w:sz w:val="22"/>
          <w:szCs w:val="22"/>
          <w:u w:val="single"/>
          <w:lang w:eastAsia="cs-CZ"/>
        </w:rPr>
        <w:t>energetika</w:t>
      </w:r>
      <w:r w:rsidRPr="003E67A7">
        <w:rPr>
          <w:snapToGrid w:val="0"/>
          <w:sz w:val="22"/>
          <w:szCs w:val="22"/>
          <w:lang w:eastAsia="cs-CZ"/>
        </w:rPr>
        <w:t>: 5 850 mil. EUR,</w:t>
      </w:r>
    </w:p>
    <w:p w:rsidR="003E67A7" w:rsidRPr="003E67A7" w:rsidRDefault="003E67A7" w:rsidP="0042523B">
      <w:pPr>
        <w:widowControl w:val="0"/>
        <w:numPr>
          <w:ilvl w:val="0"/>
          <w:numId w:val="24"/>
        </w:numPr>
        <w:tabs>
          <w:tab w:val="left" w:pos="0"/>
          <w:tab w:val="left" w:pos="851"/>
        </w:tabs>
        <w:adjustRightInd w:val="0"/>
        <w:jc w:val="both"/>
        <w:textAlignment w:val="baseline"/>
        <w:rPr>
          <w:snapToGrid w:val="0"/>
          <w:sz w:val="22"/>
          <w:szCs w:val="22"/>
          <w:lang w:eastAsia="cs-CZ"/>
        </w:rPr>
      </w:pPr>
      <w:r w:rsidRPr="003E67A7">
        <w:rPr>
          <w:snapToGrid w:val="0"/>
          <w:sz w:val="22"/>
          <w:szCs w:val="22"/>
          <w:u w:val="single"/>
          <w:lang w:eastAsia="cs-CZ"/>
        </w:rPr>
        <w:t>telekomunikácie</w:t>
      </w:r>
      <w:r w:rsidRPr="003E67A7">
        <w:rPr>
          <w:snapToGrid w:val="0"/>
          <w:sz w:val="22"/>
          <w:szCs w:val="22"/>
          <w:lang w:eastAsia="cs-CZ"/>
        </w:rPr>
        <w:t>: 1 142 mil. EUR.</w:t>
      </w:r>
    </w:p>
    <w:p w:rsidR="003E67A7" w:rsidRPr="003E67A7" w:rsidRDefault="003E67A7" w:rsidP="003E67A7">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 xml:space="preserve">Finančné prostriedky presunuté z Kohézneho fondu, v sume 11 306 mil. EUR, budú v rámci nástroja NPE slúžiť na spolufinancovanie projektov budovania dopravnej infraštruktúry uvedených v prílohe I nariadenia. Výška finančnej obálky, ktorá je v tejto súvislosti pridelená SR dosahuje </w:t>
      </w:r>
      <w:r w:rsidRPr="003E67A7">
        <w:rPr>
          <w:b/>
          <w:snapToGrid w:val="0"/>
          <w:sz w:val="22"/>
          <w:szCs w:val="22"/>
          <w:lang w:eastAsia="cs-CZ"/>
        </w:rPr>
        <w:t>743 mil. EUR</w:t>
      </w:r>
      <w:r w:rsidRPr="003E67A7">
        <w:rPr>
          <w:snapToGrid w:val="0"/>
          <w:sz w:val="22"/>
          <w:szCs w:val="22"/>
          <w:lang w:eastAsia="cs-CZ"/>
        </w:rPr>
        <w:t xml:space="preserve">, čo vrátane národného spolufinancovania prestavuje sumu </w:t>
      </w:r>
      <w:r w:rsidRPr="003E67A7">
        <w:rPr>
          <w:b/>
          <w:snapToGrid w:val="0"/>
          <w:sz w:val="22"/>
          <w:szCs w:val="22"/>
          <w:lang w:eastAsia="cs-CZ"/>
        </w:rPr>
        <w:t>874 mil. EUR</w:t>
      </w:r>
      <w:r w:rsidRPr="003E67A7">
        <w:rPr>
          <w:snapToGrid w:val="0"/>
          <w:sz w:val="22"/>
          <w:szCs w:val="22"/>
          <w:lang w:eastAsia="cs-CZ"/>
        </w:rPr>
        <w:t xml:space="preserve">. Tieto zdroje môžu byť využité iba na financovanie výdavkov súvisiacich s budovaním </w:t>
      </w:r>
      <w:r w:rsidRPr="003E67A7">
        <w:rPr>
          <w:b/>
          <w:snapToGrid w:val="0"/>
          <w:sz w:val="22"/>
          <w:szCs w:val="22"/>
          <w:lang w:eastAsia="cs-CZ"/>
        </w:rPr>
        <w:t>základnej siete TEN-T</w:t>
      </w:r>
      <w:r w:rsidRPr="003E67A7">
        <w:rPr>
          <w:snapToGrid w:val="0"/>
          <w:sz w:val="22"/>
          <w:szCs w:val="22"/>
          <w:lang w:eastAsia="cs-CZ"/>
        </w:rPr>
        <w:t>. Ostatné prostriedky nástroja budú prideľované všetkým členským štátom EÚ na základe výziev realizovaných zo strany Výkonnej agentúry TEN-T, resp. DG MOVE.</w:t>
      </w:r>
    </w:p>
    <w:p w:rsidR="003E67A7" w:rsidRPr="003E67A7" w:rsidRDefault="003E67A7" w:rsidP="003E67A7">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Pri výbere projektov oprávnených na financovanie by sa mali do 31. decembra 2016 rešpektovať finančné prostriedky pridelené jednotlivým štátom, ktoré sa previedli z Kohézneho fondu do kohéznej časti nástroja NPE. Následne,</w:t>
      </w:r>
      <w:r w:rsidRPr="003E67A7">
        <w:rPr>
          <w:snapToGrid w:val="0"/>
          <w:sz w:val="22"/>
          <w:szCs w:val="23"/>
          <w:lang w:eastAsia="cs-CZ"/>
        </w:rPr>
        <w:t xml:space="preserve"> s účinnosťou od 1. januára 2017 budú zdroje, ktoré neboli zaviazané na projekt dopravnej infraštruktúry, presunuté do NPE. Tým budú k dispozícii všetkým členským štátom oprávneným na čerpanie prostriedkov z Kohézneho fondu s cieľom financovania projektov dopravnej infraštruktúry, pričom výber projektov bude prebiehať</w:t>
      </w:r>
      <w:r w:rsidRPr="003E67A7">
        <w:rPr>
          <w:snapToGrid w:val="0"/>
          <w:sz w:val="22"/>
          <w:szCs w:val="22"/>
          <w:lang w:eastAsia="cs-CZ"/>
        </w:rPr>
        <w:t xml:space="preserve"> prostredníctvom nových súťažných výziev na predkladanie projektových návrhov.</w:t>
      </w:r>
    </w:p>
    <w:p w:rsidR="003E67A7" w:rsidRPr="003E67A7" w:rsidRDefault="003E67A7" w:rsidP="003E67A7">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Ciele v oblasti rozvoja dopravnej infraštruktúry uvedené v tomto dokumente sú aplikovateľné taktiež pre nástroj NPE. Koordináciu procesu čerpania zdrojov z nástroja NPE a zabezpečenie synergie s OPII bude vykonávať MDVRR SR. V nadväznosti na zverejnené výzvy budú prijímatelia (ŽSR, NDS, SSC) povinní pripraviť zodpovedajúce projektové žiadosti.</w:t>
      </w:r>
    </w:p>
    <w:p w:rsidR="003E67A7" w:rsidRPr="003E67A7" w:rsidRDefault="003E67A7" w:rsidP="003E67A7">
      <w:pPr>
        <w:widowControl w:val="0"/>
        <w:tabs>
          <w:tab w:val="left" w:pos="0"/>
          <w:tab w:val="left" w:pos="851"/>
        </w:tabs>
        <w:adjustRightInd w:val="0"/>
        <w:spacing w:before="180"/>
        <w:jc w:val="both"/>
        <w:textAlignment w:val="baseline"/>
        <w:rPr>
          <w:b/>
          <w:snapToGrid w:val="0"/>
          <w:sz w:val="22"/>
          <w:szCs w:val="22"/>
          <w:lang w:eastAsia="cs-CZ"/>
        </w:rPr>
      </w:pPr>
      <w:r w:rsidRPr="003E67A7">
        <w:rPr>
          <w:b/>
          <w:snapToGrid w:val="0"/>
          <w:sz w:val="22"/>
          <w:szCs w:val="22"/>
          <w:lang w:eastAsia="cs-CZ"/>
        </w:rPr>
        <w:t>Na základe uvedeného bude výstavba a modernizácia dopravnej infraštruktúry v podmienkach SR v rámci základnej siete TEN-T na začiatku programového obdobia 2014 – 2020 preferovaná prioritne prostredníctvom finančného nástroja NPE. Cieľom je dosiahnuť plné využitie finančných prostriedkov alokovaných pre SR.</w:t>
      </w:r>
    </w:p>
    <w:p w:rsidR="003E67A7" w:rsidRDefault="003E67A7" w:rsidP="003E67A7">
      <w:pPr>
        <w:spacing w:before="180"/>
        <w:jc w:val="both"/>
        <w:rPr>
          <w:snapToGrid w:val="0"/>
          <w:color w:val="000000" w:themeColor="text1"/>
          <w:sz w:val="22"/>
          <w:szCs w:val="22"/>
          <w:lang w:eastAsia="cs-CZ"/>
        </w:rPr>
      </w:pPr>
      <w:r w:rsidRPr="003E67A7">
        <w:rPr>
          <w:snapToGrid w:val="0"/>
          <w:color w:val="000000" w:themeColor="text1"/>
          <w:sz w:val="22"/>
          <w:szCs w:val="22"/>
          <w:lang w:eastAsia="cs-CZ"/>
        </w:rPr>
        <w:t xml:space="preserve">V rámci nástroja NPE nie je pevne stanovené percentuálne rozdelenie zdrojov medzi jednotlivé druhy dopravy. Komisia žiada členské štáty, aby zdroje finančného nástroja smerovali prioritne na výstavbu a modernizáciu železničných koridorov. Na rozvoj cestnej infraštruktúry by malo smerovať cca. 10 % národnej obálky. Prioritné zameranie finančného nástroja indikuje taktiež príloha I nariadenia, v rámci ktorej sú projekty spoločného záujmu lokalizované najmä na železničných koridoroch. MDVRR SR toto odporúčanie zohľadnilo a z nástroja CEF bude podstatná časť smerovaná na rozvoj železničnej infraštruktúry. V previazaní na </w:t>
      </w:r>
      <w:r w:rsidR="00A3669F">
        <w:rPr>
          <w:snapToGrid w:val="0"/>
          <w:color w:val="000000" w:themeColor="text1"/>
          <w:sz w:val="22"/>
          <w:szCs w:val="22"/>
          <w:lang w:eastAsia="cs-CZ"/>
        </w:rPr>
        <w:t>toto odporúčanie boli stanovené</w:t>
      </w:r>
      <w:r w:rsidRPr="003E67A7">
        <w:rPr>
          <w:snapToGrid w:val="0"/>
          <w:color w:val="000000" w:themeColor="text1"/>
          <w:sz w:val="22"/>
          <w:szCs w:val="22"/>
          <w:lang w:eastAsia="cs-CZ"/>
        </w:rPr>
        <w:t xml:space="preserve"> aj alokácie v rámci prioritných osi OPII.</w:t>
      </w:r>
    </w:p>
    <w:p w:rsidR="00244C49" w:rsidRDefault="00244C49" w:rsidP="003E67A7">
      <w:pPr>
        <w:spacing w:before="180"/>
        <w:jc w:val="both"/>
        <w:rPr>
          <w:snapToGrid w:val="0"/>
          <w:color w:val="000000" w:themeColor="text1"/>
          <w:sz w:val="22"/>
          <w:szCs w:val="22"/>
          <w:lang w:eastAsia="cs-CZ"/>
        </w:rPr>
      </w:pPr>
    </w:p>
    <w:p w:rsidR="00244C49" w:rsidRDefault="00244C49" w:rsidP="003E67A7">
      <w:pPr>
        <w:spacing w:before="180"/>
        <w:jc w:val="both"/>
        <w:rPr>
          <w:snapToGrid w:val="0"/>
          <w:color w:val="000000" w:themeColor="text1"/>
          <w:sz w:val="22"/>
          <w:szCs w:val="22"/>
          <w:lang w:eastAsia="cs-CZ"/>
        </w:rPr>
      </w:pPr>
    </w:p>
    <w:p w:rsidR="00244C49" w:rsidRDefault="00244C49" w:rsidP="003E67A7">
      <w:pPr>
        <w:spacing w:before="180"/>
        <w:jc w:val="both"/>
        <w:rPr>
          <w:snapToGrid w:val="0"/>
          <w:color w:val="000000" w:themeColor="text1"/>
          <w:sz w:val="22"/>
          <w:szCs w:val="22"/>
          <w:lang w:eastAsia="cs-CZ"/>
        </w:rPr>
      </w:pPr>
    </w:p>
    <w:p w:rsidR="00244C49" w:rsidRDefault="00244C49" w:rsidP="003E67A7">
      <w:pPr>
        <w:spacing w:before="180"/>
        <w:jc w:val="both"/>
        <w:rPr>
          <w:snapToGrid w:val="0"/>
          <w:color w:val="000000" w:themeColor="text1"/>
          <w:sz w:val="22"/>
          <w:szCs w:val="22"/>
          <w:lang w:eastAsia="cs-CZ"/>
        </w:rPr>
      </w:pPr>
    </w:p>
    <w:p w:rsidR="00244C49" w:rsidRPr="003E67A7" w:rsidRDefault="00244C49" w:rsidP="003E67A7">
      <w:pPr>
        <w:spacing w:before="180"/>
        <w:jc w:val="both"/>
        <w:rPr>
          <w:snapToGrid w:val="0"/>
          <w:color w:val="000000" w:themeColor="text1"/>
          <w:sz w:val="22"/>
          <w:szCs w:val="22"/>
          <w:lang w:eastAsia="cs-CZ"/>
        </w:rPr>
      </w:pPr>
    </w:p>
    <w:p w:rsidR="003E67A7" w:rsidRPr="003E67A7" w:rsidRDefault="003E67A7" w:rsidP="00ED5953">
      <w:pPr>
        <w:pStyle w:val="Tab"/>
      </w:pPr>
      <w:bookmarkStart w:id="158" w:name="_Toc358973636"/>
      <w:r w:rsidRPr="003E67A7">
        <w:lastRenderedPageBreak/>
        <w:t xml:space="preserve">Zoznam projektov cestnej infraštruktúry vhodných k financovaniu z fondu </w:t>
      </w:r>
      <w:bookmarkEnd w:id="158"/>
      <w:r w:rsidRPr="003E67A7">
        <w:t>NPE</w:t>
      </w:r>
    </w:p>
    <w:tbl>
      <w:tblPr>
        <w:tblW w:w="9072"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72"/>
        <w:gridCol w:w="4906"/>
        <w:gridCol w:w="623"/>
        <w:gridCol w:w="1050"/>
        <w:gridCol w:w="934"/>
        <w:gridCol w:w="987"/>
      </w:tblGrid>
      <w:tr w:rsidR="003E67A7" w:rsidRPr="003E67A7" w:rsidTr="009553A0">
        <w:trPr>
          <w:trHeight w:val="270"/>
        </w:trPr>
        <w:tc>
          <w:tcPr>
            <w:tcW w:w="572" w:type="dxa"/>
            <w:vMerge w:val="restart"/>
            <w:shd w:val="clear" w:color="auto" w:fill="C6D9F1" w:themeFill="text2" w:themeFillTint="33"/>
            <w:noWrap/>
            <w:vAlign w:val="center"/>
            <w:hideMark/>
          </w:tcPr>
          <w:p w:rsidR="00A127CB" w:rsidRDefault="00A127CB" w:rsidP="003E67A7">
            <w:pPr>
              <w:widowControl w:val="0"/>
              <w:tabs>
                <w:tab w:val="left" w:pos="0"/>
                <w:tab w:val="left" w:pos="851"/>
              </w:tabs>
              <w:adjustRightInd w:val="0"/>
              <w:spacing w:before="180"/>
              <w:jc w:val="both"/>
              <w:textAlignment w:val="baseline"/>
              <w:rPr>
                <w:snapToGrid w:val="0"/>
                <w:sz w:val="22"/>
                <w:szCs w:val="22"/>
                <w:lang w:eastAsia="cs-CZ"/>
              </w:rPr>
            </w:pPr>
          </w:p>
          <w:p w:rsidR="003E67A7" w:rsidRPr="003E67A7" w:rsidRDefault="003E67A7" w:rsidP="003E67A7">
            <w:pPr>
              <w:jc w:val="center"/>
              <w:rPr>
                <w:bCs/>
                <w:sz w:val="18"/>
                <w:szCs w:val="18"/>
                <w:lang w:eastAsia="cs-CZ"/>
              </w:rPr>
            </w:pPr>
          </w:p>
        </w:tc>
        <w:tc>
          <w:tcPr>
            <w:tcW w:w="4906" w:type="dxa"/>
            <w:vMerge w:val="restart"/>
            <w:shd w:val="clear" w:color="auto" w:fill="C6D9F1" w:themeFill="text2" w:themeFillTint="33"/>
            <w:vAlign w:val="center"/>
            <w:hideMark/>
          </w:tcPr>
          <w:p w:rsidR="003E67A7" w:rsidRPr="003E67A7" w:rsidRDefault="003E67A7" w:rsidP="003E67A7">
            <w:pPr>
              <w:jc w:val="center"/>
              <w:rPr>
                <w:bCs/>
                <w:sz w:val="18"/>
                <w:szCs w:val="18"/>
                <w:lang w:eastAsia="cs-CZ"/>
              </w:rPr>
            </w:pPr>
            <w:r w:rsidRPr="003E67A7">
              <w:rPr>
                <w:bCs/>
                <w:sz w:val="18"/>
                <w:szCs w:val="18"/>
                <w:lang w:eastAsia="cs-CZ"/>
              </w:rPr>
              <w:t>Názov projektu</w:t>
            </w:r>
          </w:p>
        </w:tc>
        <w:tc>
          <w:tcPr>
            <w:tcW w:w="623" w:type="dxa"/>
            <w:vMerge w:val="restart"/>
            <w:shd w:val="clear" w:color="auto" w:fill="C6D9F1" w:themeFill="text2" w:themeFillTint="33"/>
            <w:noWrap/>
            <w:vAlign w:val="center"/>
            <w:hideMark/>
          </w:tcPr>
          <w:p w:rsidR="003E67A7" w:rsidRPr="003E67A7" w:rsidRDefault="003E67A7" w:rsidP="003E67A7">
            <w:pPr>
              <w:jc w:val="center"/>
              <w:rPr>
                <w:bCs/>
                <w:sz w:val="18"/>
                <w:szCs w:val="18"/>
                <w:lang w:eastAsia="cs-CZ"/>
              </w:rPr>
            </w:pPr>
            <w:r w:rsidRPr="003E67A7">
              <w:rPr>
                <w:bCs/>
                <w:sz w:val="18"/>
                <w:szCs w:val="18"/>
                <w:lang w:eastAsia="cs-CZ"/>
              </w:rPr>
              <w:t>Dĺžka</w:t>
            </w:r>
          </w:p>
          <w:p w:rsidR="003E67A7" w:rsidRPr="003E67A7" w:rsidRDefault="003E67A7" w:rsidP="003E67A7">
            <w:pPr>
              <w:jc w:val="center"/>
              <w:rPr>
                <w:bCs/>
                <w:sz w:val="18"/>
                <w:szCs w:val="18"/>
                <w:lang w:eastAsia="cs-CZ"/>
              </w:rPr>
            </w:pPr>
            <w:r w:rsidRPr="003E67A7">
              <w:rPr>
                <w:bCs/>
                <w:sz w:val="18"/>
                <w:szCs w:val="18"/>
                <w:lang w:eastAsia="cs-CZ"/>
              </w:rPr>
              <w:t>(km)</w:t>
            </w:r>
          </w:p>
        </w:tc>
        <w:tc>
          <w:tcPr>
            <w:tcW w:w="1050" w:type="dxa"/>
            <w:vMerge w:val="restart"/>
            <w:shd w:val="clear" w:color="auto" w:fill="C6D9F1" w:themeFill="text2" w:themeFillTint="33"/>
            <w:vAlign w:val="center"/>
            <w:hideMark/>
          </w:tcPr>
          <w:p w:rsidR="003E67A7" w:rsidRPr="003E67A7" w:rsidRDefault="003E67A7" w:rsidP="003E67A7">
            <w:pPr>
              <w:jc w:val="center"/>
              <w:rPr>
                <w:bCs/>
                <w:sz w:val="18"/>
                <w:szCs w:val="18"/>
                <w:lang w:eastAsia="cs-CZ"/>
              </w:rPr>
            </w:pPr>
            <w:r w:rsidRPr="003E67A7">
              <w:rPr>
                <w:bCs/>
                <w:sz w:val="18"/>
                <w:szCs w:val="18"/>
                <w:lang w:eastAsia="cs-CZ"/>
              </w:rPr>
              <w:t>Investičné náklady</w:t>
            </w:r>
            <w:r w:rsidRPr="003E67A7">
              <w:rPr>
                <w:bCs/>
                <w:sz w:val="18"/>
                <w:szCs w:val="18"/>
                <w:lang w:eastAsia="cs-CZ"/>
              </w:rPr>
              <w:br/>
              <w:t>(tis. EUR)</w:t>
            </w:r>
          </w:p>
        </w:tc>
        <w:tc>
          <w:tcPr>
            <w:tcW w:w="1921" w:type="dxa"/>
            <w:gridSpan w:val="2"/>
            <w:shd w:val="clear" w:color="auto" w:fill="C6D9F1" w:themeFill="text2" w:themeFillTint="33"/>
            <w:noWrap/>
            <w:vAlign w:val="center"/>
            <w:hideMark/>
          </w:tcPr>
          <w:p w:rsidR="003E67A7" w:rsidRPr="003E67A7" w:rsidRDefault="003E67A7" w:rsidP="003E67A7">
            <w:pPr>
              <w:jc w:val="center"/>
              <w:rPr>
                <w:bCs/>
                <w:sz w:val="18"/>
                <w:szCs w:val="18"/>
                <w:lang w:eastAsia="cs-CZ"/>
              </w:rPr>
            </w:pPr>
            <w:r w:rsidRPr="003E67A7">
              <w:rPr>
                <w:bCs/>
                <w:sz w:val="18"/>
                <w:szCs w:val="18"/>
                <w:lang w:eastAsia="cs-CZ"/>
              </w:rPr>
              <w:t>Realizácia projektu</w:t>
            </w:r>
          </w:p>
        </w:tc>
      </w:tr>
      <w:tr w:rsidR="003E67A7" w:rsidRPr="003E67A7" w:rsidTr="009553A0">
        <w:trPr>
          <w:trHeight w:val="270"/>
        </w:trPr>
        <w:tc>
          <w:tcPr>
            <w:tcW w:w="572" w:type="dxa"/>
            <w:vMerge/>
            <w:shd w:val="clear" w:color="auto" w:fill="C6D9F1" w:themeFill="text2" w:themeFillTint="33"/>
            <w:noWrap/>
            <w:vAlign w:val="center"/>
            <w:hideMark/>
          </w:tcPr>
          <w:p w:rsidR="003E67A7" w:rsidRPr="003E67A7" w:rsidRDefault="003E67A7" w:rsidP="003E67A7">
            <w:pPr>
              <w:jc w:val="center"/>
              <w:rPr>
                <w:bCs/>
                <w:sz w:val="18"/>
                <w:szCs w:val="18"/>
                <w:lang w:eastAsia="cs-CZ"/>
              </w:rPr>
            </w:pPr>
          </w:p>
        </w:tc>
        <w:tc>
          <w:tcPr>
            <w:tcW w:w="4906" w:type="dxa"/>
            <w:vMerge/>
            <w:shd w:val="clear" w:color="auto" w:fill="C6D9F1" w:themeFill="text2" w:themeFillTint="33"/>
            <w:vAlign w:val="center"/>
            <w:hideMark/>
          </w:tcPr>
          <w:p w:rsidR="003E67A7" w:rsidRPr="003E67A7" w:rsidRDefault="003E67A7" w:rsidP="003E67A7">
            <w:pPr>
              <w:jc w:val="center"/>
              <w:rPr>
                <w:bCs/>
                <w:sz w:val="18"/>
                <w:szCs w:val="18"/>
                <w:lang w:eastAsia="cs-CZ"/>
              </w:rPr>
            </w:pPr>
          </w:p>
        </w:tc>
        <w:tc>
          <w:tcPr>
            <w:tcW w:w="623" w:type="dxa"/>
            <w:vMerge/>
            <w:shd w:val="clear" w:color="auto" w:fill="C6D9F1" w:themeFill="text2" w:themeFillTint="33"/>
            <w:noWrap/>
            <w:vAlign w:val="center"/>
            <w:hideMark/>
          </w:tcPr>
          <w:p w:rsidR="003E67A7" w:rsidRPr="003E67A7" w:rsidRDefault="003E67A7" w:rsidP="003E67A7">
            <w:pPr>
              <w:jc w:val="center"/>
              <w:rPr>
                <w:bCs/>
                <w:sz w:val="18"/>
                <w:szCs w:val="18"/>
                <w:lang w:eastAsia="cs-CZ"/>
              </w:rPr>
            </w:pPr>
          </w:p>
        </w:tc>
        <w:tc>
          <w:tcPr>
            <w:tcW w:w="1050" w:type="dxa"/>
            <w:vMerge/>
            <w:shd w:val="clear" w:color="auto" w:fill="C6D9F1" w:themeFill="text2" w:themeFillTint="33"/>
            <w:vAlign w:val="center"/>
            <w:hideMark/>
          </w:tcPr>
          <w:p w:rsidR="003E67A7" w:rsidRPr="003E67A7" w:rsidRDefault="003E67A7" w:rsidP="003E67A7">
            <w:pPr>
              <w:jc w:val="center"/>
              <w:rPr>
                <w:bCs/>
                <w:sz w:val="18"/>
                <w:szCs w:val="18"/>
                <w:lang w:eastAsia="cs-CZ"/>
              </w:rPr>
            </w:pPr>
          </w:p>
        </w:tc>
        <w:tc>
          <w:tcPr>
            <w:tcW w:w="934" w:type="dxa"/>
            <w:shd w:val="clear" w:color="auto" w:fill="C6D9F1" w:themeFill="text2" w:themeFillTint="33"/>
            <w:noWrap/>
            <w:vAlign w:val="center"/>
            <w:hideMark/>
          </w:tcPr>
          <w:p w:rsidR="003E67A7" w:rsidRPr="003E67A7" w:rsidRDefault="003E67A7" w:rsidP="003E67A7">
            <w:pPr>
              <w:jc w:val="center"/>
              <w:rPr>
                <w:bCs/>
                <w:sz w:val="18"/>
                <w:szCs w:val="18"/>
                <w:lang w:eastAsia="cs-CZ"/>
              </w:rPr>
            </w:pPr>
            <w:r w:rsidRPr="003E67A7">
              <w:rPr>
                <w:bCs/>
                <w:sz w:val="18"/>
                <w:szCs w:val="18"/>
                <w:lang w:eastAsia="cs-CZ"/>
              </w:rPr>
              <w:t>Začiatok</w:t>
            </w:r>
          </w:p>
        </w:tc>
        <w:tc>
          <w:tcPr>
            <w:tcW w:w="987" w:type="dxa"/>
            <w:shd w:val="clear" w:color="auto" w:fill="C6D9F1" w:themeFill="text2" w:themeFillTint="33"/>
            <w:noWrap/>
            <w:vAlign w:val="center"/>
            <w:hideMark/>
          </w:tcPr>
          <w:p w:rsidR="003E67A7" w:rsidRPr="003E67A7" w:rsidRDefault="003E67A7" w:rsidP="003E67A7">
            <w:pPr>
              <w:jc w:val="center"/>
              <w:rPr>
                <w:bCs/>
                <w:sz w:val="18"/>
                <w:szCs w:val="18"/>
                <w:lang w:eastAsia="cs-CZ"/>
              </w:rPr>
            </w:pPr>
            <w:r w:rsidRPr="003E67A7">
              <w:rPr>
                <w:bCs/>
                <w:sz w:val="18"/>
                <w:szCs w:val="18"/>
                <w:lang w:eastAsia="cs-CZ"/>
              </w:rPr>
              <w:t>Ukončenie</w:t>
            </w:r>
          </w:p>
        </w:tc>
      </w:tr>
      <w:tr w:rsidR="003E67A7" w:rsidRPr="003E67A7" w:rsidTr="009553A0">
        <w:trPr>
          <w:trHeight w:val="330"/>
        </w:trPr>
        <w:tc>
          <w:tcPr>
            <w:tcW w:w="572" w:type="dxa"/>
            <w:shd w:val="clear" w:color="auto" w:fill="auto"/>
            <w:noWrap/>
            <w:vAlign w:val="center"/>
            <w:hideMark/>
          </w:tcPr>
          <w:p w:rsidR="003E67A7" w:rsidRPr="003E67A7" w:rsidRDefault="003E67A7" w:rsidP="003E67A7">
            <w:pPr>
              <w:jc w:val="center"/>
              <w:rPr>
                <w:color w:val="000000"/>
                <w:sz w:val="18"/>
                <w:szCs w:val="18"/>
                <w:lang w:eastAsia="cs-CZ"/>
              </w:rPr>
            </w:pPr>
            <w:r w:rsidRPr="003E67A7">
              <w:rPr>
                <w:color w:val="000000"/>
                <w:sz w:val="18"/>
                <w:szCs w:val="18"/>
                <w:lang w:eastAsia="cs-CZ"/>
              </w:rPr>
              <w:t>1.</w:t>
            </w:r>
          </w:p>
        </w:tc>
        <w:tc>
          <w:tcPr>
            <w:tcW w:w="4906" w:type="dxa"/>
            <w:shd w:val="clear" w:color="auto" w:fill="auto"/>
            <w:noWrap/>
            <w:vAlign w:val="center"/>
            <w:hideMark/>
          </w:tcPr>
          <w:p w:rsidR="003E67A7" w:rsidRPr="003E67A7" w:rsidRDefault="003E67A7" w:rsidP="003E67A7">
            <w:pPr>
              <w:rPr>
                <w:sz w:val="18"/>
                <w:szCs w:val="18"/>
                <w:lang w:eastAsia="cs-CZ"/>
              </w:rPr>
            </w:pPr>
            <w:r w:rsidRPr="003E67A7">
              <w:rPr>
                <w:sz w:val="18"/>
                <w:szCs w:val="18"/>
                <w:lang w:eastAsia="cs-CZ"/>
              </w:rPr>
              <w:t>D3 Svrčinovec – Skalité, polovičný profil (2. fáza)</w:t>
            </w:r>
          </w:p>
        </w:tc>
        <w:tc>
          <w:tcPr>
            <w:tcW w:w="623" w:type="dxa"/>
            <w:shd w:val="clear" w:color="auto" w:fill="auto"/>
            <w:noWrap/>
            <w:vAlign w:val="center"/>
            <w:hideMark/>
          </w:tcPr>
          <w:p w:rsidR="003E67A7" w:rsidRPr="003E67A7" w:rsidRDefault="003E67A7" w:rsidP="003E67A7">
            <w:pPr>
              <w:jc w:val="right"/>
              <w:rPr>
                <w:color w:val="000000"/>
                <w:sz w:val="18"/>
                <w:szCs w:val="18"/>
                <w:lang w:eastAsia="cs-CZ"/>
              </w:rPr>
            </w:pPr>
            <w:r w:rsidRPr="003E67A7">
              <w:rPr>
                <w:color w:val="000000"/>
                <w:sz w:val="18"/>
                <w:szCs w:val="18"/>
                <w:lang w:eastAsia="cs-CZ"/>
              </w:rPr>
              <w:t>15,5</w:t>
            </w:r>
          </w:p>
        </w:tc>
        <w:tc>
          <w:tcPr>
            <w:tcW w:w="1050" w:type="dxa"/>
            <w:shd w:val="clear" w:color="auto" w:fill="auto"/>
            <w:noWrap/>
            <w:vAlign w:val="center"/>
            <w:hideMark/>
          </w:tcPr>
          <w:p w:rsidR="003E67A7" w:rsidRPr="003E67A7" w:rsidRDefault="003E67A7" w:rsidP="003E67A7">
            <w:pPr>
              <w:jc w:val="right"/>
              <w:rPr>
                <w:color w:val="000000"/>
                <w:sz w:val="18"/>
                <w:szCs w:val="18"/>
                <w:lang w:eastAsia="cs-CZ"/>
              </w:rPr>
            </w:pPr>
            <w:r w:rsidRPr="003E67A7">
              <w:rPr>
                <w:color w:val="000000"/>
                <w:sz w:val="18"/>
                <w:szCs w:val="18"/>
                <w:lang w:eastAsia="cs-CZ"/>
              </w:rPr>
              <w:t>170 801</w:t>
            </w:r>
          </w:p>
        </w:tc>
        <w:tc>
          <w:tcPr>
            <w:tcW w:w="934" w:type="dxa"/>
            <w:shd w:val="clear" w:color="auto" w:fill="auto"/>
            <w:noWrap/>
            <w:vAlign w:val="center"/>
            <w:hideMark/>
          </w:tcPr>
          <w:p w:rsidR="003E67A7" w:rsidRPr="003E67A7" w:rsidRDefault="003E67A7" w:rsidP="003E67A7">
            <w:pPr>
              <w:jc w:val="center"/>
              <w:rPr>
                <w:color w:val="000000"/>
                <w:sz w:val="18"/>
                <w:szCs w:val="18"/>
                <w:lang w:eastAsia="cs-CZ"/>
              </w:rPr>
            </w:pPr>
            <w:r w:rsidRPr="003E67A7">
              <w:rPr>
                <w:color w:val="000000"/>
                <w:sz w:val="18"/>
                <w:szCs w:val="18"/>
                <w:lang w:eastAsia="cs-CZ"/>
              </w:rPr>
              <w:t>2015</w:t>
            </w:r>
          </w:p>
        </w:tc>
        <w:tc>
          <w:tcPr>
            <w:tcW w:w="987" w:type="dxa"/>
            <w:shd w:val="clear" w:color="auto" w:fill="auto"/>
            <w:noWrap/>
            <w:vAlign w:val="center"/>
            <w:hideMark/>
          </w:tcPr>
          <w:p w:rsidR="003E67A7" w:rsidRPr="003E67A7" w:rsidRDefault="003E67A7" w:rsidP="003E67A7">
            <w:pPr>
              <w:jc w:val="center"/>
              <w:rPr>
                <w:color w:val="000000"/>
                <w:sz w:val="18"/>
                <w:szCs w:val="18"/>
                <w:lang w:eastAsia="cs-CZ"/>
              </w:rPr>
            </w:pPr>
            <w:r w:rsidRPr="003E67A7">
              <w:rPr>
                <w:color w:val="000000"/>
                <w:sz w:val="18"/>
                <w:szCs w:val="18"/>
                <w:lang w:eastAsia="cs-CZ"/>
              </w:rPr>
              <w:t>2016</w:t>
            </w:r>
          </w:p>
        </w:tc>
      </w:tr>
      <w:tr w:rsidR="003E67A7" w:rsidRPr="003E67A7" w:rsidTr="009553A0">
        <w:trPr>
          <w:trHeight w:val="300"/>
        </w:trPr>
        <w:tc>
          <w:tcPr>
            <w:tcW w:w="6101" w:type="dxa"/>
            <w:gridSpan w:val="3"/>
            <w:shd w:val="clear" w:color="auto" w:fill="D9D9D9" w:themeFill="background1" w:themeFillShade="D9"/>
            <w:noWrap/>
            <w:vAlign w:val="center"/>
            <w:hideMark/>
          </w:tcPr>
          <w:p w:rsidR="003E67A7" w:rsidRPr="003E67A7" w:rsidRDefault="003E67A7" w:rsidP="003E67A7">
            <w:pPr>
              <w:jc w:val="right"/>
              <w:rPr>
                <w:b/>
                <w:color w:val="000000"/>
                <w:sz w:val="18"/>
                <w:szCs w:val="18"/>
                <w:lang w:eastAsia="cs-CZ"/>
              </w:rPr>
            </w:pPr>
            <w:r w:rsidRPr="003E67A7">
              <w:rPr>
                <w:b/>
                <w:color w:val="000000"/>
                <w:sz w:val="18"/>
                <w:szCs w:val="18"/>
                <w:lang w:eastAsia="cs-CZ"/>
              </w:rPr>
              <w:t>Investičný potenciál</w:t>
            </w:r>
          </w:p>
        </w:tc>
        <w:tc>
          <w:tcPr>
            <w:tcW w:w="1050" w:type="dxa"/>
            <w:shd w:val="clear" w:color="auto" w:fill="D9D9D9" w:themeFill="background1" w:themeFillShade="D9"/>
            <w:noWrap/>
            <w:vAlign w:val="center"/>
            <w:hideMark/>
          </w:tcPr>
          <w:p w:rsidR="003E67A7" w:rsidRPr="003E67A7" w:rsidRDefault="003E67A7" w:rsidP="003E67A7">
            <w:pPr>
              <w:jc w:val="right"/>
              <w:rPr>
                <w:rFonts w:ascii="Calibri" w:hAnsi="Calibri"/>
                <w:color w:val="000000"/>
                <w:sz w:val="22"/>
                <w:szCs w:val="22"/>
              </w:rPr>
            </w:pPr>
            <w:r w:rsidRPr="003E67A7">
              <w:rPr>
                <w:b/>
                <w:color w:val="000000"/>
                <w:sz w:val="18"/>
                <w:szCs w:val="18"/>
                <w:lang w:eastAsia="cs-CZ"/>
              </w:rPr>
              <w:t xml:space="preserve">170 801 </w:t>
            </w:r>
          </w:p>
        </w:tc>
        <w:tc>
          <w:tcPr>
            <w:tcW w:w="934" w:type="dxa"/>
            <w:shd w:val="clear" w:color="auto" w:fill="D9D9D9" w:themeFill="background1" w:themeFillShade="D9"/>
            <w:noWrap/>
            <w:vAlign w:val="center"/>
            <w:hideMark/>
          </w:tcPr>
          <w:p w:rsidR="003E67A7" w:rsidRPr="003E67A7" w:rsidRDefault="003E67A7" w:rsidP="003E67A7">
            <w:pPr>
              <w:jc w:val="center"/>
              <w:rPr>
                <w:color w:val="000000"/>
                <w:sz w:val="18"/>
                <w:szCs w:val="18"/>
                <w:lang w:eastAsia="cs-CZ"/>
              </w:rPr>
            </w:pPr>
            <w:r w:rsidRPr="003E67A7">
              <w:rPr>
                <w:color w:val="000000"/>
                <w:sz w:val="18"/>
                <w:szCs w:val="18"/>
                <w:lang w:eastAsia="cs-CZ"/>
              </w:rPr>
              <w:t>-</w:t>
            </w:r>
          </w:p>
        </w:tc>
        <w:tc>
          <w:tcPr>
            <w:tcW w:w="987" w:type="dxa"/>
            <w:shd w:val="clear" w:color="auto" w:fill="D9D9D9" w:themeFill="background1" w:themeFillShade="D9"/>
            <w:noWrap/>
            <w:vAlign w:val="center"/>
            <w:hideMark/>
          </w:tcPr>
          <w:p w:rsidR="003E67A7" w:rsidRPr="003E67A7" w:rsidRDefault="003E67A7" w:rsidP="003E67A7">
            <w:pPr>
              <w:jc w:val="center"/>
              <w:rPr>
                <w:color w:val="000000"/>
                <w:sz w:val="18"/>
                <w:szCs w:val="18"/>
                <w:lang w:eastAsia="cs-CZ"/>
              </w:rPr>
            </w:pPr>
            <w:r w:rsidRPr="003E67A7">
              <w:rPr>
                <w:color w:val="000000"/>
                <w:sz w:val="18"/>
                <w:szCs w:val="18"/>
                <w:lang w:eastAsia="cs-CZ"/>
              </w:rPr>
              <w:t>-</w:t>
            </w:r>
          </w:p>
        </w:tc>
      </w:tr>
    </w:tbl>
    <w:p w:rsidR="003E67A7" w:rsidRPr="003E67A7" w:rsidRDefault="003E67A7" w:rsidP="00ED5953">
      <w:pPr>
        <w:pStyle w:val="Tab"/>
      </w:pPr>
      <w:r w:rsidRPr="003E67A7">
        <w:t>Zoznam projektov železničnej infraštruktúry vhodných k financovaniu z fondu NPE</w:t>
      </w:r>
    </w:p>
    <w:tbl>
      <w:tblPr>
        <w:tblW w:w="9072"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72"/>
        <w:gridCol w:w="4901"/>
        <w:gridCol w:w="673"/>
        <w:gridCol w:w="920"/>
        <w:gridCol w:w="1019"/>
        <w:gridCol w:w="987"/>
      </w:tblGrid>
      <w:tr w:rsidR="003E67A7" w:rsidRPr="003E67A7" w:rsidTr="009553A0">
        <w:trPr>
          <w:trHeight w:val="285"/>
        </w:trPr>
        <w:tc>
          <w:tcPr>
            <w:tcW w:w="572" w:type="dxa"/>
            <w:vMerge w:val="restart"/>
            <w:shd w:val="clear" w:color="auto" w:fill="C6D9F1" w:themeFill="text2" w:themeFillTint="33"/>
            <w:noWrap/>
            <w:vAlign w:val="center"/>
            <w:hideMark/>
          </w:tcPr>
          <w:p w:rsidR="00A127CB" w:rsidRDefault="00A127CB" w:rsidP="003E67A7">
            <w:pPr>
              <w:widowControl w:val="0"/>
              <w:tabs>
                <w:tab w:val="left" w:pos="0"/>
                <w:tab w:val="left" w:pos="851"/>
              </w:tabs>
              <w:adjustRightInd w:val="0"/>
              <w:spacing w:before="180"/>
              <w:jc w:val="both"/>
              <w:textAlignment w:val="baseline"/>
              <w:rPr>
                <w:snapToGrid w:val="0"/>
                <w:sz w:val="22"/>
                <w:szCs w:val="22"/>
                <w:lang w:eastAsia="cs-CZ"/>
              </w:rPr>
            </w:pPr>
          </w:p>
          <w:p w:rsidR="003E67A7" w:rsidRPr="003E67A7" w:rsidRDefault="003E67A7" w:rsidP="003E67A7">
            <w:pPr>
              <w:jc w:val="center"/>
              <w:rPr>
                <w:bCs/>
                <w:sz w:val="18"/>
                <w:szCs w:val="18"/>
                <w:lang w:eastAsia="cs-CZ"/>
              </w:rPr>
            </w:pPr>
          </w:p>
        </w:tc>
        <w:tc>
          <w:tcPr>
            <w:tcW w:w="4901" w:type="dxa"/>
            <w:vMerge w:val="restart"/>
            <w:shd w:val="clear" w:color="auto" w:fill="C6D9F1" w:themeFill="text2" w:themeFillTint="33"/>
            <w:noWrap/>
            <w:vAlign w:val="center"/>
            <w:hideMark/>
          </w:tcPr>
          <w:p w:rsidR="003E67A7" w:rsidRPr="003E67A7" w:rsidRDefault="003E67A7" w:rsidP="003E67A7">
            <w:pPr>
              <w:jc w:val="center"/>
              <w:rPr>
                <w:bCs/>
                <w:sz w:val="18"/>
                <w:szCs w:val="18"/>
                <w:lang w:eastAsia="cs-CZ"/>
              </w:rPr>
            </w:pPr>
            <w:r w:rsidRPr="003E67A7">
              <w:rPr>
                <w:bCs/>
                <w:sz w:val="18"/>
                <w:szCs w:val="18"/>
                <w:lang w:eastAsia="cs-CZ"/>
              </w:rPr>
              <w:t>Názov projektu</w:t>
            </w:r>
          </w:p>
        </w:tc>
        <w:tc>
          <w:tcPr>
            <w:tcW w:w="673" w:type="dxa"/>
            <w:vMerge w:val="restart"/>
            <w:shd w:val="clear" w:color="auto" w:fill="C6D9F1" w:themeFill="text2" w:themeFillTint="33"/>
            <w:noWrap/>
            <w:vAlign w:val="center"/>
            <w:hideMark/>
          </w:tcPr>
          <w:p w:rsidR="003E67A7" w:rsidRPr="003E67A7" w:rsidRDefault="003E67A7" w:rsidP="003E67A7">
            <w:pPr>
              <w:jc w:val="center"/>
              <w:rPr>
                <w:bCs/>
                <w:sz w:val="18"/>
                <w:szCs w:val="18"/>
                <w:lang w:eastAsia="cs-CZ"/>
              </w:rPr>
            </w:pPr>
            <w:r w:rsidRPr="003E67A7">
              <w:rPr>
                <w:bCs/>
                <w:sz w:val="18"/>
                <w:szCs w:val="18"/>
                <w:lang w:eastAsia="cs-CZ"/>
              </w:rPr>
              <w:t>Dĺžka</w:t>
            </w:r>
          </w:p>
          <w:p w:rsidR="003E67A7" w:rsidRPr="003E67A7" w:rsidRDefault="003E67A7" w:rsidP="003E67A7">
            <w:pPr>
              <w:jc w:val="center"/>
              <w:rPr>
                <w:bCs/>
                <w:sz w:val="18"/>
                <w:szCs w:val="18"/>
                <w:lang w:eastAsia="cs-CZ"/>
              </w:rPr>
            </w:pPr>
            <w:r w:rsidRPr="003E67A7">
              <w:rPr>
                <w:bCs/>
                <w:sz w:val="18"/>
                <w:szCs w:val="18"/>
                <w:lang w:eastAsia="cs-CZ"/>
              </w:rPr>
              <w:t>(km)</w:t>
            </w:r>
          </w:p>
        </w:tc>
        <w:tc>
          <w:tcPr>
            <w:tcW w:w="920" w:type="dxa"/>
            <w:vMerge w:val="restart"/>
            <w:shd w:val="clear" w:color="auto" w:fill="C6D9F1" w:themeFill="text2" w:themeFillTint="33"/>
            <w:vAlign w:val="center"/>
            <w:hideMark/>
          </w:tcPr>
          <w:p w:rsidR="003E67A7" w:rsidRPr="003E67A7" w:rsidRDefault="003E67A7" w:rsidP="003E67A7">
            <w:pPr>
              <w:jc w:val="center"/>
              <w:rPr>
                <w:bCs/>
                <w:sz w:val="18"/>
                <w:szCs w:val="18"/>
                <w:lang w:eastAsia="cs-CZ"/>
              </w:rPr>
            </w:pPr>
            <w:r w:rsidRPr="003E67A7">
              <w:rPr>
                <w:bCs/>
                <w:sz w:val="18"/>
                <w:szCs w:val="18"/>
                <w:lang w:eastAsia="cs-CZ"/>
              </w:rPr>
              <w:t>Investičné náklady</w:t>
            </w:r>
            <w:r w:rsidRPr="003E67A7">
              <w:rPr>
                <w:bCs/>
                <w:sz w:val="18"/>
                <w:szCs w:val="18"/>
                <w:lang w:eastAsia="cs-CZ"/>
              </w:rPr>
              <w:br/>
              <w:t>(tis. EUR)</w:t>
            </w:r>
          </w:p>
        </w:tc>
        <w:tc>
          <w:tcPr>
            <w:tcW w:w="2006" w:type="dxa"/>
            <w:gridSpan w:val="2"/>
            <w:shd w:val="clear" w:color="auto" w:fill="C6D9F1" w:themeFill="text2" w:themeFillTint="33"/>
            <w:noWrap/>
            <w:vAlign w:val="center"/>
            <w:hideMark/>
          </w:tcPr>
          <w:p w:rsidR="003E67A7" w:rsidRPr="003E67A7" w:rsidRDefault="003E67A7" w:rsidP="003E67A7">
            <w:pPr>
              <w:jc w:val="center"/>
              <w:rPr>
                <w:bCs/>
                <w:sz w:val="18"/>
                <w:szCs w:val="18"/>
                <w:lang w:eastAsia="cs-CZ"/>
              </w:rPr>
            </w:pPr>
            <w:r w:rsidRPr="003E67A7">
              <w:rPr>
                <w:bCs/>
                <w:sz w:val="18"/>
                <w:szCs w:val="18"/>
                <w:lang w:eastAsia="cs-CZ"/>
              </w:rPr>
              <w:t>Realizácia projektu</w:t>
            </w:r>
          </w:p>
        </w:tc>
      </w:tr>
      <w:tr w:rsidR="003E67A7" w:rsidRPr="003E67A7" w:rsidTr="009553A0">
        <w:trPr>
          <w:trHeight w:val="205"/>
        </w:trPr>
        <w:tc>
          <w:tcPr>
            <w:tcW w:w="572" w:type="dxa"/>
            <w:vMerge/>
            <w:shd w:val="clear" w:color="auto" w:fill="C6D9F1" w:themeFill="text2" w:themeFillTint="33"/>
            <w:noWrap/>
            <w:vAlign w:val="center"/>
            <w:hideMark/>
          </w:tcPr>
          <w:p w:rsidR="003E67A7" w:rsidRPr="003E67A7" w:rsidRDefault="003E67A7" w:rsidP="003E67A7">
            <w:pPr>
              <w:jc w:val="center"/>
              <w:rPr>
                <w:bCs/>
                <w:sz w:val="18"/>
                <w:szCs w:val="18"/>
                <w:lang w:eastAsia="cs-CZ"/>
              </w:rPr>
            </w:pPr>
          </w:p>
        </w:tc>
        <w:tc>
          <w:tcPr>
            <w:tcW w:w="4901" w:type="dxa"/>
            <w:vMerge/>
            <w:shd w:val="clear" w:color="auto" w:fill="C6D9F1" w:themeFill="text2" w:themeFillTint="33"/>
            <w:noWrap/>
            <w:vAlign w:val="center"/>
            <w:hideMark/>
          </w:tcPr>
          <w:p w:rsidR="003E67A7" w:rsidRPr="003E67A7" w:rsidRDefault="003E67A7" w:rsidP="003E67A7">
            <w:pPr>
              <w:jc w:val="center"/>
              <w:rPr>
                <w:bCs/>
                <w:sz w:val="18"/>
                <w:szCs w:val="18"/>
                <w:lang w:eastAsia="cs-CZ"/>
              </w:rPr>
            </w:pPr>
          </w:p>
        </w:tc>
        <w:tc>
          <w:tcPr>
            <w:tcW w:w="673" w:type="dxa"/>
            <w:vMerge/>
            <w:shd w:val="clear" w:color="auto" w:fill="C6D9F1" w:themeFill="text2" w:themeFillTint="33"/>
            <w:noWrap/>
            <w:vAlign w:val="center"/>
            <w:hideMark/>
          </w:tcPr>
          <w:p w:rsidR="003E67A7" w:rsidRPr="003E67A7" w:rsidRDefault="003E67A7" w:rsidP="003E67A7">
            <w:pPr>
              <w:jc w:val="center"/>
              <w:rPr>
                <w:bCs/>
                <w:sz w:val="18"/>
                <w:szCs w:val="18"/>
                <w:lang w:eastAsia="cs-CZ"/>
              </w:rPr>
            </w:pPr>
          </w:p>
        </w:tc>
        <w:tc>
          <w:tcPr>
            <w:tcW w:w="920" w:type="dxa"/>
            <w:vMerge/>
            <w:shd w:val="clear" w:color="auto" w:fill="C6D9F1" w:themeFill="text2" w:themeFillTint="33"/>
            <w:vAlign w:val="center"/>
            <w:hideMark/>
          </w:tcPr>
          <w:p w:rsidR="003E67A7" w:rsidRPr="003E67A7" w:rsidRDefault="003E67A7" w:rsidP="003E67A7">
            <w:pPr>
              <w:jc w:val="center"/>
              <w:rPr>
                <w:bCs/>
                <w:sz w:val="18"/>
                <w:szCs w:val="18"/>
                <w:lang w:eastAsia="cs-CZ"/>
              </w:rPr>
            </w:pPr>
          </w:p>
        </w:tc>
        <w:tc>
          <w:tcPr>
            <w:tcW w:w="1019" w:type="dxa"/>
            <w:shd w:val="clear" w:color="auto" w:fill="C6D9F1" w:themeFill="text2" w:themeFillTint="33"/>
            <w:noWrap/>
            <w:vAlign w:val="center"/>
            <w:hideMark/>
          </w:tcPr>
          <w:p w:rsidR="003E67A7" w:rsidRPr="003E67A7" w:rsidRDefault="003E67A7" w:rsidP="003E67A7">
            <w:pPr>
              <w:jc w:val="center"/>
              <w:rPr>
                <w:bCs/>
                <w:sz w:val="18"/>
                <w:szCs w:val="18"/>
                <w:lang w:eastAsia="cs-CZ"/>
              </w:rPr>
            </w:pPr>
            <w:r w:rsidRPr="003E67A7">
              <w:rPr>
                <w:bCs/>
                <w:sz w:val="18"/>
                <w:szCs w:val="18"/>
                <w:lang w:eastAsia="cs-CZ"/>
              </w:rPr>
              <w:t>Začiatok</w:t>
            </w:r>
          </w:p>
        </w:tc>
        <w:tc>
          <w:tcPr>
            <w:tcW w:w="987" w:type="dxa"/>
            <w:shd w:val="clear" w:color="auto" w:fill="C6D9F1" w:themeFill="text2" w:themeFillTint="33"/>
            <w:noWrap/>
            <w:vAlign w:val="center"/>
            <w:hideMark/>
          </w:tcPr>
          <w:p w:rsidR="003E67A7" w:rsidRPr="003E67A7" w:rsidRDefault="003E67A7" w:rsidP="003E67A7">
            <w:pPr>
              <w:jc w:val="center"/>
              <w:rPr>
                <w:bCs/>
                <w:sz w:val="18"/>
                <w:szCs w:val="18"/>
                <w:lang w:eastAsia="cs-CZ"/>
              </w:rPr>
            </w:pPr>
            <w:r w:rsidRPr="003E67A7">
              <w:rPr>
                <w:bCs/>
                <w:sz w:val="18"/>
                <w:szCs w:val="18"/>
                <w:lang w:eastAsia="cs-CZ"/>
              </w:rPr>
              <w:t>Ukončenie</w:t>
            </w:r>
          </w:p>
        </w:tc>
      </w:tr>
      <w:tr w:rsidR="003E67A7" w:rsidRPr="003E67A7" w:rsidTr="009553A0">
        <w:trPr>
          <w:trHeight w:val="624"/>
        </w:trPr>
        <w:tc>
          <w:tcPr>
            <w:tcW w:w="572" w:type="dxa"/>
            <w:shd w:val="clear" w:color="auto" w:fill="auto"/>
            <w:noWrap/>
            <w:vAlign w:val="center"/>
            <w:hideMark/>
          </w:tcPr>
          <w:p w:rsidR="003E67A7" w:rsidRPr="003E67A7" w:rsidRDefault="003E67A7" w:rsidP="003E67A7">
            <w:pPr>
              <w:jc w:val="center"/>
              <w:rPr>
                <w:color w:val="000000"/>
                <w:sz w:val="18"/>
                <w:szCs w:val="18"/>
                <w:lang w:eastAsia="cs-CZ"/>
              </w:rPr>
            </w:pPr>
            <w:r w:rsidRPr="003E67A7">
              <w:rPr>
                <w:color w:val="000000"/>
                <w:sz w:val="18"/>
                <w:szCs w:val="18"/>
                <w:lang w:eastAsia="cs-CZ"/>
              </w:rPr>
              <w:t>1.</w:t>
            </w:r>
          </w:p>
        </w:tc>
        <w:tc>
          <w:tcPr>
            <w:tcW w:w="4901" w:type="dxa"/>
            <w:shd w:val="clear" w:color="auto" w:fill="auto"/>
            <w:vAlign w:val="center"/>
            <w:hideMark/>
          </w:tcPr>
          <w:p w:rsidR="003E67A7" w:rsidRPr="003E67A7" w:rsidRDefault="003E67A7" w:rsidP="003E67A7">
            <w:pPr>
              <w:rPr>
                <w:sz w:val="18"/>
                <w:szCs w:val="18"/>
                <w:lang w:eastAsia="cs-CZ"/>
              </w:rPr>
            </w:pPr>
            <w:r w:rsidRPr="003E67A7">
              <w:rPr>
                <w:sz w:val="18"/>
                <w:szCs w:val="18"/>
                <w:lang w:eastAsia="cs-CZ"/>
              </w:rPr>
              <w:t>ŽSR, Modernizácia trate Púchov – Žilina pre rýchlosť do 160 km/hod., II. etapa – (úsek Považská Teplá /mimo/ – Žilina /mimo/) (2. fáza)</w:t>
            </w:r>
          </w:p>
        </w:tc>
        <w:tc>
          <w:tcPr>
            <w:tcW w:w="673" w:type="dxa"/>
            <w:shd w:val="clear" w:color="auto" w:fill="auto"/>
            <w:noWrap/>
            <w:vAlign w:val="center"/>
            <w:hideMark/>
          </w:tcPr>
          <w:p w:rsidR="003E67A7" w:rsidRPr="003E67A7" w:rsidRDefault="003E67A7" w:rsidP="003E67A7">
            <w:pPr>
              <w:jc w:val="center"/>
              <w:rPr>
                <w:sz w:val="18"/>
                <w:szCs w:val="18"/>
                <w:lang w:eastAsia="cs-CZ"/>
              </w:rPr>
            </w:pPr>
            <w:r w:rsidRPr="003E67A7">
              <w:rPr>
                <w:sz w:val="18"/>
                <w:szCs w:val="18"/>
                <w:lang w:eastAsia="cs-CZ"/>
              </w:rPr>
              <w:t>12</w:t>
            </w:r>
          </w:p>
        </w:tc>
        <w:tc>
          <w:tcPr>
            <w:tcW w:w="920" w:type="dxa"/>
            <w:shd w:val="clear" w:color="auto" w:fill="auto"/>
            <w:noWrap/>
            <w:vAlign w:val="center"/>
            <w:hideMark/>
          </w:tcPr>
          <w:p w:rsidR="003E67A7" w:rsidRPr="003E67A7" w:rsidRDefault="003E67A7" w:rsidP="003E67A7">
            <w:pPr>
              <w:jc w:val="right"/>
              <w:rPr>
                <w:sz w:val="18"/>
                <w:szCs w:val="18"/>
                <w:lang w:eastAsia="cs-CZ"/>
              </w:rPr>
            </w:pPr>
            <w:r w:rsidRPr="003E67A7">
              <w:rPr>
                <w:sz w:val="18"/>
                <w:szCs w:val="18"/>
                <w:lang w:eastAsia="cs-CZ"/>
              </w:rPr>
              <w:t>67 627</w:t>
            </w:r>
          </w:p>
        </w:tc>
        <w:tc>
          <w:tcPr>
            <w:tcW w:w="1019" w:type="dxa"/>
            <w:shd w:val="clear" w:color="auto" w:fill="auto"/>
            <w:vAlign w:val="center"/>
            <w:hideMark/>
          </w:tcPr>
          <w:p w:rsidR="003E67A7" w:rsidRPr="003E67A7" w:rsidRDefault="003E67A7" w:rsidP="003E67A7">
            <w:pPr>
              <w:jc w:val="center"/>
              <w:rPr>
                <w:sz w:val="18"/>
                <w:szCs w:val="18"/>
                <w:lang w:eastAsia="cs-CZ"/>
              </w:rPr>
            </w:pPr>
            <w:r w:rsidRPr="003E67A7">
              <w:rPr>
                <w:sz w:val="18"/>
                <w:szCs w:val="18"/>
                <w:lang w:eastAsia="cs-CZ"/>
              </w:rPr>
              <w:t>2015</w:t>
            </w:r>
          </w:p>
        </w:tc>
        <w:tc>
          <w:tcPr>
            <w:tcW w:w="987" w:type="dxa"/>
            <w:shd w:val="clear" w:color="auto" w:fill="auto"/>
            <w:noWrap/>
            <w:vAlign w:val="center"/>
            <w:hideMark/>
          </w:tcPr>
          <w:p w:rsidR="003E67A7" w:rsidRPr="003E67A7" w:rsidRDefault="003E67A7" w:rsidP="003E67A7">
            <w:pPr>
              <w:jc w:val="center"/>
              <w:rPr>
                <w:sz w:val="18"/>
                <w:szCs w:val="18"/>
                <w:lang w:eastAsia="cs-CZ"/>
              </w:rPr>
            </w:pPr>
            <w:r w:rsidRPr="003E67A7">
              <w:rPr>
                <w:sz w:val="18"/>
                <w:szCs w:val="18"/>
                <w:lang w:eastAsia="cs-CZ"/>
              </w:rPr>
              <w:t>2016</w:t>
            </w:r>
          </w:p>
        </w:tc>
      </w:tr>
      <w:tr w:rsidR="003E67A7" w:rsidRPr="003E67A7" w:rsidTr="009553A0">
        <w:trPr>
          <w:trHeight w:val="510"/>
        </w:trPr>
        <w:tc>
          <w:tcPr>
            <w:tcW w:w="572" w:type="dxa"/>
            <w:shd w:val="clear" w:color="auto" w:fill="auto"/>
            <w:noWrap/>
            <w:vAlign w:val="center"/>
            <w:hideMark/>
          </w:tcPr>
          <w:p w:rsidR="003E67A7" w:rsidRPr="003E67A7" w:rsidRDefault="003E67A7" w:rsidP="003E67A7">
            <w:pPr>
              <w:jc w:val="center"/>
              <w:rPr>
                <w:color w:val="000000"/>
                <w:sz w:val="18"/>
                <w:szCs w:val="18"/>
                <w:lang w:eastAsia="cs-CZ"/>
              </w:rPr>
            </w:pPr>
            <w:r w:rsidRPr="003E67A7">
              <w:rPr>
                <w:color w:val="000000"/>
                <w:sz w:val="18"/>
                <w:szCs w:val="18"/>
                <w:lang w:eastAsia="cs-CZ"/>
              </w:rPr>
              <w:t>2.</w:t>
            </w:r>
          </w:p>
        </w:tc>
        <w:tc>
          <w:tcPr>
            <w:tcW w:w="4901" w:type="dxa"/>
            <w:shd w:val="clear" w:color="auto" w:fill="auto"/>
            <w:vAlign w:val="center"/>
            <w:hideMark/>
          </w:tcPr>
          <w:p w:rsidR="003E67A7" w:rsidRPr="003E67A7" w:rsidRDefault="003E67A7" w:rsidP="003E67A7">
            <w:pPr>
              <w:rPr>
                <w:sz w:val="18"/>
                <w:szCs w:val="18"/>
                <w:lang w:eastAsia="cs-CZ"/>
              </w:rPr>
            </w:pPr>
            <w:r w:rsidRPr="003E67A7">
              <w:rPr>
                <w:sz w:val="18"/>
                <w:szCs w:val="18"/>
                <w:lang w:eastAsia="cs-CZ"/>
              </w:rPr>
              <w:t>ŽSR, Modernizácia železničnej trate Púchov – Žilina, pre traťovú rýchlosť do 160 km/hod. – I. etapa (Púchov – Považská Teplá)</w:t>
            </w:r>
          </w:p>
        </w:tc>
        <w:tc>
          <w:tcPr>
            <w:tcW w:w="673" w:type="dxa"/>
            <w:shd w:val="clear" w:color="auto" w:fill="auto"/>
            <w:noWrap/>
            <w:vAlign w:val="center"/>
            <w:hideMark/>
          </w:tcPr>
          <w:p w:rsidR="003E67A7" w:rsidRPr="003E67A7" w:rsidRDefault="003E67A7" w:rsidP="003E67A7">
            <w:pPr>
              <w:jc w:val="center"/>
              <w:rPr>
                <w:sz w:val="18"/>
                <w:szCs w:val="18"/>
                <w:lang w:val="en-US" w:eastAsia="cs-CZ"/>
              </w:rPr>
            </w:pPr>
            <w:r w:rsidRPr="003E67A7">
              <w:rPr>
                <w:sz w:val="18"/>
                <w:szCs w:val="18"/>
                <w:lang w:val="en-US" w:eastAsia="cs-CZ"/>
              </w:rPr>
              <w:t>16</w:t>
            </w:r>
          </w:p>
        </w:tc>
        <w:tc>
          <w:tcPr>
            <w:tcW w:w="920" w:type="dxa"/>
            <w:shd w:val="clear" w:color="auto" w:fill="auto"/>
            <w:noWrap/>
            <w:vAlign w:val="center"/>
            <w:hideMark/>
          </w:tcPr>
          <w:p w:rsidR="003E67A7" w:rsidRPr="003E67A7" w:rsidRDefault="003E67A7" w:rsidP="003E67A7">
            <w:pPr>
              <w:jc w:val="right"/>
              <w:rPr>
                <w:sz w:val="18"/>
                <w:szCs w:val="18"/>
                <w:lang w:eastAsia="cs-CZ"/>
              </w:rPr>
            </w:pPr>
            <w:r w:rsidRPr="003E67A7">
              <w:rPr>
                <w:sz w:val="18"/>
                <w:szCs w:val="18"/>
                <w:lang w:eastAsia="cs-CZ"/>
              </w:rPr>
              <w:t>300 000</w:t>
            </w:r>
          </w:p>
        </w:tc>
        <w:tc>
          <w:tcPr>
            <w:tcW w:w="1019" w:type="dxa"/>
            <w:shd w:val="clear" w:color="auto" w:fill="auto"/>
            <w:vAlign w:val="center"/>
            <w:hideMark/>
          </w:tcPr>
          <w:p w:rsidR="003E67A7" w:rsidRPr="003E67A7" w:rsidRDefault="003E67A7" w:rsidP="003E67A7">
            <w:pPr>
              <w:jc w:val="center"/>
              <w:rPr>
                <w:sz w:val="18"/>
                <w:szCs w:val="18"/>
                <w:lang w:eastAsia="cs-CZ"/>
              </w:rPr>
            </w:pPr>
            <w:r w:rsidRPr="003E67A7">
              <w:rPr>
                <w:sz w:val="18"/>
                <w:szCs w:val="18"/>
                <w:lang w:eastAsia="cs-CZ"/>
              </w:rPr>
              <w:t>2015</w:t>
            </w:r>
          </w:p>
        </w:tc>
        <w:tc>
          <w:tcPr>
            <w:tcW w:w="987" w:type="dxa"/>
            <w:shd w:val="clear" w:color="auto" w:fill="auto"/>
            <w:noWrap/>
            <w:vAlign w:val="center"/>
            <w:hideMark/>
          </w:tcPr>
          <w:p w:rsidR="003E67A7" w:rsidRPr="003E67A7" w:rsidRDefault="003E67A7" w:rsidP="003E67A7">
            <w:pPr>
              <w:jc w:val="center"/>
              <w:rPr>
                <w:sz w:val="18"/>
                <w:szCs w:val="18"/>
                <w:lang w:eastAsia="cs-CZ"/>
              </w:rPr>
            </w:pPr>
            <w:r w:rsidRPr="003E67A7">
              <w:rPr>
                <w:sz w:val="18"/>
                <w:szCs w:val="18"/>
                <w:lang w:eastAsia="cs-CZ"/>
              </w:rPr>
              <w:t>2018</w:t>
            </w:r>
          </w:p>
        </w:tc>
      </w:tr>
      <w:tr w:rsidR="003E67A7" w:rsidRPr="003E67A7" w:rsidTr="009553A0">
        <w:trPr>
          <w:trHeight w:val="624"/>
        </w:trPr>
        <w:tc>
          <w:tcPr>
            <w:tcW w:w="572" w:type="dxa"/>
            <w:shd w:val="clear" w:color="auto" w:fill="auto"/>
            <w:noWrap/>
            <w:vAlign w:val="center"/>
            <w:hideMark/>
          </w:tcPr>
          <w:p w:rsidR="003E67A7" w:rsidRPr="003E67A7" w:rsidRDefault="003E67A7" w:rsidP="003E67A7">
            <w:pPr>
              <w:jc w:val="center"/>
              <w:rPr>
                <w:sz w:val="18"/>
                <w:szCs w:val="18"/>
                <w:lang w:eastAsia="cs-CZ"/>
              </w:rPr>
            </w:pPr>
            <w:r w:rsidRPr="003E67A7">
              <w:rPr>
                <w:sz w:val="18"/>
                <w:szCs w:val="18"/>
                <w:lang w:eastAsia="cs-CZ"/>
              </w:rPr>
              <w:t>3.</w:t>
            </w:r>
          </w:p>
        </w:tc>
        <w:tc>
          <w:tcPr>
            <w:tcW w:w="4901" w:type="dxa"/>
            <w:shd w:val="clear" w:color="auto" w:fill="auto"/>
            <w:vAlign w:val="center"/>
            <w:hideMark/>
          </w:tcPr>
          <w:p w:rsidR="003E67A7" w:rsidRPr="003E67A7" w:rsidRDefault="003E67A7" w:rsidP="003E67A7">
            <w:pPr>
              <w:rPr>
                <w:sz w:val="18"/>
                <w:szCs w:val="18"/>
                <w:lang w:eastAsia="cs-CZ"/>
              </w:rPr>
            </w:pPr>
            <w:r w:rsidRPr="003E67A7">
              <w:rPr>
                <w:sz w:val="18"/>
                <w:szCs w:val="18"/>
                <w:lang w:eastAsia="cs-CZ"/>
              </w:rPr>
              <w:t>ŽSR, Modernizácia železničnej trate Žilina – Košice, úsek trate Liptovský Mikuláš – Poprad Tatry (mimo), realizácia úseku Poprad–Tatry – Lučivná a Paludza – Liptovský Hrádok</w:t>
            </w:r>
          </w:p>
        </w:tc>
        <w:tc>
          <w:tcPr>
            <w:tcW w:w="673" w:type="dxa"/>
            <w:shd w:val="clear" w:color="auto" w:fill="auto"/>
            <w:noWrap/>
            <w:vAlign w:val="center"/>
            <w:hideMark/>
          </w:tcPr>
          <w:p w:rsidR="003E67A7" w:rsidRPr="003E67A7" w:rsidRDefault="003E67A7" w:rsidP="003E67A7">
            <w:pPr>
              <w:jc w:val="center"/>
              <w:rPr>
                <w:sz w:val="18"/>
                <w:szCs w:val="18"/>
                <w:lang w:val="en-US" w:eastAsia="cs-CZ"/>
              </w:rPr>
            </w:pPr>
            <w:r w:rsidRPr="003E67A7">
              <w:rPr>
                <w:sz w:val="18"/>
                <w:szCs w:val="18"/>
                <w:lang w:val="en-US" w:eastAsia="cs-CZ"/>
              </w:rPr>
              <w:t>31</w:t>
            </w:r>
          </w:p>
        </w:tc>
        <w:tc>
          <w:tcPr>
            <w:tcW w:w="920" w:type="dxa"/>
            <w:shd w:val="clear" w:color="auto" w:fill="auto"/>
            <w:noWrap/>
            <w:vAlign w:val="center"/>
            <w:hideMark/>
          </w:tcPr>
          <w:p w:rsidR="003E67A7" w:rsidRPr="003E67A7" w:rsidRDefault="003E67A7" w:rsidP="003E67A7">
            <w:pPr>
              <w:jc w:val="right"/>
              <w:rPr>
                <w:sz w:val="18"/>
                <w:szCs w:val="18"/>
                <w:lang w:eastAsia="cs-CZ"/>
              </w:rPr>
            </w:pPr>
            <w:r w:rsidRPr="003E67A7">
              <w:rPr>
                <w:sz w:val="18"/>
                <w:szCs w:val="18"/>
                <w:lang w:eastAsia="cs-CZ"/>
              </w:rPr>
              <w:t>500 000</w:t>
            </w:r>
          </w:p>
        </w:tc>
        <w:tc>
          <w:tcPr>
            <w:tcW w:w="1019" w:type="dxa"/>
            <w:shd w:val="clear" w:color="auto" w:fill="auto"/>
            <w:vAlign w:val="center"/>
            <w:hideMark/>
          </w:tcPr>
          <w:p w:rsidR="003E67A7" w:rsidRPr="003E67A7" w:rsidRDefault="003E67A7" w:rsidP="003E67A7">
            <w:pPr>
              <w:jc w:val="center"/>
              <w:rPr>
                <w:sz w:val="18"/>
                <w:szCs w:val="18"/>
                <w:lang w:eastAsia="cs-CZ"/>
              </w:rPr>
            </w:pPr>
            <w:r w:rsidRPr="003E67A7">
              <w:rPr>
                <w:sz w:val="18"/>
                <w:szCs w:val="18"/>
                <w:lang w:eastAsia="cs-CZ"/>
              </w:rPr>
              <w:t>2015</w:t>
            </w:r>
          </w:p>
        </w:tc>
        <w:tc>
          <w:tcPr>
            <w:tcW w:w="987" w:type="dxa"/>
            <w:shd w:val="clear" w:color="auto" w:fill="auto"/>
            <w:noWrap/>
            <w:vAlign w:val="center"/>
            <w:hideMark/>
          </w:tcPr>
          <w:p w:rsidR="003E67A7" w:rsidRPr="003E67A7" w:rsidRDefault="003E67A7" w:rsidP="003E67A7">
            <w:pPr>
              <w:jc w:val="center"/>
              <w:rPr>
                <w:sz w:val="18"/>
                <w:szCs w:val="18"/>
                <w:lang w:eastAsia="cs-CZ"/>
              </w:rPr>
            </w:pPr>
            <w:r w:rsidRPr="003E67A7">
              <w:rPr>
                <w:sz w:val="18"/>
                <w:szCs w:val="18"/>
                <w:lang w:eastAsia="cs-CZ"/>
              </w:rPr>
              <w:t>2018</w:t>
            </w:r>
          </w:p>
        </w:tc>
      </w:tr>
      <w:tr w:rsidR="003E67A7" w:rsidRPr="003E67A7" w:rsidTr="009553A0">
        <w:trPr>
          <w:trHeight w:val="300"/>
        </w:trPr>
        <w:tc>
          <w:tcPr>
            <w:tcW w:w="6146" w:type="dxa"/>
            <w:gridSpan w:val="3"/>
            <w:shd w:val="clear" w:color="auto" w:fill="D9D9D9" w:themeFill="background1" w:themeFillShade="D9"/>
            <w:noWrap/>
            <w:vAlign w:val="center"/>
            <w:hideMark/>
          </w:tcPr>
          <w:p w:rsidR="003E67A7" w:rsidRPr="003E67A7" w:rsidRDefault="003E67A7" w:rsidP="003E67A7">
            <w:pPr>
              <w:jc w:val="right"/>
              <w:rPr>
                <w:b/>
                <w:color w:val="000000"/>
                <w:sz w:val="18"/>
                <w:szCs w:val="18"/>
                <w:lang w:eastAsia="cs-CZ"/>
              </w:rPr>
            </w:pPr>
            <w:r w:rsidRPr="003E67A7">
              <w:rPr>
                <w:b/>
                <w:color w:val="000000"/>
                <w:sz w:val="18"/>
                <w:szCs w:val="18"/>
                <w:lang w:eastAsia="cs-CZ"/>
              </w:rPr>
              <w:t>Investičný potenciál</w:t>
            </w:r>
          </w:p>
        </w:tc>
        <w:tc>
          <w:tcPr>
            <w:tcW w:w="920" w:type="dxa"/>
            <w:shd w:val="clear" w:color="auto" w:fill="D9D9D9" w:themeFill="background1" w:themeFillShade="D9"/>
            <w:noWrap/>
            <w:vAlign w:val="center"/>
            <w:hideMark/>
          </w:tcPr>
          <w:p w:rsidR="003E67A7" w:rsidRPr="003E67A7" w:rsidRDefault="003E67A7" w:rsidP="003E67A7">
            <w:pPr>
              <w:jc w:val="right"/>
              <w:rPr>
                <w:b/>
                <w:color w:val="000000"/>
                <w:sz w:val="18"/>
                <w:szCs w:val="18"/>
                <w:lang w:eastAsia="cs-CZ"/>
              </w:rPr>
            </w:pPr>
            <w:r w:rsidRPr="003E67A7">
              <w:rPr>
                <w:b/>
                <w:color w:val="000000"/>
                <w:sz w:val="18"/>
                <w:szCs w:val="18"/>
                <w:lang w:eastAsia="cs-CZ"/>
              </w:rPr>
              <w:t>867 627</w:t>
            </w:r>
          </w:p>
        </w:tc>
        <w:tc>
          <w:tcPr>
            <w:tcW w:w="1019" w:type="dxa"/>
            <w:shd w:val="clear" w:color="auto" w:fill="D9D9D9" w:themeFill="background1" w:themeFillShade="D9"/>
            <w:vAlign w:val="center"/>
            <w:hideMark/>
          </w:tcPr>
          <w:p w:rsidR="003E67A7" w:rsidRPr="003E67A7" w:rsidRDefault="003E67A7" w:rsidP="003E67A7">
            <w:pPr>
              <w:jc w:val="center"/>
              <w:rPr>
                <w:sz w:val="18"/>
                <w:szCs w:val="18"/>
                <w:lang w:eastAsia="cs-CZ"/>
              </w:rPr>
            </w:pPr>
            <w:r w:rsidRPr="003E67A7">
              <w:rPr>
                <w:sz w:val="18"/>
                <w:szCs w:val="18"/>
                <w:lang w:eastAsia="cs-CZ"/>
              </w:rPr>
              <w:t>-</w:t>
            </w:r>
          </w:p>
        </w:tc>
        <w:tc>
          <w:tcPr>
            <w:tcW w:w="987" w:type="dxa"/>
            <w:shd w:val="clear" w:color="auto" w:fill="D9D9D9" w:themeFill="background1" w:themeFillShade="D9"/>
            <w:noWrap/>
            <w:vAlign w:val="center"/>
            <w:hideMark/>
          </w:tcPr>
          <w:p w:rsidR="003E67A7" w:rsidRPr="003E67A7" w:rsidRDefault="003E67A7" w:rsidP="003E67A7">
            <w:pPr>
              <w:jc w:val="center"/>
              <w:rPr>
                <w:color w:val="000000"/>
                <w:sz w:val="18"/>
                <w:szCs w:val="18"/>
                <w:lang w:eastAsia="cs-CZ"/>
              </w:rPr>
            </w:pPr>
            <w:r w:rsidRPr="003E67A7">
              <w:rPr>
                <w:color w:val="000000"/>
                <w:sz w:val="18"/>
                <w:szCs w:val="18"/>
                <w:lang w:eastAsia="cs-CZ"/>
              </w:rPr>
              <w:t>-</w:t>
            </w:r>
          </w:p>
        </w:tc>
      </w:tr>
    </w:tbl>
    <w:p w:rsidR="003E67A7" w:rsidRDefault="003E67A7" w:rsidP="003E67A7">
      <w:pPr>
        <w:pStyle w:val="Nadpis3"/>
      </w:pPr>
      <w:bookmarkStart w:id="159" w:name="_Toc385310764"/>
      <w:r>
        <w:t>Informačná spoločnosť</w:t>
      </w:r>
      <w:bookmarkEnd w:id="159"/>
    </w:p>
    <w:p w:rsidR="003E67A7" w:rsidRDefault="003E67A7" w:rsidP="003E67A7">
      <w:pPr>
        <w:pStyle w:val="06Normal"/>
        <w:spacing w:before="180" w:after="120"/>
      </w:pPr>
      <w:r w:rsidRPr="00B02869">
        <w:t xml:space="preserve">Výška finančného krytia nástroja </w:t>
      </w:r>
      <w:r>
        <w:t>NPE</w:t>
      </w:r>
      <w:r w:rsidRPr="00B02869">
        <w:t xml:space="preserve"> na obdobie 2014 – 2020 bude </w:t>
      </w:r>
      <w:r>
        <w:rPr>
          <w:b/>
        </w:rPr>
        <w:t>33 242</w:t>
      </w:r>
      <w:r w:rsidRPr="00B02869">
        <w:rPr>
          <w:b/>
        </w:rPr>
        <w:t xml:space="preserve"> mil. </w:t>
      </w:r>
      <w:r>
        <w:rPr>
          <w:b/>
        </w:rPr>
        <w:t>EUR</w:t>
      </w:r>
      <w:r w:rsidRPr="00AD2FA3">
        <w:t xml:space="preserve"> (v bežných cenách)</w:t>
      </w:r>
      <w:r w:rsidRPr="00B02869">
        <w:t xml:space="preserve">, vrátane </w:t>
      </w:r>
      <w:r>
        <w:t>11</w:t>
      </w:r>
      <w:r w:rsidRPr="00B02869">
        <w:t> </w:t>
      </w:r>
      <w:r>
        <w:t>306</w:t>
      </w:r>
      <w:r w:rsidRPr="00B02869">
        <w:t xml:space="preserve"> mil. </w:t>
      </w:r>
      <w:r>
        <w:t>EUR</w:t>
      </w:r>
      <w:r w:rsidRPr="00B02869">
        <w:t>, ktoré sa presunú z</w:t>
      </w:r>
      <w:r>
        <w:t> </w:t>
      </w:r>
      <w:r w:rsidRPr="00B02869">
        <w:t xml:space="preserve">Kohézneho fondu. </w:t>
      </w:r>
      <w:r>
        <w:t>Suma 1 142 mil. EUR je vyčlenená na podporu investícií do rýchlych a veľmi rýchlych širokopásmových sietí a celoeurópskych digitálnych služieb.</w:t>
      </w:r>
    </w:p>
    <w:p w:rsidR="003E67A7" w:rsidRDefault="003E67A7" w:rsidP="003E67A7">
      <w:pPr>
        <w:pStyle w:val="06Normal"/>
        <w:spacing w:before="180" w:after="0"/>
      </w:pPr>
      <w:r>
        <w:t xml:space="preserve">V oblasti digitálnych služieb by mali byť poskytnuté </w:t>
      </w:r>
      <w:r w:rsidR="0092704A">
        <w:t xml:space="preserve">prostriedky </w:t>
      </w:r>
      <w:r>
        <w:t>využité na granty zamerané na budovanie infraštruktúry potrebnej pre zavedenie technológie elektronickej totožnosti, elektronického verejného obstarávania, elektronických záznamov, digitálnej knižnice Europeana, webového portálu elektronickej justície a služieb v colnej oblasti. Tieto prostriedky by mali poslúžiť na zabezpečenie interoperability a pokrytie nákladov na prevádzku tejto potrebnej infraštruktúry na európskej úrovni, ktorá bude spájať príslušnú infraštruktúru jednotlivých členských štátov.</w:t>
      </w:r>
    </w:p>
    <w:p w:rsidR="003E67A7" w:rsidRDefault="003E67A7" w:rsidP="003E67A7">
      <w:pPr>
        <w:pStyle w:val="06Normal"/>
        <w:spacing w:before="180" w:after="0"/>
      </w:pPr>
      <w:r>
        <w:t>V podmienkach Slovenska bude možné prostriedky NPE využiť na dofinancovanie dopytovo orientovaných projektov v lokálnych oblastiach a ako doplnkový zdroj na financovanie rozvoja digitálnych služieb, tak ako je uvedené v nasledujúcej tabuľke.</w:t>
      </w:r>
    </w:p>
    <w:p w:rsidR="003E67A7" w:rsidRDefault="003E67A7" w:rsidP="00ED5953">
      <w:pPr>
        <w:pStyle w:val="Tab"/>
      </w:pPr>
      <w:r>
        <w:t>Možné využitie NPE v rámci informačnej spoločnosti</w:t>
      </w:r>
    </w:p>
    <w:tbl>
      <w:tblPr>
        <w:tblStyle w:val="Mriekatabuky"/>
        <w:tblW w:w="9072"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2268"/>
        <w:gridCol w:w="4253"/>
        <w:gridCol w:w="2551"/>
      </w:tblGrid>
      <w:tr w:rsidR="00AB40B4" w:rsidRPr="00AD2FA3" w:rsidTr="00A127CB">
        <w:trPr>
          <w:trHeight w:val="340"/>
        </w:trPr>
        <w:tc>
          <w:tcPr>
            <w:tcW w:w="1250" w:type="pct"/>
            <w:shd w:val="clear" w:color="auto" w:fill="C6D9F1" w:themeFill="text2" w:themeFillTint="33"/>
            <w:vAlign w:val="center"/>
          </w:tcPr>
          <w:p w:rsidR="00E92F9B" w:rsidRDefault="001218A8">
            <w:pPr>
              <w:pStyle w:val="09TableHeading"/>
              <w:tabs>
                <w:tab w:val="left" w:pos="567"/>
                <w:tab w:val="left" w:leader="dot" w:pos="9356"/>
              </w:tabs>
              <w:spacing w:before="0" w:after="0" w:line="240" w:lineRule="exact"/>
              <w:ind w:left="0"/>
              <w:jc w:val="center"/>
              <w:rPr>
                <w:rFonts w:ascii="Times New Roman" w:hAnsi="Times New Roman" w:cs="Times New Roman"/>
                <w:color w:val="auto"/>
                <w:sz w:val="18"/>
                <w:szCs w:val="18"/>
              </w:rPr>
            </w:pPr>
            <w:r w:rsidRPr="001218A8">
              <w:rPr>
                <w:rFonts w:ascii="Times New Roman" w:hAnsi="Times New Roman" w:cs="Times New Roman"/>
                <w:color w:val="auto"/>
                <w:sz w:val="18"/>
                <w:szCs w:val="18"/>
              </w:rPr>
              <w:t>Investičná priorita</w:t>
            </w:r>
          </w:p>
        </w:tc>
        <w:tc>
          <w:tcPr>
            <w:tcW w:w="2344" w:type="pct"/>
            <w:shd w:val="clear" w:color="auto" w:fill="C6D9F1" w:themeFill="text2" w:themeFillTint="33"/>
            <w:vAlign w:val="center"/>
          </w:tcPr>
          <w:p w:rsidR="00AB40B4" w:rsidRPr="00AB40B4" w:rsidRDefault="001218A8" w:rsidP="00F07429">
            <w:pPr>
              <w:pStyle w:val="09TableHeading"/>
              <w:tabs>
                <w:tab w:val="left" w:pos="567"/>
                <w:tab w:val="left" w:leader="dot" w:pos="9356"/>
              </w:tabs>
              <w:spacing w:before="0" w:after="0"/>
              <w:ind w:left="0" w:hanging="851"/>
              <w:jc w:val="center"/>
              <w:rPr>
                <w:rFonts w:ascii="Times New Roman" w:hAnsi="Times New Roman" w:cs="Times New Roman"/>
                <w:color w:val="auto"/>
                <w:sz w:val="18"/>
                <w:szCs w:val="18"/>
              </w:rPr>
            </w:pPr>
            <w:r w:rsidRPr="001218A8">
              <w:rPr>
                <w:rFonts w:ascii="Times New Roman" w:hAnsi="Times New Roman" w:cs="Times New Roman"/>
                <w:color w:val="auto"/>
                <w:sz w:val="18"/>
                <w:szCs w:val="18"/>
              </w:rPr>
              <w:t>Špecifický cieľ</w:t>
            </w:r>
          </w:p>
        </w:tc>
        <w:tc>
          <w:tcPr>
            <w:tcW w:w="1406" w:type="pct"/>
            <w:shd w:val="clear" w:color="auto" w:fill="C6D9F1" w:themeFill="text2" w:themeFillTint="33"/>
            <w:vAlign w:val="center"/>
          </w:tcPr>
          <w:p w:rsidR="00AB40B4" w:rsidRPr="00AB40B4" w:rsidRDefault="001218A8" w:rsidP="00F07429">
            <w:pPr>
              <w:pStyle w:val="09TableHeading"/>
              <w:tabs>
                <w:tab w:val="left" w:pos="567"/>
                <w:tab w:val="left" w:leader="dot" w:pos="9356"/>
              </w:tabs>
              <w:spacing w:before="0" w:after="0"/>
              <w:ind w:left="0" w:hanging="851"/>
              <w:jc w:val="center"/>
              <w:rPr>
                <w:rFonts w:ascii="Times New Roman" w:hAnsi="Times New Roman" w:cs="Times New Roman"/>
                <w:color w:val="auto"/>
                <w:sz w:val="18"/>
                <w:szCs w:val="18"/>
              </w:rPr>
            </w:pPr>
            <w:r w:rsidRPr="001218A8">
              <w:rPr>
                <w:rFonts w:ascii="Times New Roman" w:hAnsi="Times New Roman" w:cs="Times New Roman"/>
                <w:color w:val="auto"/>
                <w:sz w:val="18"/>
                <w:szCs w:val="18"/>
              </w:rPr>
              <w:t>Nástroj</w:t>
            </w:r>
          </w:p>
        </w:tc>
      </w:tr>
      <w:tr w:rsidR="00AB40B4" w:rsidRPr="00E5687A" w:rsidTr="00A127CB">
        <w:trPr>
          <w:trHeight w:val="50"/>
        </w:trPr>
        <w:tc>
          <w:tcPr>
            <w:tcW w:w="1250" w:type="pct"/>
          </w:tcPr>
          <w:p w:rsidR="00E92F9B" w:rsidRDefault="00AB40B4" w:rsidP="00A127CB">
            <w:pPr>
              <w:pStyle w:val="08TableText"/>
              <w:spacing w:line="240" w:lineRule="exact"/>
              <w:ind w:left="0"/>
              <w:jc w:val="left"/>
              <w:rPr>
                <w:rFonts w:ascii="Times New Roman" w:hAnsi="Times New Roman" w:cs="Times New Roman"/>
                <w:sz w:val="18"/>
                <w:szCs w:val="18"/>
              </w:rPr>
            </w:pPr>
            <w:r w:rsidRPr="000A6050">
              <w:rPr>
                <w:rFonts w:ascii="Times New Roman" w:hAnsi="Times New Roman" w:cs="Times New Roman"/>
                <w:sz w:val="18"/>
                <w:szCs w:val="18"/>
              </w:rPr>
              <w:t>Rozšírenie širokopásmového pripojenia a zavádzanie vysokorýchlostných sietí a podpora zavádzania nastupujúcich technológií a sietí pre digitálne hospodárstvo</w:t>
            </w:r>
          </w:p>
        </w:tc>
        <w:tc>
          <w:tcPr>
            <w:tcW w:w="2344" w:type="pct"/>
          </w:tcPr>
          <w:p w:rsidR="00AB40B4" w:rsidRPr="00E5687A" w:rsidRDefault="00AB40B4" w:rsidP="00A127CB">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Zvýšenie pokrytia širokopásmovým internetom / NGN</w:t>
            </w:r>
          </w:p>
        </w:tc>
        <w:tc>
          <w:tcPr>
            <w:tcW w:w="1406" w:type="pct"/>
            <w:vAlign w:val="center"/>
          </w:tcPr>
          <w:p w:rsidR="00AB40B4" w:rsidRPr="00E5687A" w:rsidRDefault="00AB40B4" w:rsidP="00F07429">
            <w:pPr>
              <w:pStyle w:val="08TableText"/>
              <w:ind w:left="0"/>
              <w:jc w:val="center"/>
              <w:rPr>
                <w:rFonts w:ascii="Times New Roman" w:hAnsi="Times New Roman" w:cs="Times New Roman"/>
                <w:sz w:val="18"/>
                <w:szCs w:val="18"/>
              </w:rPr>
            </w:pPr>
            <w:r>
              <w:rPr>
                <w:rFonts w:ascii="Times New Roman" w:hAnsi="Times New Roman" w:cs="Times New Roman"/>
                <w:sz w:val="18"/>
                <w:szCs w:val="18"/>
              </w:rPr>
              <w:t>EFRR, NPE</w:t>
            </w:r>
            <w:r w:rsidRPr="00E5687A">
              <w:rPr>
                <w:rFonts w:ascii="Times New Roman" w:hAnsi="Times New Roman" w:cs="Times New Roman"/>
                <w:sz w:val="18"/>
                <w:szCs w:val="18"/>
              </w:rPr>
              <w:t xml:space="preserve"> </w:t>
            </w:r>
          </w:p>
        </w:tc>
      </w:tr>
      <w:tr w:rsidR="00AB40B4" w:rsidRPr="00E5687A" w:rsidTr="00A127CB">
        <w:trPr>
          <w:trHeight w:val="1080"/>
        </w:trPr>
        <w:tc>
          <w:tcPr>
            <w:tcW w:w="1250" w:type="pct"/>
          </w:tcPr>
          <w:p w:rsidR="00E92F9B" w:rsidRDefault="00AB40B4" w:rsidP="00A127CB">
            <w:pPr>
              <w:pStyle w:val="08TableText"/>
              <w:spacing w:line="240" w:lineRule="exact"/>
              <w:ind w:left="0"/>
              <w:jc w:val="left"/>
              <w:rPr>
                <w:rFonts w:ascii="Times New Roman" w:hAnsi="Times New Roman" w:cs="Times New Roman"/>
                <w:sz w:val="18"/>
                <w:szCs w:val="18"/>
              </w:rPr>
            </w:pPr>
            <w:r w:rsidRPr="000A6050">
              <w:rPr>
                <w:rFonts w:ascii="Times New Roman" w:hAnsi="Times New Roman" w:cs="Times New Roman"/>
                <w:sz w:val="18"/>
                <w:szCs w:val="18"/>
              </w:rPr>
              <w:t>Vývoj produktov a služieb IKT, elektronického obchodu a posilnenia dopytu po IKT</w:t>
            </w:r>
          </w:p>
        </w:tc>
        <w:tc>
          <w:tcPr>
            <w:tcW w:w="2344" w:type="pct"/>
          </w:tcPr>
          <w:p w:rsidR="00AB40B4" w:rsidRPr="00E5687A" w:rsidRDefault="00AB40B4" w:rsidP="00A127CB">
            <w:pPr>
              <w:pStyle w:val="08TableText"/>
              <w:ind w:left="0"/>
              <w:jc w:val="left"/>
              <w:rPr>
                <w:rFonts w:ascii="Times New Roman" w:hAnsi="Times New Roman" w:cs="Times New Roman"/>
                <w:sz w:val="18"/>
                <w:szCs w:val="18"/>
              </w:rPr>
            </w:pPr>
          </w:p>
          <w:p w:rsidR="00AB40B4" w:rsidRPr="00E5687A" w:rsidRDefault="00AB40B4" w:rsidP="00A127CB">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 xml:space="preserve">Zvýšenie inovačnej kapacity </w:t>
            </w:r>
            <w:r>
              <w:rPr>
                <w:rFonts w:ascii="Times New Roman" w:hAnsi="Times New Roman" w:cs="Times New Roman"/>
                <w:sz w:val="18"/>
                <w:szCs w:val="18"/>
              </w:rPr>
              <w:t xml:space="preserve">najmä </w:t>
            </w:r>
            <w:r w:rsidRPr="00F83B14">
              <w:rPr>
                <w:rFonts w:ascii="Times New Roman" w:hAnsi="Times New Roman" w:cs="Times New Roman"/>
                <w:sz w:val="18"/>
                <w:szCs w:val="18"/>
              </w:rPr>
              <w:t>malých a stredných podnikateľov v digitálnej ekonomike</w:t>
            </w:r>
          </w:p>
        </w:tc>
        <w:tc>
          <w:tcPr>
            <w:tcW w:w="1406" w:type="pct"/>
            <w:vAlign w:val="center"/>
          </w:tcPr>
          <w:p w:rsidR="00AB40B4" w:rsidRPr="00E5687A" w:rsidRDefault="00AB40B4" w:rsidP="00F07429">
            <w:pPr>
              <w:pStyle w:val="08TableText"/>
              <w:ind w:left="0"/>
              <w:jc w:val="center"/>
              <w:rPr>
                <w:rFonts w:ascii="Times New Roman" w:hAnsi="Times New Roman" w:cs="Times New Roman"/>
                <w:sz w:val="18"/>
                <w:szCs w:val="18"/>
              </w:rPr>
            </w:pPr>
          </w:p>
          <w:p w:rsidR="00AB40B4" w:rsidRPr="00E5687A" w:rsidRDefault="00AB40B4" w:rsidP="00F07429">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r w:rsidRPr="00E5687A">
              <w:rPr>
                <w:rFonts w:ascii="Times New Roman" w:hAnsi="Times New Roman" w:cs="Times New Roman"/>
                <w:sz w:val="18"/>
                <w:szCs w:val="18"/>
              </w:rPr>
              <w:t xml:space="preserve">, </w:t>
            </w:r>
            <w:r>
              <w:rPr>
                <w:rFonts w:ascii="Times New Roman" w:hAnsi="Times New Roman" w:cs="Times New Roman"/>
                <w:sz w:val="18"/>
                <w:szCs w:val="18"/>
              </w:rPr>
              <w:t>NPE</w:t>
            </w:r>
          </w:p>
        </w:tc>
      </w:tr>
      <w:tr w:rsidR="00AB40B4" w:rsidRPr="00E5687A" w:rsidTr="00A127CB">
        <w:tc>
          <w:tcPr>
            <w:tcW w:w="1250" w:type="pct"/>
            <w:vMerge w:val="restart"/>
          </w:tcPr>
          <w:p w:rsidR="00E92F9B" w:rsidRDefault="00AB40B4" w:rsidP="00A127CB">
            <w:pPr>
              <w:pStyle w:val="08TableText"/>
              <w:spacing w:line="240" w:lineRule="exact"/>
              <w:ind w:left="0"/>
              <w:jc w:val="left"/>
              <w:rPr>
                <w:rFonts w:ascii="Times New Roman" w:hAnsi="Times New Roman" w:cs="Times New Roman"/>
                <w:sz w:val="18"/>
                <w:szCs w:val="18"/>
              </w:rPr>
            </w:pPr>
            <w:r w:rsidRPr="000A6050">
              <w:rPr>
                <w:rFonts w:ascii="Times New Roman" w:hAnsi="Times New Roman" w:cs="Times New Roman"/>
                <w:sz w:val="18"/>
                <w:szCs w:val="18"/>
              </w:rPr>
              <w:t xml:space="preserve">Posilnenie aplikácií IKT v rámci elektronickej štátnej správy, elektronického vzdelávania, elektronickej </w:t>
            </w:r>
            <w:r w:rsidRPr="000A6050">
              <w:rPr>
                <w:rFonts w:ascii="Times New Roman" w:hAnsi="Times New Roman" w:cs="Times New Roman"/>
                <w:sz w:val="18"/>
                <w:szCs w:val="18"/>
              </w:rPr>
              <w:lastRenderedPageBreak/>
              <w:t>inklúzie, elektronickej kultúry a elektronického zdravotníctva</w:t>
            </w:r>
          </w:p>
          <w:p w:rsidR="00AB40B4" w:rsidRPr="000A6050" w:rsidRDefault="00AB40B4" w:rsidP="00F07429">
            <w:pPr>
              <w:pStyle w:val="08TableText"/>
              <w:spacing w:line="240" w:lineRule="exact"/>
              <w:ind w:left="0"/>
              <w:jc w:val="left"/>
              <w:rPr>
                <w:rFonts w:ascii="Times New Roman" w:hAnsi="Times New Roman" w:cs="Times New Roman"/>
                <w:sz w:val="18"/>
                <w:szCs w:val="18"/>
              </w:rPr>
            </w:pPr>
          </w:p>
        </w:tc>
        <w:tc>
          <w:tcPr>
            <w:tcW w:w="2344" w:type="pct"/>
          </w:tcPr>
          <w:p w:rsidR="00AB40B4" w:rsidRPr="00F83B14" w:rsidRDefault="00AB40B4" w:rsidP="00A127CB">
            <w:pPr>
              <w:pStyle w:val="08TableText"/>
              <w:ind w:left="0"/>
              <w:jc w:val="left"/>
              <w:rPr>
                <w:rFonts w:ascii="Times New Roman" w:hAnsi="Times New Roman" w:cs="Times New Roman"/>
                <w:sz w:val="18"/>
                <w:szCs w:val="18"/>
              </w:rPr>
            </w:pPr>
            <w:r w:rsidRPr="00E1052A">
              <w:rPr>
                <w:rFonts w:ascii="Times New Roman" w:hAnsi="Times New Roman" w:cs="Times New Roman"/>
                <w:sz w:val="18"/>
                <w:szCs w:val="18"/>
              </w:rPr>
              <w:lastRenderedPageBreak/>
              <w:t>Zvýšenie kvality, štandardu a dostupnosti eGovernment služieb pre občanov</w:t>
            </w:r>
          </w:p>
        </w:tc>
        <w:tc>
          <w:tcPr>
            <w:tcW w:w="1406" w:type="pct"/>
            <w:vAlign w:val="center"/>
          </w:tcPr>
          <w:p w:rsidR="00AB40B4" w:rsidRPr="00E5687A" w:rsidRDefault="00AB40B4" w:rsidP="00F07429">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r w:rsidRPr="00E5687A">
              <w:rPr>
                <w:rFonts w:ascii="Times New Roman" w:hAnsi="Times New Roman" w:cs="Times New Roman"/>
                <w:sz w:val="18"/>
                <w:szCs w:val="18"/>
              </w:rPr>
              <w:t xml:space="preserve">, </w:t>
            </w:r>
            <w:r>
              <w:rPr>
                <w:rFonts w:ascii="Times New Roman" w:hAnsi="Times New Roman" w:cs="Times New Roman"/>
                <w:sz w:val="18"/>
                <w:szCs w:val="18"/>
              </w:rPr>
              <w:t>NPE</w:t>
            </w:r>
          </w:p>
        </w:tc>
      </w:tr>
      <w:tr w:rsidR="00AB40B4" w:rsidRPr="00E5687A" w:rsidTr="00A127CB">
        <w:tc>
          <w:tcPr>
            <w:tcW w:w="1250" w:type="pct"/>
            <w:vMerge/>
          </w:tcPr>
          <w:p w:rsidR="00AB40B4" w:rsidRPr="000A6050" w:rsidRDefault="00AB40B4" w:rsidP="00F07429">
            <w:pPr>
              <w:pStyle w:val="08TableText"/>
              <w:spacing w:line="240" w:lineRule="exact"/>
              <w:jc w:val="left"/>
              <w:rPr>
                <w:rFonts w:ascii="Times New Roman" w:hAnsi="Times New Roman" w:cs="Times New Roman"/>
                <w:sz w:val="18"/>
                <w:szCs w:val="18"/>
              </w:rPr>
            </w:pPr>
          </w:p>
        </w:tc>
        <w:tc>
          <w:tcPr>
            <w:tcW w:w="2344" w:type="pct"/>
          </w:tcPr>
          <w:p w:rsidR="00AB40B4" w:rsidRPr="00F83B14" w:rsidRDefault="00AB40B4" w:rsidP="00A127CB">
            <w:pPr>
              <w:pStyle w:val="08TableText"/>
              <w:ind w:left="0"/>
              <w:jc w:val="left"/>
              <w:rPr>
                <w:rFonts w:ascii="Times New Roman" w:hAnsi="Times New Roman" w:cs="Times New Roman"/>
                <w:sz w:val="18"/>
                <w:szCs w:val="18"/>
              </w:rPr>
            </w:pPr>
            <w:r w:rsidRPr="00E1052A">
              <w:rPr>
                <w:rFonts w:ascii="Times New Roman" w:hAnsi="Times New Roman" w:cs="Times New Roman"/>
                <w:sz w:val="18"/>
                <w:szCs w:val="18"/>
              </w:rPr>
              <w:t xml:space="preserve">Zvýšenie kvality, štandardu a dostupnosti eGovernment služieb pre </w:t>
            </w:r>
            <w:r>
              <w:rPr>
                <w:rFonts w:ascii="Times New Roman" w:hAnsi="Times New Roman" w:cs="Times New Roman"/>
                <w:sz w:val="18"/>
                <w:szCs w:val="18"/>
              </w:rPr>
              <w:t>podnikateľov</w:t>
            </w:r>
          </w:p>
        </w:tc>
        <w:tc>
          <w:tcPr>
            <w:tcW w:w="1406" w:type="pct"/>
            <w:vAlign w:val="center"/>
          </w:tcPr>
          <w:p w:rsidR="00AB40B4" w:rsidRPr="00E5687A" w:rsidRDefault="00AB40B4" w:rsidP="00F07429">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r w:rsidRPr="00E5687A">
              <w:rPr>
                <w:rFonts w:ascii="Times New Roman" w:hAnsi="Times New Roman" w:cs="Times New Roman"/>
                <w:sz w:val="18"/>
                <w:szCs w:val="18"/>
              </w:rPr>
              <w:t xml:space="preserve">, </w:t>
            </w:r>
            <w:r>
              <w:rPr>
                <w:rFonts w:ascii="Times New Roman" w:hAnsi="Times New Roman" w:cs="Times New Roman"/>
                <w:sz w:val="18"/>
                <w:szCs w:val="18"/>
              </w:rPr>
              <w:t>NPE</w:t>
            </w:r>
          </w:p>
        </w:tc>
      </w:tr>
      <w:tr w:rsidR="00AB40B4" w:rsidRPr="00E5687A" w:rsidTr="00A127CB">
        <w:tc>
          <w:tcPr>
            <w:tcW w:w="1250" w:type="pct"/>
            <w:vMerge/>
          </w:tcPr>
          <w:p w:rsidR="00AB40B4" w:rsidRPr="000A6050" w:rsidRDefault="00AB40B4" w:rsidP="00F07429">
            <w:pPr>
              <w:pStyle w:val="08TableText"/>
              <w:spacing w:line="240" w:lineRule="exact"/>
              <w:ind w:left="0"/>
              <w:jc w:val="left"/>
              <w:rPr>
                <w:rFonts w:ascii="Times New Roman" w:hAnsi="Times New Roman" w:cs="Times New Roman"/>
                <w:sz w:val="18"/>
                <w:szCs w:val="18"/>
              </w:rPr>
            </w:pPr>
          </w:p>
        </w:tc>
        <w:tc>
          <w:tcPr>
            <w:tcW w:w="2344" w:type="pct"/>
          </w:tcPr>
          <w:p w:rsidR="00AB40B4" w:rsidRPr="00F83B14" w:rsidRDefault="00AB40B4" w:rsidP="00A127CB">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Zlepšenie celkovej dostupnosti dát verejnej správy vo forme otvorených dát</w:t>
            </w:r>
          </w:p>
        </w:tc>
        <w:tc>
          <w:tcPr>
            <w:tcW w:w="1406" w:type="pct"/>
            <w:vAlign w:val="center"/>
          </w:tcPr>
          <w:p w:rsidR="00AB40B4" w:rsidRPr="00E5687A" w:rsidRDefault="00AB40B4" w:rsidP="00F07429">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w:t>
            </w:r>
            <w:r>
              <w:rPr>
                <w:rFonts w:ascii="Times New Roman" w:hAnsi="Times New Roman" w:cs="Times New Roman"/>
                <w:sz w:val="18"/>
                <w:szCs w:val="18"/>
              </w:rPr>
              <w:t>FRR</w:t>
            </w:r>
          </w:p>
        </w:tc>
      </w:tr>
      <w:tr w:rsidR="00AB40B4" w:rsidRPr="00E5687A" w:rsidTr="00A127CB">
        <w:trPr>
          <w:trHeight w:val="664"/>
        </w:trPr>
        <w:tc>
          <w:tcPr>
            <w:tcW w:w="1250" w:type="pct"/>
            <w:vMerge/>
          </w:tcPr>
          <w:p w:rsidR="00AB40B4" w:rsidRPr="000A6050" w:rsidRDefault="00AB40B4" w:rsidP="00F07429">
            <w:pPr>
              <w:pStyle w:val="08TableText"/>
              <w:spacing w:line="240" w:lineRule="exact"/>
              <w:ind w:left="0"/>
              <w:jc w:val="left"/>
              <w:rPr>
                <w:rFonts w:ascii="Times New Roman" w:hAnsi="Times New Roman" w:cs="Times New Roman"/>
                <w:sz w:val="18"/>
                <w:szCs w:val="18"/>
              </w:rPr>
            </w:pPr>
          </w:p>
        </w:tc>
        <w:tc>
          <w:tcPr>
            <w:tcW w:w="2344" w:type="pct"/>
          </w:tcPr>
          <w:p w:rsidR="00AB40B4" w:rsidRPr="00F83B14" w:rsidRDefault="00AB40B4" w:rsidP="00A127CB">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Zlepšenie digitálnych zručností a inklúzie znevýhodnených jednotlivcov do digitálneho trhu</w:t>
            </w:r>
          </w:p>
        </w:tc>
        <w:tc>
          <w:tcPr>
            <w:tcW w:w="1406" w:type="pct"/>
            <w:vAlign w:val="center"/>
          </w:tcPr>
          <w:p w:rsidR="00AB40B4" w:rsidRPr="00E5687A" w:rsidRDefault="00AB40B4" w:rsidP="00F07429">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p>
        </w:tc>
      </w:tr>
      <w:tr w:rsidR="00AB40B4" w:rsidRPr="00E5687A" w:rsidTr="00A127CB">
        <w:trPr>
          <w:trHeight w:val="70"/>
        </w:trPr>
        <w:tc>
          <w:tcPr>
            <w:tcW w:w="1250" w:type="pct"/>
            <w:vMerge/>
          </w:tcPr>
          <w:p w:rsidR="00AB40B4" w:rsidRPr="00E5687A" w:rsidRDefault="00AB40B4" w:rsidP="00F07429">
            <w:pPr>
              <w:pStyle w:val="08TableText"/>
              <w:spacing w:line="240" w:lineRule="exact"/>
              <w:ind w:left="0"/>
              <w:jc w:val="left"/>
              <w:rPr>
                <w:rFonts w:ascii="Times New Roman" w:hAnsi="Times New Roman" w:cs="Times New Roman"/>
                <w:sz w:val="18"/>
                <w:szCs w:val="18"/>
              </w:rPr>
            </w:pPr>
          </w:p>
        </w:tc>
        <w:tc>
          <w:tcPr>
            <w:tcW w:w="2344" w:type="pct"/>
          </w:tcPr>
          <w:p w:rsidR="00AB40B4" w:rsidRPr="00E5687A" w:rsidRDefault="00AB40B4" w:rsidP="00A127CB">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Umožnenie modernizácie a racionalizácie verejnej správy IKT prostriedkami</w:t>
            </w:r>
          </w:p>
        </w:tc>
        <w:tc>
          <w:tcPr>
            <w:tcW w:w="1406" w:type="pct"/>
            <w:vAlign w:val="center"/>
          </w:tcPr>
          <w:p w:rsidR="00AB40B4" w:rsidRPr="00E5687A" w:rsidRDefault="00AB40B4" w:rsidP="00F07429">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p>
        </w:tc>
      </w:tr>
      <w:tr w:rsidR="00AB40B4" w:rsidRPr="00E5687A" w:rsidTr="00A127CB">
        <w:tc>
          <w:tcPr>
            <w:tcW w:w="1250" w:type="pct"/>
            <w:vMerge/>
          </w:tcPr>
          <w:p w:rsidR="00AB40B4" w:rsidRPr="00E5687A" w:rsidRDefault="00AB40B4" w:rsidP="00F07429">
            <w:pPr>
              <w:pStyle w:val="08TableText"/>
              <w:spacing w:line="240" w:lineRule="exact"/>
              <w:ind w:left="0"/>
              <w:jc w:val="left"/>
              <w:rPr>
                <w:rFonts w:ascii="Times New Roman" w:hAnsi="Times New Roman" w:cs="Times New Roman"/>
                <w:sz w:val="18"/>
                <w:szCs w:val="18"/>
              </w:rPr>
            </w:pPr>
          </w:p>
        </w:tc>
        <w:tc>
          <w:tcPr>
            <w:tcW w:w="2344" w:type="pct"/>
          </w:tcPr>
          <w:p w:rsidR="00AB40B4" w:rsidRPr="00E5687A" w:rsidRDefault="00AB40B4" w:rsidP="00A127CB">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Racionalizácia prevádzky informačných systémov pomocou eGovernment cloudu</w:t>
            </w:r>
          </w:p>
        </w:tc>
        <w:tc>
          <w:tcPr>
            <w:tcW w:w="1406" w:type="pct"/>
            <w:vAlign w:val="center"/>
          </w:tcPr>
          <w:p w:rsidR="00AB40B4" w:rsidRPr="00E5687A" w:rsidRDefault="00AB40B4" w:rsidP="00F07429">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w:t>
            </w:r>
            <w:r>
              <w:rPr>
                <w:rFonts w:ascii="Times New Roman" w:hAnsi="Times New Roman" w:cs="Times New Roman"/>
                <w:sz w:val="18"/>
                <w:szCs w:val="18"/>
              </w:rPr>
              <w:t>FRR, NPE</w:t>
            </w:r>
          </w:p>
        </w:tc>
      </w:tr>
      <w:tr w:rsidR="00AB40B4" w:rsidRPr="00E5687A" w:rsidTr="00A127CB">
        <w:trPr>
          <w:trHeight w:val="473"/>
        </w:trPr>
        <w:tc>
          <w:tcPr>
            <w:tcW w:w="1250" w:type="pct"/>
            <w:vMerge/>
          </w:tcPr>
          <w:p w:rsidR="00AB40B4" w:rsidRPr="00E5687A" w:rsidRDefault="00AB40B4" w:rsidP="00F07429">
            <w:pPr>
              <w:pStyle w:val="08TableText"/>
              <w:spacing w:line="240" w:lineRule="exact"/>
              <w:ind w:left="0"/>
              <w:jc w:val="left"/>
              <w:rPr>
                <w:rFonts w:ascii="Times New Roman" w:hAnsi="Times New Roman" w:cs="Times New Roman"/>
                <w:sz w:val="18"/>
                <w:szCs w:val="18"/>
              </w:rPr>
            </w:pPr>
          </w:p>
        </w:tc>
        <w:tc>
          <w:tcPr>
            <w:tcW w:w="2344" w:type="pct"/>
          </w:tcPr>
          <w:p w:rsidR="00AB40B4" w:rsidRPr="00E5687A" w:rsidRDefault="00AB40B4" w:rsidP="00A127CB">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Zvýšenie kybernetickej bezpečnosti v spoločnosti</w:t>
            </w:r>
          </w:p>
        </w:tc>
        <w:tc>
          <w:tcPr>
            <w:tcW w:w="1406" w:type="pct"/>
            <w:vAlign w:val="center"/>
          </w:tcPr>
          <w:p w:rsidR="00AB40B4" w:rsidRPr="00E5687A" w:rsidRDefault="00AB40B4" w:rsidP="00F07429">
            <w:pPr>
              <w:pStyle w:val="08TableText"/>
              <w:ind w:left="0"/>
              <w:jc w:val="center"/>
              <w:rPr>
                <w:rFonts w:ascii="Times New Roman" w:hAnsi="Times New Roman" w:cs="Times New Roman"/>
                <w:sz w:val="18"/>
                <w:szCs w:val="18"/>
              </w:rPr>
            </w:pPr>
            <w:r>
              <w:rPr>
                <w:rFonts w:ascii="Times New Roman" w:hAnsi="Times New Roman" w:cs="Times New Roman"/>
                <w:sz w:val="18"/>
                <w:szCs w:val="18"/>
              </w:rPr>
              <w:t>E</w:t>
            </w:r>
            <w:r w:rsidRPr="00E5687A">
              <w:rPr>
                <w:rFonts w:ascii="Times New Roman" w:hAnsi="Times New Roman" w:cs="Times New Roman"/>
                <w:sz w:val="18"/>
                <w:szCs w:val="18"/>
              </w:rPr>
              <w:t>F</w:t>
            </w:r>
            <w:r>
              <w:rPr>
                <w:rFonts w:ascii="Times New Roman" w:hAnsi="Times New Roman" w:cs="Times New Roman"/>
                <w:sz w:val="18"/>
                <w:szCs w:val="18"/>
              </w:rPr>
              <w:t>RR</w:t>
            </w:r>
          </w:p>
        </w:tc>
      </w:tr>
    </w:tbl>
    <w:p w:rsidR="003E67A7" w:rsidRDefault="003E67A7">
      <w:pPr>
        <w:spacing w:before="60"/>
        <w:sectPr w:rsidR="003E67A7" w:rsidSect="00D1658B">
          <w:headerReference w:type="default" r:id="rId37"/>
          <w:pgSz w:w="11906" w:h="16838"/>
          <w:pgMar w:top="1418" w:right="1361" w:bottom="1304" w:left="1474" w:header="709" w:footer="709" w:gutter="0"/>
          <w:cols w:space="708"/>
          <w:docGrid w:linePitch="360"/>
        </w:sectPr>
      </w:pPr>
    </w:p>
    <w:p w:rsidR="003E67A7" w:rsidRDefault="003E67A7" w:rsidP="003E67A7">
      <w:pPr>
        <w:pStyle w:val="Nadpis1"/>
      </w:pPr>
      <w:bookmarkStart w:id="160" w:name="_Toc385310765"/>
      <w:r>
        <w:lastRenderedPageBreak/>
        <w:t>Ex ante kondicionality</w:t>
      </w:r>
      <w:bookmarkEnd w:id="160"/>
    </w:p>
    <w:p w:rsidR="003E67A7" w:rsidRDefault="001A49CC" w:rsidP="001A49CC">
      <w:pPr>
        <w:pStyle w:val="Nadpis2"/>
      </w:pPr>
      <w:bookmarkStart w:id="161" w:name="_Toc385310766"/>
      <w:r w:rsidRPr="001A49CC">
        <w:t>Identifikácia príslušných ex ante kondicionalít a vyhodnotenie ich plnenia</w:t>
      </w:r>
      <w:bookmarkEnd w:id="161"/>
    </w:p>
    <w:p w:rsidR="001A49CC" w:rsidRDefault="00497BCE" w:rsidP="001A49CC">
      <w:pPr>
        <w:pStyle w:val="Tab"/>
      </w:pPr>
      <w:r>
        <w:t>Identifikácia tematických</w:t>
      </w:r>
      <w:r w:rsidR="001A49CC" w:rsidRPr="001A49CC">
        <w:t xml:space="preserve"> ex ante kondicionalít a vyhodnotenie ich plnenia</w:t>
      </w:r>
      <w:r w:rsidR="001A49CC">
        <w:t xml:space="preserve"> - </w:t>
      </w:r>
      <w:r w:rsidR="001A49CC" w:rsidRPr="001A49CC">
        <w:rPr>
          <w:b/>
          <w:i/>
        </w:rPr>
        <w:t>Doprava</w:t>
      </w:r>
    </w:p>
    <w:tbl>
      <w:tblPr>
        <w:tblStyle w:val="Mriekatabuky"/>
        <w:tblW w:w="1417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tblPr>
      <w:tblGrid>
        <w:gridCol w:w="2058"/>
        <w:gridCol w:w="1422"/>
        <w:gridCol w:w="1750"/>
        <w:gridCol w:w="2089"/>
        <w:gridCol w:w="1153"/>
        <w:gridCol w:w="3302"/>
        <w:gridCol w:w="2401"/>
      </w:tblGrid>
      <w:tr w:rsidR="001A49CC" w:rsidTr="00A127CB">
        <w:trPr>
          <w:trHeight w:val="340"/>
          <w:jc w:val="center"/>
        </w:trPr>
        <w:tc>
          <w:tcPr>
            <w:tcW w:w="2058" w:type="dxa"/>
            <w:shd w:val="clear" w:color="auto" w:fill="C6D9F1" w:themeFill="text2" w:themeFillTint="33"/>
            <w:vAlign w:val="center"/>
          </w:tcPr>
          <w:p w:rsidR="001A49CC" w:rsidRDefault="001A49CC" w:rsidP="001A49CC">
            <w:pPr>
              <w:ind w:left="0"/>
              <w:jc w:val="center"/>
              <w:rPr>
                <w:sz w:val="20"/>
                <w:szCs w:val="20"/>
              </w:rPr>
            </w:pPr>
            <w:r>
              <w:rPr>
                <w:sz w:val="20"/>
                <w:szCs w:val="20"/>
              </w:rPr>
              <w:t xml:space="preserve">Ex ante </w:t>
            </w:r>
          </w:p>
          <w:p w:rsidR="001A49CC" w:rsidRPr="00CE2E2C" w:rsidRDefault="001A49CC" w:rsidP="001A49CC">
            <w:pPr>
              <w:ind w:left="0"/>
              <w:jc w:val="center"/>
              <w:rPr>
                <w:sz w:val="20"/>
                <w:szCs w:val="20"/>
              </w:rPr>
            </w:pPr>
            <w:r>
              <w:rPr>
                <w:sz w:val="20"/>
                <w:szCs w:val="20"/>
              </w:rPr>
              <w:t>kondicionalita</w:t>
            </w:r>
          </w:p>
        </w:tc>
        <w:tc>
          <w:tcPr>
            <w:tcW w:w="1422" w:type="dxa"/>
            <w:shd w:val="clear" w:color="auto" w:fill="C6D9F1" w:themeFill="text2" w:themeFillTint="33"/>
            <w:vAlign w:val="center"/>
          </w:tcPr>
          <w:p w:rsidR="001A49CC" w:rsidRPr="00391AE1" w:rsidRDefault="001A49CC" w:rsidP="001A49CC">
            <w:pPr>
              <w:ind w:left="0"/>
              <w:jc w:val="center"/>
              <w:rPr>
                <w:sz w:val="20"/>
                <w:szCs w:val="20"/>
              </w:rPr>
            </w:pPr>
            <w:r>
              <w:rPr>
                <w:sz w:val="20"/>
                <w:szCs w:val="20"/>
              </w:rPr>
              <w:t xml:space="preserve">Prioritná os alebo </w:t>
            </w:r>
            <w:r w:rsidRPr="00CE2E2C">
              <w:rPr>
                <w:sz w:val="20"/>
                <w:szCs w:val="20"/>
              </w:rPr>
              <w:t>prioritné</w:t>
            </w:r>
            <w:r>
              <w:rPr>
                <w:sz w:val="20"/>
                <w:szCs w:val="20"/>
              </w:rPr>
              <w:t xml:space="preserve"> osi, na ktoré sa ex ante kondicionalita vzťahuje</w:t>
            </w:r>
          </w:p>
        </w:tc>
        <w:tc>
          <w:tcPr>
            <w:tcW w:w="1750" w:type="dxa"/>
            <w:shd w:val="clear" w:color="auto" w:fill="C6D9F1" w:themeFill="text2" w:themeFillTint="33"/>
            <w:vAlign w:val="center"/>
          </w:tcPr>
          <w:p w:rsidR="001A49CC" w:rsidRPr="00391AE1" w:rsidRDefault="001A49CC" w:rsidP="001A49CC">
            <w:pPr>
              <w:ind w:left="0"/>
              <w:jc w:val="center"/>
              <w:rPr>
                <w:sz w:val="20"/>
                <w:szCs w:val="20"/>
              </w:rPr>
            </w:pPr>
            <w:r>
              <w:rPr>
                <w:sz w:val="20"/>
                <w:szCs w:val="20"/>
              </w:rPr>
              <w:t>Splnenie ex ante kondicionality Áno/Nie/Čiastočne</w:t>
            </w:r>
          </w:p>
        </w:tc>
        <w:tc>
          <w:tcPr>
            <w:tcW w:w="2089" w:type="dxa"/>
            <w:shd w:val="clear" w:color="auto" w:fill="C6D9F1" w:themeFill="text2" w:themeFillTint="33"/>
            <w:vAlign w:val="center"/>
          </w:tcPr>
          <w:p w:rsidR="001A49CC" w:rsidRPr="00391AE1" w:rsidRDefault="001A49CC" w:rsidP="001A49CC">
            <w:pPr>
              <w:ind w:left="0"/>
              <w:jc w:val="center"/>
              <w:rPr>
                <w:sz w:val="20"/>
                <w:szCs w:val="20"/>
              </w:rPr>
            </w:pPr>
            <w:r>
              <w:rPr>
                <w:sz w:val="20"/>
                <w:szCs w:val="20"/>
              </w:rPr>
              <w:t>Kritériá</w:t>
            </w:r>
          </w:p>
        </w:tc>
        <w:tc>
          <w:tcPr>
            <w:tcW w:w="1153" w:type="dxa"/>
            <w:shd w:val="clear" w:color="auto" w:fill="C6D9F1" w:themeFill="text2" w:themeFillTint="33"/>
            <w:vAlign w:val="center"/>
          </w:tcPr>
          <w:p w:rsidR="001A49CC" w:rsidRPr="00391AE1" w:rsidRDefault="001A49CC" w:rsidP="001A49CC">
            <w:pPr>
              <w:ind w:left="0"/>
              <w:jc w:val="center"/>
              <w:rPr>
                <w:sz w:val="20"/>
                <w:szCs w:val="20"/>
              </w:rPr>
            </w:pPr>
            <w:r>
              <w:rPr>
                <w:sz w:val="20"/>
                <w:szCs w:val="20"/>
              </w:rPr>
              <w:t>Splnenie kritérií Áno/Nie</w:t>
            </w:r>
          </w:p>
        </w:tc>
        <w:tc>
          <w:tcPr>
            <w:tcW w:w="3302" w:type="dxa"/>
            <w:shd w:val="clear" w:color="auto" w:fill="C6D9F1" w:themeFill="text2" w:themeFillTint="33"/>
            <w:vAlign w:val="center"/>
          </w:tcPr>
          <w:p w:rsidR="001A49CC" w:rsidRPr="00391AE1" w:rsidRDefault="001A49CC" w:rsidP="001A49CC">
            <w:pPr>
              <w:ind w:left="0"/>
              <w:jc w:val="center"/>
              <w:rPr>
                <w:sz w:val="20"/>
                <w:szCs w:val="20"/>
              </w:rPr>
            </w:pPr>
            <w:r>
              <w:rPr>
                <w:sz w:val="20"/>
                <w:szCs w:val="20"/>
              </w:rPr>
              <w:t xml:space="preserve">Odkaz (odkaz na stratégie, právny akt alebo iné relevantné dokumenty, vrátane odkazov na príslušné časti, články alebo odseky, doplnené </w:t>
            </w:r>
            <w:r w:rsidRPr="00CE2E2C">
              <w:rPr>
                <w:sz w:val="20"/>
                <w:szCs w:val="20"/>
              </w:rPr>
              <w:t>hypertextovými</w:t>
            </w:r>
            <w:r>
              <w:rPr>
                <w:sz w:val="20"/>
                <w:szCs w:val="20"/>
              </w:rPr>
              <w:t xml:space="preserve"> </w:t>
            </w:r>
            <w:r w:rsidRPr="00CE2E2C">
              <w:rPr>
                <w:sz w:val="20"/>
                <w:szCs w:val="20"/>
              </w:rPr>
              <w:t>prepojeniami</w:t>
            </w:r>
            <w:r>
              <w:rPr>
                <w:sz w:val="20"/>
                <w:szCs w:val="20"/>
              </w:rPr>
              <w:t xml:space="preserve"> na internetové stránky, alebo prístupom k úplnému textu)</w:t>
            </w:r>
          </w:p>
        </w:tc>
        <w:tc>
          <w:tcPr>
            <w:tcW w:w="2401" w:type="dxa"/>
            <w:shd w:val="clear" w:color="auto" w:fill="C6D9F1" w:themeFill="text2" w:themeFillTint="33"/>
            <w:vAlign w:val="center"/>
          </w:tcPr>
          <w:p w:rsidR="001A49CC" w:rsidRPr="00391AE1" w:rsidRDefault="001A49CC" w:rsidP="001A49CC">
            <w:pPr>
              <w:ind w:left="0"/>
              <w:jc w:val="center"/>
              <w:rPr>
                <w:sz w:val="20"/>
                <w:szCs w:val="20"/>
              </w:rPr>
            </w:pPr>
            <w:r>
              <w:rPr>
                <w:sz w:val="20"/>
                <w:szCs w:val="20"/>
              </w:rPr>
              <w:t>Vysvetlenia</w:t>
            </w:r>
            <w:r w:rsidRPr="00CE2E2C">
              <w:rPr>
                <w:sz w:val="20"/>
                <w:szCs w:val="20"/>
              </w:rPr>
              <w:t>*</w:t>
            </w:r>
          </w:p>
        </w:tc>
      </w:tr>
      <w:tr w:rsidR="001A49CC" w:rsidTr="00A127CB">
        <w:trPr>
          <w:trHeight w:val="283"/>
          <w:jc w:val="center"/>
        </w:trPr>
        <w:tc>
          <w:tcPr>
            <w:tcW w:w="2058" w:type="dxa"/>
            <w:vMerge w:val="restart"/>
          </w:tcPr>
          <w:p w:rsidR="001A49CC" w:rsidRPr="00391AE1" w:rsidRDefault="001A49CC" w:rsidP="001A49CC">
            <w:pPr>
              <w:ind w:left="0"/>
              <w:rPr>
                <w:sz w:val="20"/>
                <w:szCs w:val="20"/>
              </w:rPr>
            </w:pPr>
            <w:r>
              <w:rPr>
                <w:sz w:val="20"/>
                <w:szCs w:val="20"/>
              </w:rPr>
              <w:t>7.1. Doprava: e</w:t>
            </w:r>
            <w:r w:rsidRPr="00B70989">
              <w:rPr>
                <w:sz w:val="20"/>
                <w:szCs w:val="20"/>
              </w:rPr>
              <w:t>xistencia komplexného plánu alebo plánov alebo rámca či rámcov pre dopravné investície v súlade s inštitucionálnou štruktúrou členských štátov (vrátane verejnej dopravy na regionálnej a miestnej úrovni), ktorý podporuje rozvoj infraštruktúry a zlepšuje prepojenie na úplnú a základnú sieť TEN-T</w:t>
            </w:r>
            <w:r w:rsidRPr="002F15C3">
              <w:rPr>
                <w:sz w:val="16"/>
                <w:szCs w:val="16"/>
              </w:rPr>
              <w:t>.</w:t>
            </w:r>
          </w:p>
        </w:tc>
        <w:tc>
          <w:tcPr>
            <w:tcW w:w="1422" w:type="dxa"/>
            <w:vMerge w:val="restart"/>
            <w:vAlign w:val="center"/>
          </w:tcPr>
          <w:p w:rsidR="001A49CC" w:rsidRPr="00391AE1" w:rsidRDefault="001A49CC" w:rsidP="001A49CC">
            <w:pPr>
              <w:ind w:left="0"/>
              <w:jc w:val="center"/>
              <w:rPr>
                <w:sz w:val="20"/>
                <w:szCs w:val="20"/>
              </w:rPr>
            </w:pPr>
            <w:r>
              <w:rPr>
                <w:sz w:val="20"/>
                <w:szCs w:val="20"/>
              </w:rPr>
              <w:t>PO 1 – PO 6</w:t>
            </w:r>
          </w:p>
        </w:tc>
        <w:tc>
          <w:tcPr>
            <w:tcW w:w="1750" w:type="dxa"/>
            <w:vMerge w:val="restart"/>
            <w:vAlign w:val="center"/>
          </w:tcPr>
          <w:p w:rsidR="001A49CC" w:rsidRPr="00566720" w:rsidRDefault="001A49CC" w:rsidP="001A49CC">
            <w:pPr>
              <w:ind w:left="0"/>
              <w:jc w:val="center"/>
              <w:rPr>
                <w:b/>
                <w:sz w:val="20"/>
                <w:szCs w:val="20"/>
              </w:rPr>
            </w:pPr>
            <w:r w:rsidRPr="00566720">
              <w:rPr>
                <w:b/>
                <w:sz w:val="20"/>
                <w:szCs w:val="20"/>
              </w:rPr>
              <w:t>Čiastočne</w:t>
            </w:r>
          </w:p>
        </w:tc>
        <w:tc>
          <w:tcPr>
            <w:tcW w:w="2089" w:type="dxa"/>
            <w:vAlign w:val="center"/>
          </w:tcPr>
          <w:p w:rsidR="001A49CC" w:rsidRPr="00391AE1" w:rsidRDefault="001A49CC" w:rsidP="001A49CC">
            <w:pPr>
              <w:ind w:left="0"/>
              <w:rPr>
                <w:sz w:val="20"/>
                <w:szCs w:val="20"/>
              </w:rPr>
            </w:pPr>
            <w:r w:rsidRPr="00B70989">
              <w:rPr>
                <w:sz w:val="20"/>
                <w:szCs w:val="20"/>
              </w:rPr>
              <w:t>Existuje komplexný plán či plány alebo rámec či rámce pre dopravné investície, ktoré spĺňajú právne požiadavky na strategické environmentálne posúdenie a stanovujú:</w:t>
            </w:r>
          </w:p>
        </w:tc>
        <w:tc>
          <w:tcPr>
            <w:tcW w:w="1153" w:type="dxa"/>
            <w:vAlign w:val="center"/>
          </w:tcPr>
          <w:p w:rsidR="001A49CC" w:rsidRPr="007D2580" w:rsidRDefault="001A49CC" w:rsidP="001A49CC">
            <w:pPr>
              <w:ind w:left="0"/>
              <w:jc w:val="center"/>
              <w:rPr>
                <w:b/>
                <w:sz w:val="20"/>
                <w:szCs w:val="20"/>
              </w:rPr>
            </w:pPr>
          </w:p>
          <w:p w:rsidR="001A49CC" w:rsidRPr="007D2580" w:rsidRDefault="001A49CC" w:rsidP="001A49CC">
            <w:pPr>
              <w:ind w:left="0"/>
              <w:jc w:val="center"/>
              <w:rPr>
                <w:b/>
                <w:sz w:val="20"/>
                <w:szCs w:val="20"/>
              </w:rPr>
            </w:pPr>
            <w:r>
              <w:rPr>
                <w:b/>
                <w:sz w:val="20"/>
                <w:szCs w:val="20"/>
              </w:rPr>
              <w:t>NIE</w:t>
            </w:r>
          </w:p>
          <w:p w:rsidR="001A49CC" w:rsidRPr="007D2580" w:rsidRDefault="001A49CC" w:rsidP="001A49CC">
            <w:pPr>
              <w:ind w:left="0"/>
              <w:jc w:val="center"/>
              <w:rPr>
                <w:b/>
                <w:sz w:val="20"/>
                <w:szCs w:val="20"/>
              </w:rPr>
            </w:pPr>
          </w:p>
        </w:tc>
        <w:tc>
          <w:tcPr>
            <w:tcW w:w="3302" w:type="dxa"/>
            <w:vMerge w:val="restart"/>
            <w:tcMar>
              <w:left w:w="28" w:type="dxa"/>
              <w:right w:w="28" w:type="dxa"/>
            </w:tcMar>
            <w:vAlign w:val="center"/>
          </w:tcPr>
          <w:p w:rsidR="001A49CC" w:rsidRPr="00CE2E2C" w:rsidRDefault="001A49CC" w:rsidP="001A49CC">
            <w:pPr>
              <w:ind w:left="0"/>
              <w:jc w:val="center"/>
              <w:rPr>
                <w:sz w:val="20"/>
                <w:szCs w:val="20"/>
              </w:rPr>
            </w:pPr>
            <w:r w:rsidRPr="00CE2E2C">
              <w:rPr>
                <w:sz w:val="20"/>
                <w:szCs w:val="20"/>
              </w:rPr>
              <w:t>„Strategický plán rozvoja dopravnej infraštruktúry SR do roku 2020 (fáza I)“</w:t>
            </w:r>
          </w:p>
          <w:p w:rsidR="001A49CC" w:rsidRDefault="00B75FBB" w:rsidP="001A49CC">
            <w:pPr>
              <w:ind w:left="0"/>
              <w:jc w:val="center"/>
              <w:rPr>
                <w:color w:val="FF0000"/>
                <w:sz w:val="16"/>
                <w:szCs w:val="16"/>
              </w:rPr>
            </w:pPr>
            <w:hyperlink r:id="rId38" w:history="1">
              <w:r w:rsidR="001A49CC" w:rsidRPr="003D49C0">
                <w:rPr>
                  <w:rStyle w:val="Hypertextovprepojenie"/>
                  <w:sz w:val="16"/>
                  <w:szCs w:val="16"/>
                </w:rPr>
                <w:t>http://www.telecom.gov.sk/index/index.php?ids=147132</w:t>
              </w:r>
            </w:hyperlink>
          </w:p>
          <w:p w:rsidR="001A49CC" w:rsidRDefault="001A49CC" w:rsidP="001A49CC">
            <w:pPr>
              <w:ind w:left="0"/>
              <w:jc w:val="center"/>
              <w:rPr>
                <w:sz w:val="20"/>
                <w:szCs w:val="20"/>
              </w:rPr>
            </w:pPr>
          </w:p>
          <w:p w:rsidR="001A49CC" w:rsidRDefault="001A49CC" w:rsidP="001A49CC">
            <w:pPr>
              <w:ind w:left="0"/>
              <w:jc w:val="center"/>
              <w:rPr>
                <w:sz w:val="20"/>
                <w:szCs w:val="20"/>
              </w:rPr>
            </w:pPr>
          </w:p>
          <w:p w:rsidR="001A49CC" w:rsidRPr="00CE2E2C" w:rsidRDefault="001A49CC" w:rsidP="001A49CC">
            <w:pPr>
              <w:ind w:left="0"/>
              <w:jc w:val="center"/>
              <w:rPr>
                <w:sz w:val="20"/>
                <w:szCs w:val="20"/>
              </w:rPr>
            </w:pPr>
            <w:r>
              <w:rPr>
                <w:sz w:val="20"/>
                <w:szCs w:val="20"/>
              </w:rPr>
              <w:t>„Stratégia rozvoja verejnej osobnej a nemotorovej dopravy SR do roku 2020</w:t>
            </w:r>
            <w:r w:rsidRPr="00CE2E2C">
              <w:rPr>
                <w:sz w:val="20"/>
                <w:szCs w:val="20"/>
              </w:rPr>
              <w:t>“</w:t>
            </w:r>
          </w:p>
          <w:p w:rsidR="001A49CC" w:rsidRDefault="00B75FBB" w:rsidP="001A49CC">
            <w:pPr>
              <w:ind w:left="0"/>
              <w:jc w:val="center"/>
              <w:rPr>
                <w:color w:val="FF0000"/>
                <w:sz w:val="16"/>
                <w:szCs w:val="16"/>
              </w:rPr>
            </w:pPr>
            <w:hyperlink r:id="rId39" w:history="1">
              <w:r w:rsidR="001A49CC" w:rsidRPr="003D49C0">
                <w:rPr>
                  <w:rStyle w:val="Hypertextovprepojenie"/>
                  <w:sz w:val="16"/>
                  <w:szCs w:val="16"/>
                </w:rPr>
                <w:t>http://www.telecom.gov.sk/index/index.php?ids=147132</w:t>
              </w:r>
            </w:hyperlink>
          </w:p>
          <w:p w:rsidR="001A49CC" w:rsidRPr="001B71F6" w:rsidRDefault="001A49CC" w:rsidP="001A49CC">
            <w:pPr>
              <w:ind w:left="0"/>
              <w:jc w:val="center"/>
              <w:rPr>
                <w:color w:val="FF0000"/>
                <w:sz w:val="16"/>
                <w:szCs w:val="16"/>
              </w:rPr>
            </w:pPr>
          </w:p>
        </w:tc>
        <w:tc>
          <w:tcPr>
            <w:tcW w:w="2401" w:type="dxa"/>
            <w:vMerge w:val="restart"/>
          </w:tcPr>
          <w:p w:rsidR="001A49CC" w:rsidRDefault="001A49CC" w:rsidP="001A49CC">
            <w:pPr>
              <w:ind w:left="0"/>
              <w:rPr>
                <w:sz w:val="20"/>
                <w:szCs w:val="20"/>
              </w:rPr>
            </w:pPr>
            <w:r w:rsidRPr="00B70989">
              <w:rPr>
                <w:sz w:val="20"/>
                <w:szCs w:val="20"/>
              </w:rPr>
              <w:t>Návrh</w:t>
            </w:r>
            <w:r>
              <w:rPr>
                <w:sz w:val="20"/>
                <w:szCs w:val="20"/>
              </w:rPr>
              <w:t>y</w:t>
            </w:r>
            <w:r w:rsidRPr="00B70989">
              <w:rPr>
                <w:sz w:val="20"/>
                <w:szCs w:val="20"/>
              </w:rPr>
              <w:t xml:space="preserve"> Strategického plánu rozvoja dopravnej infraštruktúry SR do roku 2020 (fáza I) a Stratégie rozvoja verejnej osobnej a nemotorovej dopravy SR do roku 2020 boli vypracované.</w:t>
            </w:r>
          </w:p>
          <w:p w:rsidR="001A49CC" w:rsidRPr="00CE2E2C" w:rsidRDefault="001A49CC" w:rsidP="001A49CC">
            <w:pPr>
              <w:ind w:left="0"/>
              <w:rPr>
                <w:sz w:val="20"/>
                <w:szCs w:val="20"/>
              </w:rPr>
            </w:pPr>
            <w:r w:rsidRPr="00B70989">
              <w:rPr>
                <w:sz w:val="20"/>
                <w:szCs w:val="20"/>
              </w:rPr>
              <w:t>Strategické dokumenty sú dostupné na webovej stránke:</w:t>
            </w:r>
            <w:r>
              <w:rPr>
                <w:sz w:val="20"/>
                <w:szCs w:val="20"/>
              </w:rPr>
              <w:t xml:space="preserve"> </w:t>
            </w:r>
            <w:hyperlink r:id="rId40" w:history="1">
              <w:r w:rsidRPr="00CF7DD6">
                <w:rPr>
                  <w:rStyle w:val="Hypertextovprepojenie"/>
                  <w:sz w:val="20"/>
                  <w:szCs w:val="20"/>
                </w:rPr>
                <w:t>www.telecom.gov.sk</w:t>
              </w:r>
            </w:hyperlink>
            <w:r w:rsidRPr="00B70989">
              <w:rPr>
                <w:sz w:val="20"/>
                <w:szCs w:val="20"/>
              </w:rPr>
              <w:t>. Zoznam projektov je súčasťou strategických dokumentov.</w:t>
            </w:r>
            <w:r>
              <w:rPr>
                <w:sz w:val="20"/>
                <w:szCs w:val="20"/>
              </w:rPr>
              <w:t xml:space="preserve"> </w:t>
            </w:r>
            <w:r w:rsidRPr="00B70989">
              <w:rPr>
                <w:sz w:val="20"/>
                <w:szCs w:val="20"/>
              </w:rPr>
              <w:t>MDVRR SR v spolupráci so žiadateľmi</w:t>
            </w:r>
            <w:r>
              <w:rPr>
                <w:sz w:val="20"/>
                <w:szCs w:val="20"/>
              </w:rPr>
              <w:t xml:space="preserve"> zabezpečí </w:t>
            </w:r>
            <w:r w:rsidRPr="00B70989">
              <w:rPr>
                <w:sz w:val="20"/>
                <w:szCs w:val="20"/>
              </w:rPr>
              <w:t>vypracovanie opisu projektu ku každému navrhovanému projektu, ktorý bude poskytovať súhrnné informácie o projekte.</w:t>
            </w:r>
            <w:r>
              <w:rPr>
                <w:sz w:val="20"/>
                <w:szCs w:val="20"/>
              </w:rPr>
              <w:t xml:space="preserve"> </w:t>
            </w:r>
            <w:r w:rsidRPr="00B70989">
              <w:rPr>
                <w:sz w:val="20"/>
                <w:szCs w:val="20"/>
              </w:rPr>
              <w:t xml:space="preserve">Oba strategické dokumenty sú v súčasnosti posudzované podľa zákona </w:t>
            </w:r>
            <w:r w:rsidRPr="00B70989">
              <w:rPr>
                <w:sz w:val="20"/>
                <w:szCs w:val="20"/>
              </w:rPr>
              <w:lastRenderedPageBreak/>
              <w:t xml:space="preserve">č. 24/2006 Z. z. o posudzovaní vplyvov na životné prostredie. Ukončenie procesu </w:t>
            </w:r>
            <w:r>
              <w:rPr>
                <w:sz w:val="20"/>
                <w:szCs w:val="20"/>
              </w:rPr>
              <w:t>SEA</w:t>
            </w:r>
            <w:r w:rsidRPr="00B70989">
              <w:rPr>
                <w:sz w:val="20"/>
                <w:szCs w:val="20"/>
              </w:rPr>
              <w:t xml:space="preserve"> sa predpokladá v apríli 2014. Úplné splnenie ex ante kondicionalít v sektore dopravy bude zabezpečené vypracovaním Strategického plánu rozvoja dopravnej infraštruktúry SR do roku 2030 (fáza II).</w:t>
            </w:r>
          </w:p>
        </w:tc>
      </w:tr>
      <w:tr w:rsidR="001A49CC" w:rsidTr="00A127CB">
        <w:trPr>
          <w:trHeight w:val="340"/>
          <w:jc w:val="center"/>
        </w:trPr>
        <w:tc>
          <w:tcPr>
            <w:tcW w:w="2058" w:type="dxa"/>
            <w:vMerge/>
            <w:vAlign w:val="center"/>
          </w:tcPr>
          <w:p w:rsidR="001A49CC" w:rsidRDefault="001A49CC" w:rsidP="001A49CC">
            <w:pPr>
              <w:spacing w:before="20" w:after="120"/>
              <w:ind w:left="0"/>
              <w:rPr>
                <w:sz w:val="20"/>
                <w:szCs w:val="20"/>
              </w:rPr>
            </w:pPr>
          </w:p>
        </w:tc>
        <w:tc>
          <w:tcPr>
            <w:tcW w:w="1422" w:type="dxa"/>
            <w:vMerge/>
            <w:vAlign w:val="center"/>
          </w:tcPr>
          <w:p w:rsidR="001A49CC" w:rsidRDefault="001A49CC" w:rsidP="001A49CC">
            <w:pPr>
              <w:ind w:left="0"/>
              <w:jc w:val="center"/>
            </w:pPr>
          </w:p>
        </w:tc>
        <w:tc>
          <w:tcPr>
            <w:tcW w:w="1750" w:type="dxa"/>
            <w:vMerge/>
            <w:vAlign w:val="center"/>
          </w:tcPr>
          <w:p w:rsidR="001A49CC" w:rsidRPr="00566720" w:rsidRDefault="001A49CC" w:rsidP="001A49CC">
            <w:pPr>
              <w:ind w:left="0"/>
              <w:jc w:val="center"/>
              <w:rPr>
                <w:b/>
                <w:sz w:val="20"/>
                <w:szCs w:val="20"/>
              </w:rPr>
            </w:pPr>
          </w:p>
        </w:tc>
        <w:tc>
          <w:tcPr>
            <w:tcW w:w="2089" w:type="dxa"/>
            <w:vAlign w:val="center"/>
          </w:tcPr>
          <w:p w:rsidR="001A49CC" w:rsidRPr="00AB533E" w:rsidRDefault="001A49CC" w:rsidP="001A49CC">
            <w:pPr>
              <w:ind w:left="0"/>
              <w:rPr>
                <w:sz w:val="20"/>
                <w:szCs w:val="20"/>
              </w:rPr>
            </w:pPr>
            <w:r>
              <w:rPr>
                <w:sz w:val="20"/>
                <w:szCs w:val="20"/>
              </w:rPr>
              <w:t>- p</w:t>
            </w:r>
            <w:r w:rsidRPr="00B70989">
              <w:rPr>
                <w:sz w:val="20"/>
                <w:szCs w:val="20"/>
              </w:rPr>
              <w:t>ríspevok k jednotnému európskemu dopravnému priestoru v súlade s článkom 10 nariadenia Európskeho parlam</w:t>
            </w:r>
            <w:r>
              <w:rPr>
                <w:sz w:val="20"/>
                <w:szCs w:val="20"/>
              </w:rPr>
              <w:t>entu a Rady (EÚ) č. 1315/2013</w:t>
            </w:r>
            <w:r w:rsidRPr="00B70989">
              <w:rPr>
                <w:sz w:val="20"/>
                <w:szCs w:val="20"/>
              </w:rPr>
              <w:t xml:space="preserve"> vrátane priorít pre investície do:</w:t>
            </w:r>
          </w:p>
        </w:tc>
        <w:tc>
          <w:tcPr>
            <w:tcW w:w="1153" w:type="dxa"/>
            <w:vAlign w:val="center"/>
          </w:tcPr>
          <w:p w:rsidR="001A49CC" w:rsidRPr="00B70989" w:rsidRDefault="001A49CC" w:rsidP="001A49CC">
            <w:pPr>
              <w:ind w:left="0"/>
              <w:jc w:val="center"/>
              <w:rPr>
                <w:sz w:val="20"/>
                <w:szCs w:val="20"/>
              </w:rPr>
            </w:pPr>
          </w:p>
          <w:p w:rsidR="001A49CC" w:rsidRPr="00B70989" w:rsidRDefault="001A49CC" w:rsidP="001A49CC">
            <w:pPr>
              <w:ind w:left="0"/>
              <w:jc w:val="center"/>
              <w:rPr>
                <w:b/>
                <w:sz w:val="20"/>
                <w:szCs w:val="20"/>
              </w:rPr>
            </w:pPr>
            <w:r w:rsidRPr="00B70989">
              <w:rPr>
                <w:b/>
                <w:sz w:val="20"/>
                <w:szCs w:val="20"/>
              </w:rPr>
              <w:t>ÁNO</w:t>
            </w:r>
          </w:p>
          <w:p w:rsidR="001A49CC" w:rsidRPr="00B70989" w:rsidRDefault="001A49CC" w:rsidP="001A49CC">
            <w:pPr>
              <w:ind w:left="0"/>
              <w:jc w:val="center"/>
              <w:rPr>
                <w:sz w:val="20"/>
                <w:szCs w:val="20"/>
              </w:rPr>
            </w:pPr>
          </w:p>
        </w:tc>
        <w:tc>
          <w:tcPr>
            <w:tcW w:w="3302" w:type="dxa"/>
            <w:vMerge/>
            <w:vAlign w:val="center"/>
          </w:tcPr>
          <w:p w:rsidR="001A49CC" w:rsidRPr="001D6706" w:rsidRDefault="001A49CC" w:rsidP="001A49CC">
            <w:pPr>
              <w:ind w:left="0"/>
              <w:jc w:val="center"/>
              <w:rPr>
                <w:strike/>
                <w:color w:val="FF0000"/>
                <w:sz w:val="20"/>
                <w:szCs w:val="20"/>
              </w:rPr>
            </w:pPr>
          </w:p>
        </w:tc>
        <w:tc>
          <w:tcPr>
            <w:tcW w:w="2401" w:type="dxa"/>
            <w:vMerge/>
            <w:vAlign w:val="center"/>
          </w:tcPr>
          <w:p w:rsidR="001A49CC" w:rsidRPr="00CE2E2C" w:rsidRDefault="001A49CC" w:rsidP="001A49CC">
            <w:pPr>
              <w:ind w:left="0"/>
              <w:jc w:val="center"/>
              <w:rPr>
                <w:sz w:val="20"/>
                <w:szCs w:val="20"/>
              </w:rPr>
            </w:pPr>
          </w:p>
        </w:tc>
      </w:tr>
      <w:tr w:rsidR="001A49CC" w:rsidTr="00A127CB">
        <w:trPr>
          <w:trHeight w:val="340"/>
          <w:jc w:val="center"/>
        </w:trPr>
        <w:tc>
          <w:tcPr>
            <w:tcW w:w="2058" w:type="dxa"/>
            <w:vMerge/>
            <w:vAlign w:val="center"/>
          </w:tcPr>
          <w:p w:rsidR="001A49CC" w:rsidRDefault="001A49CC" w:rsidP="001A49CC">
            <w:pPr>
              <w:spacing w:before="20" w:after="120"/>
              <w:ind w:left="0"/>
              <w:rPr>
                <w:sz w:val="20"/>
                <w:szCs w:val="20"/>
              </w:rPr>
            </w:pPr>
          </w:p>
        </w:tc>
        <w:tc>
          <w:tcPr>
            <w:tcW w:w="1422" w:type="dxa"/>
            <w:vMerge/>
            <w:vAlign w:val="center"/>
          </w:tcPr>
          <w:p w:rsidR="001A49CC" w:rsidRDefault="001A49CC" w:rsidP="001A49CC">
            <w:pPr>
              <w:ind w:left="0"/>
              <w:jc w:val="center"/>
            </w:pPr>
          </w:p>
        </w:tc>
        <w:tc>
          <w:tcPr>
            <w:tcW w:w="1750" w:type="dxa"/>
            <w:vMerge/>
            <w:vAlign w:val="center"/>
          </w:tcPr>
          <w:p w:rsidR="001A49CC" w:rsidRPr="00CE2E2C" w:rsidRDefault="001A49CC" w:rsidP="001A49CC">
            <w:pPr>
              <w:ind w:left="0"/>
              <w:jc w:val="center"/>
              <w:rPr>
                <w:b/>
                <w:sz w:val="20"/>
                <w:szCs w:val="20"/>
              </w:rPr>
            </w:pPr>
          </w:p>
        </w:tc>
        <w:tc>
          <w:tcPr>
            <w:tcW w:w="2089" w:type="dxa"/>
            <w:vAlign w:val="center"/>
          </w:tcPr>
          <w:p w:rsidR="001A49CC" w:rsidRPr="00950A52" w:rsidRDefault="001A49CC" w:rsidP="001A49CC">
            <w:pPr>
              <w:ind w:left="0"/>
              <w:rPr>
                <w:sz w:val="20"/>
                <w:szCs w:val="20"/>
              </w:rPr>
            </w:pPr>
            <w:r>
              <w:rPr>
                <w:sz w:val="20"/>
                <w:szCs w:val="20"/>
              </w:rPr>
              <w:t>- z</w:t>
            </w:r>
            <w:r w:rsidRPr="00B70989">
              <w:rPr>
                <w:sz w:val="20"/>
                <w:szCs w:val="20"/>
              </w:rPr>
              <w:t xml:space="preserve">ákladnej siete </w:t>
            </w:r>
            <w:r>
              <w:rPr>
                <w:sz w:val="20"/>
                <w:szCs w:val="20"/>
              </w:rPr>
              <w:br/>
            </w:r>
            <w:r w:rsidRPr="00B70989">
              <w:rPr>
                <w:sz w:val="20"/>
                <w:szCs w:val="20"/>
              </w:rPr>
              <w:t>TEN-T a úplnej siete, pričom sa počíta s investíciami z EFRR a Kohézneho fondu, a</w:t>
            </w:r>
          </w:p>
        </w:tc>
        <w:tc>
          <w:tcPr>
            <w:tcW w:w="1153" w:type="dxa"/>
            <w:vAlign w:val="center"/>
          </w:tcPr>
          <w:p w:rsidR="001A49CC" w:rsidRPr="00B70989" w:rsidRDefault="001A49CC" w:rsidP="001A49CC">
            <w:pPr>
              <w:ind w:left="0"/>
              <w:jc w:val="center"/>
              <w:rPr>
                <w:b/>
                <w:sz w:val="20"/>
                <w:szCs w:val="20"/>
              </w:rPr>
            </w:pPr>
            <w:r w:rsidRPr="00B70989">
              <w:rPr>
                <w:b/>
                <w:sz w:val="20"/>
                <w:szCs w:val="20"/>
              </w:rPr>
              <w:t>ÁNO</w:t>
            </w:r>
          </w:p>
          <w:p w:rsidR="001A49CC" w:rsidRPr="00CE2E2C" w:rsidRDefault="001A49CC" w:rsidP="001A49CC">
            <w:pPr>
              <w:ind w:left="0"/>
              <w:jc w:val="center"/>
              <w:rPr>
                <w:b/>
                <w:sz w:val="20"/>
                <w:szCs w:val="20"/>
              </w:rPr>
            </w:pPr>
          </w:p>
        </w:tc>
        <w:tc>
          <w:tcPr>
            <w:tcW w:w="3302" w:type="dxa"/>
            <w:vMerge/>
            <w:vAlign w:val="center"/>
          </w:tcPr>
          <w:p w:rsidR="001A49CC" w:rsidRPr="00391AE1" w:rsidRDefault="001A49CC" w:rsidP="001A49CC">
            <w:pPr>
              <w:ind w:left="0"/>
              <w:jc w:val="center"/>
              <w:rPr>
                <w:sz w:val="20"/>
                <w:szCs w:val="20"/>
              </w:rPr>
            </w:pPr>
          </w:p>
        </w:tc>
        <w:tc>
          <w:tcPr>
            <w:tcW w:w="2401" w:type="dxa"/>
            <w:vMerge/>
            <w:vAlign w:val="center"/>
          </w:tcPr>
          <w:p w:rsidR="001A49CC" w:rsidRPr="00CE2E2C" w:rsidRDefault="001A49CC" w:rsidP="001A49CC">
            <w:pPr>
              <w:ind w:left="0"/>
              <w:jc w:val="center"/>
              <w:rPr>
                <w:sz w:val="20"/>
                <w:szCs w:val="20"/>
              </w:rPr>
            </w:pPr>
          </w:p>
        </w:tc>
      </w:tr>
      <w:tr w:rsidR="001A49CC" w:rsidTr="00A127CB">
        <w:trPr>
          <w:trHeight w:val="340"/>
          <w:jc w:val="center"/>
        </w:trPr>
        <w:tc>
          <w:tcPr>
            <w:tcW w:w="2058" w:type="dxa"/>
            <w:vMerge/>
            <w:vAlign w:val="center"/>
          </w:tcPr>
          <w:p w:rsidR="001A49CC" w:rsidRDefault="001A49CC" w:rsidP="001A49CC">
            <w:pPr>
              <w:spacing w:before="20" w:after="120"/>
              <w:ind w:left="0"/>
              <w:rPr>
                <w:sz w:val="20"/>
                <w:szCs w:val="20"/>
              </w:rPr>
            </w:pPr>
          </w:p>
        </w:tc>
        <w:tc>
          <w:tcPr>
            <w:tcW w:w="1422" w:type="dxa"/>
            <w:vMerge/>
            <w:vAlign w:val="center"/>
          </w:tcPr>
          <w:p w:rsidR="001A49CC" w:rsidRPr="00391AE1" w:rsidRDefault="001A49CC" w:rsidP="001A49CC">
            <w:pPr>
              <w:ind w:left="0"/>
              <w:jc w:val="center"/>
              <w:rPr>
                <w:sz w:val="20"/>
                <w:szCs w:val="20"/>
              </w:rPr>
            </w:pPr>
          </w:p>
        </w:tc>
        <w:tc>
          <w:tcPr>
            <w:tcW w:w="1750" w:type="dxa"/>
            <w:vMerge/>
            <w:vAlign w:val="center"/>
          </w:tcPr>
          <w:p w:rsidR="001A49CC" w:rsidRPr="00566720" w:rsidRDefault="001A49CC" w:rsidP="001A49CC">
            <w:pPr>
              <w:ind w:left="0"/>
              <w:jc w:val="center"/>
              <w:rPr>
                <w:b/>
                <w:sz w:val="20"/>
                <w:szCs w:val="20"/>
              </w:rPr>
            </w:pPr>
          </w:p>
        </w:tc>
        <w:tc>
          <w:tcPr>
            <w:tcW w:w="2089" w:type="dxa"/>
            <w:vAlign w:val="center"/>
          </w:tcPr>
          <w:p w:rsidR="001A49CC" w:rsidRPr="00B70989" w:rsidRDefault="001A49CC" w:rsidP="001A49CC">
            <w:pPr>
              <w:ind w:left="0"/>
              <w:rPr>
                <w:sz w:val="20"/>
                <w:szCs w:val="20"/>
              </w:rPr>
            </w:pPr>
            <w:r>
              <w:rPr>
                <w:sz w:val="20"/>
                <w:szCs w:val="20"/>
              </w:rPr>
              <w:t xml:space="preserve">- </w:t>
            </w:r>
            <w:r w:rsidRPr="00B70989">
              <w:rPr>
                <w:sz w:val="20"/>
                <w:szCs w:val="20"/>
              </w:rPr>
              <w:t>sekundárnej siete</w:t>
            </w:r>
            <w:r>
              <w:rPr>
                <w:sz w:val="20"/>
                <w:szCs w:val="20"/>
              </w:rPr>
              <w:t>,</w:t>
            </w:r>
          </w:p>
        </w:tc>
        <w:tc>
          <w:tcPr>
            <w:tcW w:w="1153" w:type="dxa"/>
            <w:vAlign w:val="center"/>
          </w:tcPr>
          <w:p w:rsidR="001A49CC" w:rsidRPr="009406F5" w:rsidRDefault="001A49CC" w:rsidP="001A49CC">
            <w:pPr>
              <w:ind w:left="0"/>
              <w:jc w:val="center"/>
              <w:rPr>
                <w:b/>
                <w:sz w:val="20"/>
                <w:szCs w:val="20"/>
              </w:rPr>
            </w:pPr>
            <w:r w:rsidRPr="009406F5">
              <w:rPr>
                <w:b/>
                <w:sz w:val="20"/>
                <w:szCs w:val="20"/>
              </w:rPr>
              <w:t>ÁNO</w:t>
            </w:r>
          </w:p>
        </w:tc>
        <w:tc>
          <w:tcPr>
            <w:tcW w:w="3302" w:type="dxa"/>
            <w:vMerge/>
            <w:vAlign w:val="center"/>
          </w:tcPr>
          <w:p w:rsidR="001A49CC" w:rsidRPr="00A95A95" w:rsidRDefault="001A49CC" w:rsidP="001A49CC">
            <w:pPr>
              <w:ind w:left="0"/>
              <w:jc w:val="center"/>
              <w:rPr>
                <w:sz w:val="20"/>
                <w:szCs w:val="20"/>
              </w:rPr>
            </w:pPr>
          </w:p>
        </w:tc>
        <w:tc>
          <w:tcPr>
            <w:tcW w:w="2401" w:type="dxa"/>
            <w:vMerge/>
            <w:vAlign w:val="center"/>
          </w:tcPr>
          <w:p w:rsidR="001A49CC" w:rsidRPr="00391AE1" w:rsidRDefault="001A49CC" w:rsidP="001A49CC">
            <w:pPr>
              <w:ind w:left="0"/>
              <w:jc w:val="center"/>
              <w:rPr>
                <w:sz w:val="20"/>
                <w:szCs w:val="20"/>
              </w:rPr>
            </w:pPr>
          </w:p>
        </w:tc>
      </w:tr>
      <w:tr w:rsidR="001A49CC" w:rsidTr="00A127CB">
        <w:trPr>
          <w:trHeight w:val="340"/>
          <w:jc w:val="center"/>
        </w:trPr>
        <w:tc>
          <w:tcPr>
            <w:tcW w:w="2058" w:type="dxa"/>
            <w:vMerge/>
            <w:vAlign w:val="center"/>
          </w:tcPr>
          <w:p w:rsidR="001A49CC" w:rsidRDefault="001A49CC" w:rsidP="001A49CC">
            <w:pPr>
              <w:spacing w:before="20" w:after="120"/>
              <w:rPr>
                <w:sz w:val="20"/>
                <w:szCs w:val="20"/>
              </w:rPr>
            </w:pPr>
          </w:p>
        </w:tc>
        <w:tc>
          <w:tcPr>
            <w:tcW w:w="1422" w:type="dxa"/>
            <w:vMerge/>
            <w:vAlign w:val="center"/>
          </w:tcPr>
          <w:p w:rsidR="001A49CC" w:rsidRPr="00391AE1" w:rsidRDefault="001A49CC" w:rsidP="001A49CC">
            <w:pPr>
              <w:jc w:val="center"/>
              <w:rPr>
                <w:sz w:val="20"/>
                <w:szCs w:val="20"/>
              </w:rPr>
            </w:pPr>
          </w:p>
        </w:tc>
        <w:tc>
          <w:tcPr>
            <w:tcW w:w="1750" w:type="dxa"/>
            <w:vMerge/>
            <w:vAlign w:val="center"/>
          </w:tcPr>
          <w:p w:rsidR="001A49CC" w:rsidRPr="00566720" w:rsidRDefault="001A49CC" w:rsidP="001A49CC">
            <w:pPr>
              <w:jc w:val="center"/>
              <w:rPr>
                <w:b/>
                <w:sz w:val="20"/>
                <w:szCs w:val="20"/>
              </w:rPr>
            </w:pPr>
          </w:p>
        </w:tc>
        <w:tc>
          <w:tcPr>
            <w:tcW w:w="2089" w:type="dxa"/>
            <w:vAlign w:val="center"/>
          </w:tcPr>
          <w:p w:rsidR="001A49CC" w:rsidRDefault="001A49CC" w:rsidP="001A49CC">
            <w:pPr>
              <w:ind w:left="0"/>
              <w:rPr>
                <w:rFonts w:ascii="EUAlbertina" w:hAnsi="EUAlbertina" w:cs="EUAlbertina"/>
                <w:color w:val="000000"/>
              </w:rPr>
            </w:pPr>
            <w:r>
              <w:rPr>
                <w:sz w:val="20"/>
                <w:szCs w:val="20"/>
              </w:rPr>
              <w:t>- r</w:t>
            </w:r>
            <w:r w:rsidRPr="00B70989">
              <w:rPr>
                <w:sz w:val="20"/>
                <w:szCs w:val="20"/>
              </w:rPr>
              <w:t>ealistickú a kvalitnú realizáciu projektov, pri ktorých sa počíta s podporou zo strany EFRR a Kohézneho fondu</w:t>
            </w:r>
            <w:r>
              <w:rPr>
                <w:rFonts w:cs="EUAlbertina"/>
                <w:color w:val="000000"/>
                <w:sz w:val="17"/>
                <w:szCs w:val="17"/>
              </w:rPr>
              <w:t xml:space="preserve"> .</w:t>
            </w:r>
          </w:p>
        </w:tc>
        <w:tc>
          <w:tcPr>
            <w:tcW w:w="1153" w:type="dxa"/>
            <w:vAlign w:val="center"/>
          </w:tcPr>
          <w:p w:rsidR="001A49CC" w:rsidRPr="007D2580" w:rsidRDefault="001A49CC" w:rsidP="001A49CC">
            <w:pPr>
              <w:ind w:left="0"/>
              <w:jc w:val="center"/>
              <w:rPr>
                <w:b/>
                <w:sz w:val="20"/>
                <w:szCs w:val="20"/>
              </w:rPr>
            </w:pPr>
            <w:r>
              <w:rPr>
                <w:b/>
                <w:sz w:val="20"/>
                <w:szCs w:val="20"/>
              </w:rPr>
              <w:t>NIE</w:t>
            </w:r>
          </w:p>
          <w:p w:rsidR="001A49CC" w:rsidRPr="009406F5" w:rsidRDefault="001A49CC" w:rsidP="001A49CC">
            <w:pPr>
              <w:jc w:val="center"/>
              <w:rPr>
                <w:b/>
                <w:sz w:val="20"/>
                <w:szCs w:val="20"/>
              </w:rPr>
            </w:pPr>
          </w:p>
        </w:tc>
        <w:tc>
          <w:tcPr>
            <w:tcW w:w="3302" w:type="dxa"/>
            <w:vMerge/>
            <w:vAlign w:val="center"/>
          </w:tcPr>
          <w:p w:rsidR="001A49CC" w:rsidRDefault="001A49CC" w:rsidP="001A49CC">
            <w:pPr>
              <w:jc w:val="center"/>
              <w:rPr>
                <w:sz w:val="20"/>
                <w:szCs w:val="20"/>
              </w:rPr>
            </w:pPr>
          </w:p>
        </w:tc>
        <w:tc>
          <w:tcPr>
            <w:tcW w:w="2401" w:type="dxa"/>
            <w:vMerge/>
            <w:vAlign w:val="center"/>
          </w:tcPr>
          <w:p w:rsidR="001A49CC" w:rsidRPr="00F21803" w:rsidRDefault="001A49CC" w:rsidP="001A49CC">
            <w:pPr>
              <w:jc w:val="center"/>
              <w:rPr>
                <w:sz w:val="20"/>
                <w:szCs w:val="20"/>
              </w:rPr>
            </w:pPr>
          </w:p>
        </w:tc>
      </w:tr>
      <w:tr w:rsidR="001A49CC" w:rsidTr="00A127CB">
        <w:trPr>
          <w:trHeight w:val="340"/>
          <w:jc w:val="center"/>
        </w:trPr>
        <w:tc>
          <w:tcPr>
            <w:tcW w:w="2058" w:type="dxa"/>
            <w:vMerge/>
            <w:vAlign w:val="center"/>
          </w:tcPr>
          <w:p w:rsidR="001A49CC" w:rsidRDefault="001A49CC" w:rsidP="001A49CC">
            <w:pPr>
              <w:spacing w:before="20" w:after="120"/>
              <w:rPr>
                <w:sz w:val="20"/>
                <w:szCs w:val="20"/>
              </w:rPr>
            </w:pPr>
          </w:p>
        </w:tc>
        <w:tc>
          <w:tcPr>
            <w:tcW w:w="1422" w:type="dxa"/>
            <w:vMerge/>
            <w:vAlign w:val="center"/>
          </w:tcPr>
          <w:p w:rsidR="001A49CC" w:rsidRPr="00391AE1" w:rsidRDefault="001A49CC" w:rsidP="001A49CC">
            <w:pPr>
              <w:jc w:val="center"/>
              <w:rPr>
                <w:sz w:val="20"/>
                <w:szCs w:val="20"/>
              </w:rPr>
            </w:pPr>
          </w:p>
        </w:tc>
        <w:tc>
          <w:tcPr>
            <w:tcW w:w="1750" w:type="dxa"/>
            <w:vMerge/>
            <w:vAlign w:val="center"/>
          </w:tcPr>
          <w:p w:rsidR="001A49CC" w:rsidRPr="00566720" w:rsidRDefault="001A49CC" w:rsidP="001A49CC">
            <w:pPr>
              <w:jc w:val="center"/>
              <w:rPr>
                <w:b/>
                <w:sz w:val="20"/>
                <w:szCs w:val="20"/>
              </w:rPr>
            </w:pPr>
          </w:p>
        </w:tc>
        <w:tc>
          <w:tcPr>
            <w:tcW w:w="2089" w:type="dxa"/>
            <w:vAlign w:val="center"/>
          </w:tcPr>
          <w:p w:rsidR="001A49CC" w:rsidRPr="00B70989" w:rsidRDefault="001A49CC" w:rsidP="001A49CC">
            <w:pPr>
              <w:ind w:left="0"/>
              <w:rPr>
                <w:sz w:val="20"/>
                <w:szCs w:val="20"/>
              </w:rPr>
            </w:pPr>
            <w:r w:rsidRPr="00B70989">
              <w:rPr>
                <w:sz w:val="20"/>
                <w:szCs w:val="20"/>
              </w:rPr>
              <w:t>Opatrenia na zabezpečenie kapacity sprostredkovateľských orgánov a prijímateľov pri vykonávaní naplánovaných projektov.</w:t>
            </w:r>
          </w:p>
        </w:tc>
        <w:tc>
          <w:tcPr>
            <w:tcW w:w="1153" w:type="dxa"/>
            <w:vAlign w:val="center"/>
          </w:tcPr>
          <w:p w:rsidR="001A49CC" w:rsidRPr="007D2580" w:rsidRDefault="001A49CC" w:rsidP="001A49CC">
            <w:pPr>
              <w:ind w:left="0"/>
              <w:jc w:val="center"/>
              <w:rPr>
                <w:b/>
                <w:sz w:val="20"/>
                <w:szCs w:val="20"/>
              </w:rPr>
            </w:pPr>
            <w:r>
              <w:rPr>
                <w:b/>
                <w:sz w:val="20"/>
                <w:szCs w:val="20"/>
              </w:rPr>
              <w:t>NIE</w:t>
            </w:r>
          </w:p>
          <w:p w:rsidR="001A49CC" w:rsidRPr="009406F5" w:rsidRDefault="001A49CC" w:rsidP="001A49CC">
            <w:pPr>
              <w:jc w:val="center"/>
              <w:rPr>
                <w:b/>
                <w:sz w:val="20"/>
                <w:szCs w:val="20"/>
              </w:rPr>
            </w:pPr>
          </w:p>
        </w:tc>
        <w:tc>
          <w:tcPr>
            <w:tcW w:w="3302" w:type="dxa"/>
            <w:vAlign w:val="center"/>
          </w:tcPr>
          <w:p w:rsidR="001A49CC" w:rsidRDefault="001A49CC" w:rsidP="001A49CC">
            <w:pPr>
              <w:ind w:left="0"/>
              <w:jc w:val="center"/>
              <w:rPr>
                <w:sz w:val="20"/>
                <w:szCs w:val="20"/>
              </w:rPr>
            </w:pPr>
            <w:r>
              <w:rPr>
                <w:sz w:val="20"/>
                <w:szCs w:val="20"/>
              </w:rPr>
              <w:t>Dokument</w:t>
            </w:r>
          </w:p>
          <w:p w:rsidR="001A49CC" w:rsidRDefault="001A49CC" w:rsidP="001A49CC">
            <w:pPr>
              <w:ind w:left="0"/>
              <w:jc w:val="center"/>
              <w:rPr>
                <w:sz w:val="20"/>
                <w:szCs w:val="20"/>
              </w:rPr>
            </w:pPr>
            <w:r>
              <w:rPr>
                <w:sz w:val="20"/>
                <w:szCs w:val="20"/>
              </w:rPr>
              <w:t xml:space="preserve">„Analýza administratívnych, finančných a technických kapacít prijímateľov za rok 2012“ zo dňa </w:t>
            </w:r>
            <w:r w:rsidRPr="00CE2E2C">
              <w:rPr>
                <w:sz w:val="20"/>
                <w:szCs w:val="20"/>
              </w:rPr>
              <w:t>15.05.2013</w:t>
            </w:r>
          </w:p>
        </w:tc>
        <w:tc>
          <w:tcPr>
            <w:tcW w:w="2401" w:type="dxa"/>
            <w:vAlign w:val="center"/>
          </w:tcPr>
          <w:p w:rsidR="001A49CC" w:rsidRPr="00F21803" w:rsidRDefault="001A49CC" w:rsidP="001A49CC">
            <w:pPr>
              <w:ind w:left="0"/>
              <w:jc w:val="center"/>
              <w:rPr>
                <w:sz w:val="20"/>
                <w:szCs w:val="20"/>
              </w:rPr>
            </w:pPr>
            <w:r>
              <w:rPr>
                <w:sz w:val="20"/>
                <w:szCs w:val="20"/>
              </w:rPr>
              <w:t>Pripravuje sa aktualizácia analýzy.</w:t>
            </w:r>
          </w:p>
        </w:tc>
      </w:tr>
      <w:tr w:rsidR="001A49CC" w:rsidTr="00A127CB">
        <w:trPr>
          <w:trHeight w:val="340"/>
          <w:jc w:val="center"/>
        </w:trPr>
        <w:tc>
          <w:tcPr>
            <w:tcW w:w="2058" w:type="dxa"/>
            <w:vMerge w:val="restart"/>
            <w:vAlign w:val="center"/>
          </w:tcPr>
          <w:p w:rsidR="001A49CC" w:rsidRPr="00391AE1" w:rsidRDefault="001A49CC" w:rsidP="001A49CC">
            <w:pPr>
              <w:ind w:left="0"/>
              <w:rPr>
                <w:sz w:val="20"/>
                <w:szCs w:val="20"/>
              </w:rPr>
            </w:pPr>
            <w:r w:rsidRPr="00EC3FD7">
              <w:rPr>
                <w:sz w:val="20"/>
                <w:szCs w:val="20"/>
              </w:rPr>
              <w:t xml:space="preserve">7.2. Železničná doprava: existencia komplexného plánu či plánov alebo rámca či rámcov dopravy s osobitnou časťou venovanou rozvoju železničnej siete v súlade s inštitucionálnou štruktúrou členských štátov (vrátane verejnej dopravy na regionálnej a miestnej úrovni), ktorý podporuje rozvoj </w:t>
            </w:r>
            <w:r w:rsidRPr="00EC3FD7">
              <w:rPr>
                <w:sz w:val="20"/>
                <w:szCs w:val="20"/>
              </w:rPr>
              <w:lastRenderedPageBreak/>
              <w:t>infraštruktúry a zlepšuje prepojenie na úplnú a základnú sieť TEN-T. Investície zahŕňajú mobilné aktíva, interoperabilitu a budovanie kapacít.</w:t>
            </w:r>
            <w:r w:rsidRPr="00E14AF4">
              <w:rPr>
                <w:sz w:val="20"/>
                <w:szCs w:val="20"/>
              </w:rPr>
              <w:t>.</w:t>
            </w:r>
          </w:p>
        </w:tc>
        <w:tc>
          <w:tcPr>
            <w:tcW w:w="1422" w:type="dxa"/>
            <w:vMerge w:val="restart"/>
            <w:vAlign w:val="center"/>
          </w:tcPr>
          <w:p w:rsidR="001A49CC" w:rsidRDefault="001A49CC" w:rsidP="001A49CC">
            <w:pPr>
              <w:ind w:left="0"/>
              <w:jc w:val="center"/>
              <w:rPr>
                <w:sz w:val="20"/>
                <w:szCs w:val="20"/>
              </w:rPr>
            </w:pPr>
            <w:r>
              <w:rPr>
                <w:sz w:val="20"/>
                <w:szCs w:val="20"/>
              </w:rPr>
              <w:lastRenderedPageBreak/>
              <w:t xml:space="preserve">PO 1, PO 3, </w:t>
            </w:r>
          </w:p>
          <w:p w:rsidR="001A49CC" w:rsidRPr="00391AE1" w:rsidRDefault="001A49CC" w:rsidP="001A49CC">
            <w:pPr>
              <w:ind w:left="0"/>
              <w:jc w:val="center"/>
              <w:rPr>
                <w:sz w:val="20"/>
                <w:szCs w:val="20"/>
              </w:rPr>
            </w:pPr>
            <w:r>
              <w:rPr>
                <w:sz w:val="20"/>
                <w:szCs w:val="20"/>
              </w:rPr>
              <w:t>PO 5</w:t>
            </w:r>
          </w:p>
        </w:tc>
        <w:tc>
          <w:tcPr>
            <w:tcW w:w="1750" w:type="dxa"/>
            <w:vMerge w:val="restart"/>
            <w:vAlign w:val="center"/>
          </w:tcPr>
          <w:p w:rsidR="001A49CC" w:rsidRDefault="001A49CC" w:rsidP="001A49CC">
            <w:pPr>
              <w:ind w:left="0"/>
              <w:jc w:val="center"/>
              <w:rPr>
                <w:b/>
                <w:sz w:val="20"/>
                <w:szCs w:val="20"/>
              </w:rPr>
            </w:pPr>
          </w:p>
          <w:p w:rsidR="001A49CC" w:rsidRPr="007D2580" w:rsidRDefault="001A49CC" w:rsidP="001A49CC">
            <w:pPr>
              <w:ind w:left="0"/>
              <w:jc w:val="center"/>
              <w:rPr>
                <w:b/>
                <w:sz w:val="20"/>
                <w:szCs w:val="20"/>
              </w:rPr>
            </w:pPr>
            <w:r>
              <w:rPr>
                <w:b/>
                <w:sz w:val="20"/>
                <w:szCs w:val="20"/>
              </w:rPr>
              <w:t>NIE</w:t>
            </w:r>
          </w:p>
          <w:p w:rsidR="001A49CC" w:rsidRPr="00566720" w:rsidRDefault="001A49CC" w:rsidP="001A49CC">
            <w:pPr>
              <w:ind w:left="0"/>
              <w:jc w:val="center"/>
              <w:rPr>
                <w:b/>
                <w:sz w:val="20"/>
                <w:szCs w:val="20"/>
              </w:rPr>
            </w:pPr>
          </w:p>
        </w:tc>
        <w:tc>
          <w:tcPr>
            <w:tcW w:w="2089" w:type="dxa"/>
            <w:vAlign w:val="center"/>
          </w:tcPr>
          <w:p w:rsidR="001A49CC" w:rsidRPr="00391AE1" w:rsidRDefault="001A49CC" w:rsidP="001A49CC">
            <w:pPr>
              <w:ind w:left="0"/>
              <w:rPr>
                <w:sz w:val="20"/>
                <w:szCs w:val="20"/>
              </w:rPr>
            </w:pPr>
            <w:r w:rsidRPr="00EC3FD7">
              <w:rPr>
                <w:sz w:val="20"/>
                <w:szCs w:val="20"/>
              </w:rPr>
              <w:t xml:space="preserve">V rámci uvedeného plánu či plánov alebo rámca či rámcov dopravy existuje časť venovaná rozvoju železničnej siete, ktorá spĺňa právne požiadavky na strategické environmentálne posúdenie a stanovuje realisticky a kvalitne vypracovaný plán realizácie projektov (vrátane časového plánu a rozpočtového </w:t>
            </w:r>
            <w:r w:rsidRPr="00EC3FD7">
              <w:rPr>
                <w:sz w:val="20"/>
                <w:szCs w:val="20"/>
              </w:rPr>
              <w:lastRenderedPageBreak/>
              <w:t>rámca).</w:t>
            </w:r>
          </w:p>
        </w:tc>
        <w:tc>
          <w:tcPr>
            <w:tcW w:w="1153" w:type="dxa"/>
            <w:vAlign w:val="center"/>
          </w:tcPr>
          <w:p w:rsidR="001A49CC" w:rsidRDefault="001A49CC" w:rsidP="001A49CC">
            <w:pPr>
              <w:ind w:left="0"/>
              <w:rPr>
                <w:b/>
                <w:strike/>
                <w:sz w:val="20"/>
                <w:szCs w:val="20"/>
              </w:rPr>
            </w:pPr>
          </w:p>
          <w:p w:rsidR="001A49CC" w:rsidRPr="007D2580" w:rsidRDefault="001A49CC" w:rsidP="001A49CC">
            <w:pPr>
              <w:ind w:left="0"/>
              <w:jc w:val="center"/>
              <w:rPr>
                <w:b/>
                <w:sz w:val="20"/>
                <w:szCs w:val="20"/>
              </w:rPr>
            </w:pPr>
            <w:r>
              <w:rPr>
                <w:b/>
                <w:sz w:val="20"/>
                <w:szCs w:val="20"/>
              </w:rPr>
              <w:t>NIE</w:t>
            </w:r>
          </w:p>
          <w:p w:rsidR="001A49CC" w:rsidRPr="00786E7F" w:rsidRDefault="001A49CC" w:rsidP="001A49CC">
            <w:pPr>
              <w:jc w:val="center"/>
              <w:rPr>
                <w:b/>
                <w:color w:val="FF0000"/>
                <w:sz w:val="20"/>
                <w:szCs w:val="20"/>
              </w:rPr>
            </w:pPr>
          </w:p>
        </w:tc>
        <w:tc>
          <w:tcPr>
            <w:tcW w:w="3302" w:type="dxa"/>
            <w:tcMar>
              <w:left w:w="28" w:type="dxa"/>
              <w:right w:w="28" w:type="dxa"/>
            </w:tcMar>
            <w:vAlign w:val="center"/>
          </w:tcPr>
          <w:p w:rsidR="001A49CC" w:rsidRPr="00CE2E2C" w:rsidRDefault="001A49CC" w:rsidP="001A49CC">
            <w:pPr>
              <w:ind w:left="0"/>
              <w:jc w:val="center"/>
              <w:rPr>
                <w:sz w:val="20"/>
                <w:szCs w:val="20"/>
              </w:rPr>
            </w:pPr>
            <w:r w:rsidRPr="00CE2E2C">
              <w:rPr>
                <w:sz w:val="20"/>
                <w:szCs w:val="20"/>
              </w:rPr>
              <w:t>„Strategický plán rozvoja dopravnej infraštruktúry SR do roku 2020 (fáza I)“</w:t>
            </w:r>
          </w:p>
          <w:p w:rsidR="001A49CC" w:rsidRDefault="00B75FBB" w:rsidP="001A49CC">
            <w:pPr>
              <w:ind w:left="0"/>
              <w:jc w:val="center"/>
              <w:rPr>
                <w:color w:val="FF0000"/>
                <w:sz w:val="16"/>
                <w:szCs w:val="16"/>
              </w:rPr>
            </w:pPr>
            <w:hyperlink r:id="rId41" w:history="1">
              <w:r w:rsidR="001A49CC" w:rsidRPr="003D49C0">
                <w:rPr>
                  <w:rStyle w:val="Hypertextovprepojenie"/>
                  <w:sz w:val="16"/>
                  <w:szCs w:val="16"/>
                </w:rPr>
                <w:t>http://www.telecom.gov.sk/index/index.php?ids=147132</w:t>
              </w:r>
            </w:hyperlink>
          </w:p>
          <w:p w:rsidR="001A49CC" w:rsidRDefault="001A49CC" w:rsidP="001A49CC">
            <w:pPr>
              <w:ind w:left="0"/>
              <w:jc w:val="center"/>
              <w:rPr>
                <w:strike/>
                <w:color w:val="FF0000"/>
                <w:sz w:val="20"/>
                <w:szCs w:val="20"/>
              </w:rPr>
            </w:pPr>
          </w:p>
          <w:p w:rsidR="001A49CC" w:rsidRDefault="001A49CC" w:rsidP="001A49CC">
            <w:pPr>
              <w:ind w:left="0"/>
              <w:jc w:val="center"/>
              <w:rPr>
                <w:strike/>
                <w:color w:val="FF0000"/>
                <w:sz w:val="20"/>
                <w:szCs w:val="20"/>
              </w:rPr>
            </w:pPr>
          </w:p>
          <w:p w:rsidR="001A49CC" w:rsidRPr="00CE2E2C" w:rsidRDefault="001A49CC" w:rsidP="001A49CC">
            <w:pPr>
              <w:ind w:left="0"/>
              <w:jc w:val="center"/>
              <w:rPr>
                <w:sz w:val="20"/>
                <w:szCs w:val="20"/>
              </w:rPr>
            </w:pPr>
            <w:r w:rsidRPr="00CE2E2C">
              <w:rPr>
                <w:sz w:val="20"/>
                <w:szCs w:val="20"/>
              </w:rPr>
              <w:t>„</w:t>
            </w:r>
            <w:r>
              <w:rPr>
                <w:sz w:val="20"/>
                <w:szCs w:val="20"/>
              </w:rPr>
              <w:t>Stratégia</w:t>
            </w:r>
            <w:r w:rsidRPr="00CE2E2C">
              <w:rPr>
                <w:sz w:val="20"/>
                <w:szCs w:val="20"/>
              </w:rPr>
              <w:t xml:space="preserve"> rozvoja verejnej </w:t>
            </w:r>
            <w:r>
              <w:rPr>
                <w:sz w:val="20"/>
                <w:szCs w:val="20"/>
              </w:rPr>
              <w:t>a </w:t>
            </w:r>
            <w:r w:rsidRPr="005348B9">
              <w:rPr>
                <w:sz w:val="20"/>
                <w:szCs w:val="20"/>
              </w:rPr>
              <w:t>nemotorovej</w:t>
            </w:r>
            <w:r>
              <w:rPr>
                <w:sz w:val="20"/>
                <w:szCs w:val="20"/>
              </w:rPr>
              <w:t xml:space="preserve"> </w:t>
            </w:r>
            <w:r w:rsidRPr="00CE2E2C">
              <w:rPr>
                <w:sz w:val="20"/>
                <w:szCs w:val="20"/>
              </w:rPr>
              <w:t>osobnej dopravy SR do roku 2020“</w:t>
            </w:r>
          </w:p>
          <w:p w:rsidR="001A49CC" w:rsidRDefault="00B75FBB" w:rsidP="001A49CC">
            <w:pPr>
              <w:ind w:left="0"/>
              <w:jc w:val="center"/>
              <w:rPr>
                <w:color w:val="FF0000"/>
                <w:sz w:val="16"/>
                <w:szCs w:val="16"/>
              </w:rPr>
            </w:pPr>
            <w:hyperlink r:id="rId42" w:history="1">
              <w:r w:rsidR="001A49CC" w:rsidRPr="003D49C0">
                <w:rPr>
                  <w:rStyle w:val="Hypertextovprepojenie"/>
                  <w:sz w:val="16"/>
                  <w:szCs w:val="16"/>
                </w:rPr>
                <w:t>http://www.telecom.gov.sk/index/index.php?ids=147132</w:t>
              </w:r>
            </w:hyperlink>
          </w:p>
          <w:p w:rsidR="001A49CC" w:rsidRPr="004A1B56" w:rsidRDefault="001A49CC" w:rsidP="001A49CC">
            <w:pPr>
              <w:ind w:left="0"/>
              <w:jc w:val="center"/>
              <w:rPr>
                <w:color w:val="FF0000"/>
                <w:sz w:val="20"/>
                <w:szCs w:val="20"/>
              </w:rPr>
            </w:pPr>
          </w:p>
        </w:tc>
        <w:tc>
          <w:tcPr>
            <w:tcW w:w="2401" w:type="dxa"/>
            <w:vAlign w:val="center"/>
          </w:tcPr>
          <w:p w:rsidR="001A49CC" w:rsidRDefault="001A49CC" w:rsidP="001A49CC">
            <w:pPr>
              <w:ind w:left="0"/>
              <w:rPr>
                <w:sz w:val="20"/>
                <w:szCs w:val="20"/>
              </w:rPr>
            </w:pPr>
            <w:r w:rsidRPr="00B70989">
              <w:rPr>
                <w:sz w:val="20"/>
                <w:szCs w:val="20"/>
              </w:rPr>
              <w:t>Návrh</w:t>
            </w:r>
            <w:r>
              <w:rPr>
                <w:sz w:val="20"/>
                <w:szCs w:val="20"/>
              </w:rPr>
              <w:t>y</w:t>
            </w:r>
            <w:r w:rsidRPr="00B70989">
              <w:rPr>
                <w:sz w:val="20"/>
                <w:szCs w:val="20"/>
              </w:rPr>
              <w:t xml:space="preserve"> Strategického plánu rozvoja dopravnej infraštruktúry SR do roku 2020 (fáza I) a Stratégie rozvoja verejnej osobnej a nemotorovej dopravy SR do roku 2020 boli vypracované.</w:t>
            </w:r>
          </w:p>
          <w:p w:rsidR="001A49CC" w:rsidRPr="00CE2E2C" w:rsidRDefault="001A49CC" w:rsidP="001A49CC">
            <w:pPr>
              <w:ind w:left="0"/>
              <w:rPr>
                <w:sz w:val="20"/>
                <w:szCs w:val="20"/>
              </w:rPr>
            </w:pPr>
            <w:r w:rsidRPr="00B70989">
              <w:rPr>
                <w:sz w:val="20"/>
                <w:szCs w:val="20"/>
              </w:rPr>
              <w:t>Strategické dokumenty sú dostupné na webovej stránke:</w:t>
            </w:r>
            <w:r>
              <w:rPr>
                <w:sz w:val="20"/>
                <w:szCs w:val="20"/>
              </w:rPr>
              <w:t xml:space="preserve"> </w:t>
            </w:r>
            <w:hyperlink r:id="rId43" w:history="1">
              <w:r w:rsidRPr="00CF7DD6">
                <w:rPr>
                  <w:rStyle w:val="Hypertextovprepojenie"/>
                  <w:sz w:val="20"/>
                  <w:szCs w:val="20"/>
                </w:rPr>
                <w:t>www.telecom.gov.sk</w:t>
              </w:r>
            </w:hyperlink>
            <w:r w:rsidRPr="00B70989">
              <w:rPr>
                <w:sz w:val="20"/>
                <w:szCs w:val="20"/>
              </w:rPr>
              <w:t>. Zoznam projektov je súčasťou strategických dokumentov.</w:t>
            </w:r>
            <w:r>
              <w:rPr>
                <w:sz w:val="20"/>
                <w:szCs w:val="20"/>
              </w:rPr>
              <w:t xml:space="preserve"> </w:t>
            </w:r>
            <w:r w:rsidRPr="00B70989">
              <w:rPr>
                <w:sz w:val="20"/>
                <w:szCs w:val="20"/>
              </w:rPr>
              <w:t xml:space="preserve">MDVRR SR v spolupráci so žiadateľmi </w:t>
            </w:r>
            <w:r w:rsidRPr="00B70989">
              <w:rPr>
                <w:sz w:val="20"/>
                <w:szCs w:val="20"/>
              </w:rPr>
              <w:lastRenderedPageBreak/>
              <w:t>zabezpečí vypracovanie opisu projektu ku každému navrhovanému projektu, ktorý bude poskytovať súhrnné informácie o projekte.</w:t>
            </w:r>
            <w:r>
              <w:rPr>
                <w:sz w:val="20"/>
                <w:szCs w:val="20"/>
              </w:rPr>
              <w:t xml:space="preserve"> </w:t>
            </w:r>
            <w:r w:rsidRPr="00B70989">
              <w:rPr>
                <w:sz w:val="20"/>
                <w:szCs w:val="20"/>
              </w:rPr>
              <w:t xml:space="preserve">Oba strategické dokumenty sú v súčasnosti posudzované podľa zákona č. 24/2006 Z. z. o posudzovaní vplyvov na životné prostredie. Ukončenie procesu </w:t>
            </w:r>
            <w:r>
              <w:rPr>
                <w:sz w:val="20"/>
                <w:szCs w:val="20"/>
              </w:rPr>
              <w:t>SEA</w:t>
            </w:r>
            <w:r w:rsidRPr="00B70989">
              <w:rPr>
                <w:sz w:val="20"/>
                <w:szCs w:val="20"/>
              </w:rPr>
              <w:t xml:space="preserve"> sa predpokladá v apríli 2014. Úplné splnenie ex ante kondicionalít v sektore dopravy bude zabezpečené vypracovaním Strategického plánu rozvoja dopravnej infraštruktúry SR do roku 2030 (fáza II).</w:t>
            </w:r>
          </w:p>
        </w:tc>
      </w:tr>
      <w:tr w:rsidR="001A49CC" w:rsidTr="00A127CB">
        <w:trPr>
          <w:trHeight w:val="340"/>
          <w:jc w:val="center"/>
        </w:trPr>
        <w:tc>
          <w:tcPr>
            <w:tcW w:w="2058" w:type="dxa"/>
            <w:vMerge/>
            <w:vAlign w:val="center"/>
          </w:tcPr>
          <w:p w:rsidR="001A49CC" w:rsidRPr="00E14AF4" w:rsidRDefault="001A49CC" w:rsidP="001A49CC">
            <w:pPr>
              <w:spacing w:before="20" w:after="120"/>
              <w:ind w:left="0"/>
              <w:rPr>
                <w:sz w:val="20"/>
                <w:szCs w:val="20"/>
              </w:rPr>
            </w:pPr>
          </w:p>
        </w:tc>
        <w:tc>
          <w:tcPr>
            <w:tcW w:w="1422" w:type="dxa"/>
            <w:vMerge/>
            <w:vAlign w:val="center"/>
          </w:tcPr>
          <w:p w:rsidR="001A49CC" w:rsidRPr="00391AE1" w:rsidRDefault="001A49CC" w:rsidP="001A49CC">
            <w:pPr>
              <w:ind w:left="0"/>
              <w:jc w:val="center"/>
              <w:rPr>
                <w:sz w:val="20"/>
                <w:szCs w:val="20"/>
              </w:rPr>
            </w:pPr>
          </w:p>
        </w:tc>
        <w:tc>
          <w:tcPr>
            <w:tcW w:w="1750" w:type="dxa"/>
            <w:vMerge/>
            <w:vAlign w:val="center"/>
          </w:tcPr>
          <w:p w:rsidR="001A49CC" w:rsidRPr="00566720" w:rsidRDefault="001A49CC" w:rsidP="001A49CC">
            <w:pPr>
              <w:ind w:left="0"/>
              <w:jc w:val="center"/>
              <w:rPr>
                <w:sz w:val="20"/>
                <w:szCs w:val="20"/>
              </w:rPr>
            </w:pPr>
          </w:p>
        </w:tc>
        <w:tc>
          <w:tcPr>
            <w:tcW w:w="2089" w:type="dxa"/>
            <w:vAlign w:val="center"/>
          </w:tcPr>
          <w:p w:rsidR="001A49CC" w:rsidRPr="00F12880" w:rsidRDefault="001A49CC" w:rsidP="001A49CC">
            <w:pPr>
              <w:ind w:left="0"/>
              <w:rPr>
                <w:sz w:val="20"/>
                <w:szCs w:val="20"/>
              </w:rPr>
            </w:pPr>
            <w:r w:rsidRPr="00B70989">
              <w:rPr>
                <w:sz w:val="20"/>
                <w:szCs w:val="20"/>
              </w:rPr>
              <w:t>Opatrenia na zabezpečenie kapacity sprostredkovateľských orgánov a prijímateľov pri vykonávaní naplánovaných projektov.</w:t>
            </w:r>
          </w:p>
        </w:tc>
        <w:tc>
          <w:tcPr>
            <w:tcW w:w="1153" w:type="dxa"/>
            <w:vAlign w:val="center"/>
          </w:tcPr>
          <w:p w:rsidR="001A49CC" w:rsidRPr="007D2580" w:rsidRDefault="001A49CC" w:rsidP="001A49CC">
            <w:pPr>
              <w:ind w:left="0"/>
              <w:jc w:val="center"/>
              <w:rPr>
                <w:b/>
                <w:sz w:val="20"/>
                <w:szCs w:val="20"/>
              </w:rPr>
            </w:pPr>
            <w:r>
              <w:rPr>
                <w:b/>
                <w:sz w:val="20"/>
                <w:szCs w:val="20"/>
              </w:rPr>
              <w:t>NIE</w:t>
            </w:r>
          </w:p>
          <w:p w:rsidR="001A49CC" w:rsidRPr="009406F5" w:rsidRDefault="001A49CC" w:rsidP="001A49CC">
            <w:pPr>
              <w:ind w:left="0"/>
              <w:jc w:val="center"/>
              <w:rPr>
                <w:b/>
                <w:sz w:val="20"/>
                <w:szCs w:val="20"/>
              </w:rPr>
            </w:pPr>
          </w:p>
        </w:tc>
        <w:tc>
          <w:tcPr>
            <w:tcW w:w="3302" w:type="dxa"/>
            <w:vAlign w:val="center"/>
          </w:tcPr>
          <w:p w:rsidR="001A49CC" w:rsidRDefault="001A49CC" w:rsidP="001A49CC">
            <w:pPr>
              <w:ind w:left="0"/>
              <w:jc w:val="center"/>
              <w:rPr>
                <w:sz w:val="20"/>
                <w:szCs w:val="20"/>
              </w:rPr>
            </w:pPr>
            <w:r>
              <w:rPr>
                <w:sz w:val="20"/>
                <w:szCs w:val="20"/>
              </w:rPr>
              <w:t xml:space="preserve">Dokument </w:t>
            </w:r>
          </w:p>
          <w:p w:rsidR="001A49CC" w:rsidRPr="00CC72AA" w:rsidRDefault="001A49CC" w:rsidP="001A49CC">
            <w:pPr>
              <w:ind w:left="0"/>
              <w:jc w:val="center"/>
              <w:rPr>
                <w:sz w:val="20"/>
                <w:szCs w:val="20"/>
              </w:rPr>
            </w:pPr>
            <w:r>
              <w:rPr>
                <w:sz w:val="20"/>
                <w:szCs w:val="20"/>
              </w:rPr>
              <w:t xml:space="preserve">„Analýza administratívnych, finančných a technických kapacít prijímateľov za rok 2012“ zo dňa </w:t>
            </w:r>
            <w:r w:rsidRPr="00566720">
              <w:rPr>
                <w:sz w:val="20"/>
                <w:szCs w:val="20"/>
              </w:rPr>
              <w:t>15.05.2013</w:t>
            </w:r>
          </w:p>
        </w:tc>
        <w:tc>
          <w:tcPr>
            <w:tcW w:w="2401" w:type="dxa"/>
            <w:vAlign w:val="center"/>
          </w:tcPr>
          <w:p w:rsidR="001A49CC" w:rsidRPr="00391AE1" w:rsidRDefault="001A49CC" w:rsidP="001A49CC">
            <w:pPr>
              <w:ind w:left="0"/>
              <w:jc w:val="center"/>
              <w:rPr>
                <w:sz w:val="20"/>
                <w:szCs w:val="20"/>
              </w:rPr>
            </w:pPr>
            <w:r>
              <w:rPr>
                <w:sz w:val="20"/>
                <w:szCs w:val="20"/>
              </w:rPr>
              <w:t>Pripravuje sa aktualizácia analýzy.</w:t>
            </w:r>
          </w:p>
        </w:tc>
      </w:tr>
      <w:tr w:rsidR="001A49CC" w:rsidTr="00A127CB">
        <w:trPr>
          <w:trHeight w:val="340"/>
          <w:jc w:val="center"/>
        </w:trPr>
        <w:tc>
          <w:tcPr>
            <w:tcW w:w="2058" w:type="dxa"/>
            <w:vMerge w:val="restart"/>
            <w:vAlign w:val="center"/>
          </w:tcPr>
          <w:p w:rsidR="001A49CC" w:rsidRPr="00EC3FD7" w:rsidRDefault="001A49CC" w:rsidP="001A49CC">
            <w:pPr>
              <w:spacing w:before="20" w:after="120"/>
              <w:ind w:left="0"/>
              <w:rPr>
                <w:sz w:val="20"/>
                <w:szCs w:val="20"/>
              </w:rPr>
            </w:pPr>
            <w:r w:rsidRPr="00EC3FD7">
              <w:rPr>
                <w:sz w:val="20"/>
                <w:szCs w:val="20"/>
              </w:rPr>
              <w:t xml:space="preserve">7.3. Iné druhy dopravy vrátane vnútrozemských vodných ciest a námornej prepravy, prístavov, multimodálnych </w:t>
            </w:r>
            <w:r w:rsidRPr="00EC3FD7">
              <w:rPr>
                <w:sz w:val="20"/>
                <w:szCs w:val="20"/>
              </w:rPr>
              <w:lastRenderedPageBreak/>
              <w:t>spojení a letiskovej infraštruktúry: existencia komplexného) plánu či plánov alebo rámca či rámcov dopravy s osobitnou časťou venovanou vnútrozemským vodným cestám a námornej preprave, prístavom, multimodálnym spojeniam a letiskovej infraštruktúre, ktoré prispievajú k zlepšovaniu prepojenia na úplnú a základnú sieť TEN-T a podporujú udržateľnú regionálnu a miestnu mobilitu.</w:t>
            </w:r>
          </w:p>
          <w:p w:rsidR="001A49CC" w:rsidRPr="00CF5888" w:rsidRDefault="001A49CC" w:rsidP="001A49CC">
            <w:pPr>
              <w:spacing w:before="20" w:after="20"/>
              <w:ind w:left="0"/>
              <w:rPr>
                <w:color w:val="FF0000"/>
                <w:sz w:val="20"/>
                <w:szCs w:val="20"/>
              </w:rPr>
            </w:pPr>
          </w:p>
        </w:tc>
        <w:tc>
          <w:tcPr>
            <w:tcW w:w="1422" w:type="dxa"/>
            <w:vMerge w:val="restart"/>
            <w:vAlign w:val="center"/>
          </w:tcPr>
          <w:p w:rsidR="001A49CC" w:rsidRPr="00566720" w:rsidRDefault="001A49CC" w:rsidP="001A49CC">
            <w:pPr>
              <w:ind w:left="0"/>
              <w:jc w:val="center"/>
              <w:rPr>
                <w:sz w:val="20"/>
                <w:szCs w:val="20"/>
              </w:rPr>
            </w:pPr>
            <w:r w:rsidRPr="00566720">
              <w:rPr>
                <w:sz w:val="20"/>
                <w:szCs w:val="20"/>
              </w:rPr>
              <w:lastRenderedPageBreak/>
              <w:t>PO 4</w:t>
            </w:r>
          </w:p>
        </w:tc>
        <w:tc>
          <w:tcPr>
            <w:tcW w:w="1750" w:type="dxa"/>
            <w:vMerge w:val="restart"/>
            <w:vAlign w:val="center"/>
          </w:tcPr>
          <w:p w:rsidR="001A49CC" w:rsidRDefault="001A49CC" w:rsidP="001A49CC">
            <w:pPr>
              <w:ind w:left="0"/>
              <w:jc w:val="center"/>
              <w:rPr>
                <w:b/>
                <w:sz w:val="20"/>
                <w:szCs w:val="20"/>
              </w:rPr>
            </w:pPr>
          </w:p>
          <w:p w:rsidR="001A49CC" w:rsidRPr="007D2580" w:rsidRDefault="001A49CC" w:rsidP="001A49CC">
            <w:pPr>
              <w:ind w:left="0"/>
              <w:jc w:val="center"/>
              <w:rPr>
                <w:b/>
                <w:sz w:val="20"/>
                <w:szCs w:val="20"/>
              </w:rPr>
            </w:pPr>
            <w:r>
              <w:rPr>
                <w:b/>
                <w:sz w:val="20"/>
                <w:szCs w:val="20"/>
              </w:rPr>
              <w:t>NIE</w:t>
            </w:r>
          </w:p>
          <w:p w:rsidR="001A49CC" w:rsidRPr="00566720" w:rsidRDefault="001A49CC" w:rsidP="001A49CC">
            <w:pPr>
              <w:ind w:left="0"/>
              <w:jc w:val="center"/>
              <w:rPr>
                <w:b/>
                <w:strike/>
                <w:sz w:val="20"/>
                <w:szCs w:val="20"/>
              </w:rPr>
            </w:pPr>
          </w:p>
        </w:tc>
        <w:tc>
          <w:tcPr>
            <w:tcW w:w="2089" w:type="dxa"/>
            <w:vAlign w:val="center"/>
          </w:tcPr>
          <w:p w:rsidR="001A49CC" w:rsidRPr="00566720" w:rsidRDefault="001A49CC" w:rsidP="001A49CC">
            <w:pPr>
              <w:ind w:left="0"/>
              <w:rPr>
                <w:strike/>
                <w:sz w:val="20"/>
                <w:szCs w:val="20"/>
              </w:rPr>
            </w:pPr>
            <w:r w:rsidRPr="00EC3FD7">
              <w:rPr>
                <w:sz w:val="20"/>
                <w:szCs w:val="20"/>
              </w:rPr>
              <w:t xml:space="preserve">Existencia časti venovanej vnútrozemským vodným cestám a námornej preprave, prístavom, multimodálnym spojeniam a letiskovej </w:t>
            </w:r>
            <w:r w:rsidRPr="00EC3FD7">
              <w:rPr>
                <w:sz w:val="20"/>
                <w:szCs w:val="20"/>
              </w:rPr>
              <w:lastRenderedPageBreak/>
              <w:t>infraštruktúre v rámci plánu či plánov alebo</w:t>
            </w:r>
            <w:r>
              <w:rPr>
                <w:sz w:val="20"/>
                <w:szCs w:val="20"/>
              </w:rPr>
              <w:t xml:space="preserve"> rámca či rámcov dopravy, ktorá:</w:t>
            </w:r>
          </w:p>
        </w:tc>
        <w:tc>
          <w:tcPr>
            <w:tcW w:w="1153" w:type="dxa"/>
            <w:vAlign w:val="center"/>
          </w:tcPr>
          <w:p w:rsidR="001A49CC" w:rsidRPr="00566720" w:rsidRDefault="001A49CC" w:rsidP="001A49CC">
            <w:pPr>
              <w:ind w:left="0"/>
              <w:jc w:val="center"/>
              <w:rPr>
                <w:b/>
                <w:sz w:val="20"/>
                <w:szCs w:val="20"/>
              </w:rPr>
            </w:pPr>
            <w:r>
              <w:rPr>
                <w:b/>
                <w:sz w:val="20"/>
                <w:szCs w:val="20"/>
              </w:rPr>
              <w:lastRenderedPageBreak/>
              <w:t>NIE</w:t>
            </w:r>
          </w:p>
        </w:tc>
        <w:tc>
          <w:tcPr>
            <w:tcW w:w="3302" w:type="dxa"/>
            <w:vMerge w:val="restart"/>
            <w:tcMar>
              <w:left w:w="28" w:type="dxa"/>
              <w:right w:w="28" w:type="dxa"/>
            </w:tcMar>
            <w:vAlign w:val="center"/>
          </w:tcPr>
          <w:p w:rsidR="001A49CC" w:rsidRDefault="001A49CC" w:rsidP="001A49CC">
            <w:pPr>
              <w:ind w:left="0"/>
              <w:jc w:val="center"/>
              <w:rPr>
                <w:sz w:val="20"/>
                <w:szCs w:val="20"/>
              </w:rPr>
            </w:pPr>
          </w:p>
          <w:p w:rsidR="001A49CC" w:rsidRPr="00566720" w:rsidRDefault="001A49CC" w:rsidP="001A49CC">
            <w:pPr>
              <w:ind w:left="0"/>
              <w:jc w:val="center"/>
              <w:rPr>
                <w:sz w:val="20"/>
                <w:szCs w:val="20"/>
              </w:rPr>
            </w:pPr>
            <w:r w:rsidRPr="00566720">
              <w:rPr>
                <w:sz w:val="20"/>
                <w:szCs w:val="20"/>
              </w:rPr>
              <w:t>„Strategický plán rozvoja dopravnej infraštruktúry SR do roku 2020 (fáza I)“</w:t>
            </w:r>
          </w:p>
          <w:p w:rsidR="001A49CC" w:rsidRDefault="00B75FBB" w:rsidP="001A49CC">
            <w:pPr>
              <w:ind w:left="0"/>
              <w:jc w:val="center"/>
              <w:rPr>
                <w:color w:val="FF0000"/>
                <w:sz w:val="16"/>
                <w:szCs w:val="16"/>
              </w:rPr>
            </w:pPr>
            <w:hyperlink r:id="rId44" w:history="1">
              <w:r w:rsidR="001A49CC" w:rsidRPr="003D49C0">
                <w:rPr>
                  <w:rStyle w:val="Hypertextovprepojenie"/>
                  <w:sz w:val="16"/>
                  <w:szCs w:val="16"/>
                </w:rPr>
                <w:t>http://www.telecom.gov.sk/index/index.php?ids=147132</w:t>
              </w:r>
            </w:hyperlink>
          </w:p>
          <w:p w:rsidR="001A49CC" w:rsidRDefault="001A49CC" w:rsidP="001A49CC">
            <w:pPr>
              <w:jc w:val="center"/>
              <w:rPr>
                <w:strike/>
                <w:color w:val="FF0000"/>
                <w:sz w:val="20"/>
                <w:szCs w:val="20"/>
              </w:rPr>
            </w:pPr>
          </w:p>
          <w:p w:rsidR="001A49CC" w:rsidRDefault="001A49CC" w:rsidP="001A49CC">
            <w:pPr>
              <w:jc w:val="center"/>
              <w:rPr>
                <w:strike/>
                <w:color w:val="FF0000"/>
                <w:sz w:val="20"/>
                <w:szCs w:val="20"/>
              </w:rPr>
            </w:pPr>
          </w:p>
          <w:p w:rsidR="001A49CC" w:rsidRPr="00CE2E2C" w:rsidRDefault="001A49CC" w:rsidP="001A49CC">
            <w:pPr>
              <w:ind w:left="0"/>
              <w:jc w:val="center"/>
              <w:rPr>
                <w:sz w:val="20"/>
                <w:szCs w:val="20"/>
              </w:rPr>
            </w:pPr>
            <w:r w:rsidRPr="00CE2E2C">
              <w:rPr>
                <w:sz w:val="20"/>
                <w:szCs w:val="20"/>
              </w:rPr>
              <w:t>„</w:t>
            </w:r>
            <w:r>
              <w:rPr>
                <w:sz w:val="20"/>
                <w:szCs w:val="20"/>
              </w:rPr>
              <w:t>Stratégia</w:t>
            </w:r>
            <w:r w:rsidRPr="00CE2E2C">
              <w:rPr>
                <w:sz w:val="20"/>
                <w:szCs w:val="20"/>
              </w:rPr>
              <w:t xml:space="preserve"> rozvoja verejnej </w:t>
            </w:r>
            <w:r>
              <w:rPr>
                <w:sz w:val="20"/>
                <w:szCs w:val="20"/>
              </w:rPr>
              <w:lastRenderedPageBreak/>
              <w:t>a </w:t>
            </w:r>
            <w:r w:rsidRPr="005348B9">
              <w:rPr>
                <w:sz w:val="20"/>
                <w:szCs w:val="20"/>
              </w:rPr>
              <w:t>nemotorovej</w:t>
            </w:r>
            <w:r>
              <w:rPr>
                <w:sz w:val="20"/>
                <w:szCs w:val="20"/>
              </w:rPr>
              <w:t xml:space="preserve"> </w:t>
            </w:r>
            <w:r w:rsidRPr="00CE2E2C">
              <w:rPr>
                <w:sz w:val="20"/>
                <w:szCs w:val="20"/>
              </w:rPr>
              <w:t>osobnej dopravy SR do roku 2020“</w:t>
            </w:r>
          </w:p>
          <w:p w:rsidR="001A49CC" w:rsidRDefault="00B75FBB" w:rsidP="001A49CC">
            <w:pPr>
              <w:ind w:left="0"/>
              <w:jc w:val="center"/>
              <w:rPr>
                <w:color w:val="FF0000"/>
                <w:sz w:val="16"/>
                <w:szCs w:val="16"/>
              </w:rPr>
            </w:pPr>
            <w:hyperlink r:id="rId45" w:history="1">
              <w:r w:rsidR="001A49CC" w:rsidRPr="003D49C0">
                <w:rPr>
                  <w:rStyle w:val="Hypertextovprepojenie"/>
                  <w:sz w:val="16"/>
                  <w:szCs w:val="16"/>
                </w:rPr>
                <w:t>http://www.telecom.gov.sk/index/index.php?ids=147132</w:t>
              </w:r>
            </w:hyperlink>
          </w:p>
          <w:p w:rsidR="001A49CC" w:rsidRPr="00CC72AA" w:rsidRDefault="001A49CC" w:rsidP="001A49CC">
            <w:pPr>
              <w:jc w:val="center"/>
              <w:rPr>
                <w:strike/>
                <w:color w:val="FF0000"/>
                <w:sz w:val="20"/>
                <w:szCs w:val="20"/>
              </w:rPr>
            </w:pPr>
          </w:p>
        </w:tc>
        <w:tc>
          <w:tcPr>
            <w:tcW w:w="2401" w:type="dxa"/>
            <w:vMerge w:val="restart"/>
            <w:vAlign w:val="center"/>
          </w:tcPr>
          <w:p w:rsidR="001A49CC" w:rsidRDefault="001A49CC" w:rsidP="001A49CC">
            <w:pPr>
              <w:ind w:left="0"/>
              <w:rPr>
                <w:sz w:val="20"/>
                <w:szCs w:val="20"/>
              </w:rPr>
            </w:pPr>
            <w:r w:rsidRPr="00B70989">
              <w:rPr>
                <w:sz w:val="20"/>
                <w:szCs w:val="20"/>
              </w:rPr>
              <w:lastRenderedPageBreak/>
              <w:t>Návrh</w:t>
            </w:r>
            <w:r>
              <w:rPr>
                <w:sz w:val="20"/>
                <w:szCs w:val="20"/>
              </w:rPr>
              <w:t>y</w:t>
            </w:r>
            <w:r w:rsidRPr="00B70989">
              <w:rPr>
                <w:sz w:val="20"/>
                <w:szCs w:val="20"/>
              </w:rPr>
              <w:t xml:space="preserve"> Strategického plánu rozvoja dopravnej infraštruktúry SR do roku 2020 (fáza I) a Stratégie rozvoja verejnej osobnej a nemotorovej dopravy SR do roku 2020 boli vypracované.</w:t>
            </w:r>
          </w:p>
          <w:p w:rsidR="001A49CC" w:rsidRPr="00566720" w:rsidRDefault="001A49CC" w:rsidP="001A49CC">
            <w:pPr>
              <w:ind w:left="0"/>
              <w:rPr>
                <w:sz w:val="20"/>
                <w:szCs w:val="20"/>
              </w:rPr>
            </w:pPr>
            <w:r>
              <w:rPr>
                <w:sz w:val="20"/>
                <w:szCs w:val="20"/>
              </w:rPr>
              <w:lastRenderedPageBreak/>
              <w:t xml:space="preserve">Strategické dokumenty sú </w:t>
            </w:r>
            <w:r w:rsidRPr="00B70989">
              <w:rPr>
                <w:sz w:val="20"/>
                <w:szCs w:val="20"/>
              </w:rPr>
              <w:t>dostupné na webovej stránke:</w:t>
            </w:r>
            <w:r>
              <w:rPr>
                <w:sz w:val="20"/>
                <w:szCs w:val="20"/>
              </w:rPr>
              <w:t xml:space="preserve"> </w:t>
            </w:r>
            <w:hyperlink r:id="rId46" w:history="1">
              <w:r w:rsidRPr="00CF7DD6">
                <w:rPr>
                  <w:rStyle w:val="Hypertextovprepojenie"/>
                  <w:sz w:val="20"/>
                  <w:szCs w:val="20"/>
                </w:rPr>
                <w:t>www.telecom.gov.sk</w:t>
              </w:r>
            </w:hyperlink>
            <w:r w:rsidRPr="00B70989">
              <w:rPr>
                <w:sz w:val="20"/>
                <w:szCs w:val="20"/>
              </w:rPr>
              <w:t>. Zoznam projektov je súčasťou strategických dokumentov.</w:t>
            </w:r>
            <w:r>
              <w:rPr>
                <w:sz w:val="20"/>
                <w:szCs w:val="20"/>
              </w:rPr>
              <w:t xml:space="preserve"> </w:t>
            </w:r>
            <w:r w:rsidRPr="00B70989">
              <w:rPr>
                <w:sz w:val="20"/>
                <w:szCs w:val="20"/>
              </w:rPr>
              <w:t>MDVRR SR v spolupráci so žiadateľmi zabezpečí vypracovanie opisu projektu ku každému navrhovanému projektu, ktorý bude poskytovať súhrnné informácie o projekte.</w:t>
            </w:r>
            <w:r>
              <w:rPr>
                <w:sz w:val="20"/>
                <w:szCs w:val="20"/>
              </w:rPr>
              <w:t xml:space="preserve"> </w:t>
            </w:r>
            <w:r w:rsidRPr="00B70989">
              <w:rPr>
                <w:sz w:val="20"/>
                <w:szCs w:val="20"/>
              </w:rPr>
              <w:t xml:space="preserve">Oba strategické dokumenty sú v súčasnosti posudzované podľa zákona č. 24/2006 Z. z. o posudzovaní vplyvov na životné prostredie. Ukončenie procesu </w:t>
            </w:r>
            <w:r>
              <w:rPr>
                <w:sz w:val="20"/>
                <w:szCs w:val="20"/>
              </w:rPr>
              <w:t>SEA</w:t>
            </w:r>
            <w:r w:rsidRPr="00B70989">
              <w:rPr>
                <w:sz w:val="20"/>
                <w:szCs w:val="20"/>
              </w:rPr>
              <w:t xml:space="preserve"> sa predpokladá v apríli 2014. Úplné splnenie ex ante kondicionalít v sektore dopravy bude zabezpečené vypracovaním Strategického plánu rozvoja dopravnej infraštruktúry SR do roku 2030 (fáza II).</w:t>
            </w:r>
          </w:p>
        </w:tc>
      </w:tr>
      <w:tr w:rsidR="001A49CC" w:rsidTr="00A127CB">
        <w:trPr>
          <w:trHeight w:val="340"/>
          <w:jc w:val="center"/>
        </w:trPr>
        <w:tc>
          <w:tcPr>
            <w:tcW w:w="2058" w:type="dxa"/>
            <w:vMerge/>
            <w:vAlign w:val="center"/>
          </w:tcPr>
          <w:p w:rsidR="001A49CC" w:rsidRPr="00E14AF4" w:rsidRDefault="001A49CC" w:rsidP="001A49CC">
            <w:pPr>
              <w:spacing w:before="20" w:after="120"/>
              <w:rPr>
                <w:sz w:val="20"/>
                <w:szCs w:val="20"/>
              </w:rPr>
            </w:pPr>
          </w:p>
        </w:tc>
        <w:tc>
          <w:tcPr>
            <w:tcW w:w="1422" w:type="dxa"/>
            <w:vMerge/>
            <w:vAlign w:val="center"/>
          </w:tcPr>
          <w:p w:rsidR="001A49CC" w:rsidRPr="00566720" w:rsidRDefault="001A49CC" w:rsidP="001A49CC">
            <w:pPr>
              <w:ind w:left="0"/>
              <w:jc w:val="center"/>
              <w:rPr>
                <w:sz w:val="20"/>
                <w:szCs w:val="20"/>
              </w:rPr>
            </w:pPr>
          </w:p>
        </w:tc>
        <w:tc>
          <w:tcPr>
            <w:tcW w:w="1750" w:type="dxa"/>
            <w:vMerge/>
            <w:vAlign w:val="center"/>
          </w:tcPr>
          <w:p w:rsidR="001A49CC" w:rsidRPr="00566720" w:rsidRDefault="001A49CC" w:rsidP="001A49CC">
            <w:pPr>
              <w:ind w:left="0"/>
              <w:jc w:val="center"/>
              <w:rPr>
                <w:b/>
                <w:strike/>
                <w:sz w:val="20"/>
                <w:szCs w:val="20"/>
              </w:rPr>
            </w:pPr>
          </w:p>
        </w:tc>
        <w:tc>
          <w:tcPr>
            <w:tcW w:w="2089" w:type="dxa"/>
            <w:vAlign w:val="center"/>
          </w:tcPr>
          <w:p w:rsidR="001A49CC" w:rsidRPr="00EC3FD7" w:rsidRDefault="001A49CC" w:rsidP="001A49CC">
            <w:pPr>
              <w:ind w:left="0"/>
              <w:rPr>
                <w:strike/>
                <w:sz w:val="20"/>
                <w:szCs w:val="20"/>
              </w:rPr>
            </w:pPr>
            <w:r>
              <w:rPr>
                <w:sz w:val="20"/>
                <w:szCs w:val="20"/>
              </w:rPr>
              <w:t xml:space="preserve">- </w:t>
            </w:r>
            <w:r w:rsidRPr="00EC3FD7">
              <w:rPr>
                <w:sz w:val="20"/>
                <w:szCs w:val="20"/>
              </w:rPr>
              <w:t>je v súlade s právnymi požiadavkami na strategické environmentálne posúdenie,</w:t>
            </w:r>
          </w:p>
        </w:tc>
        <w:tc>
          <w:tcPr>
            <w:tcW w:w="1153" w:type="dxa"/>
            <w:vAlign w:val="center"/>
          </w:tcPr>
          <w:p w:rsidR="001A49CC" w:rsidRPr="00566720" w:rsidRDefault="001A49CC" w:rsidP="001A49CC">
            <w:pPr>
              <w:ind w:left="0"/>
              <w:jc w:val="center"/>
              <w:rPr>
                <w:b/>
                <w:sz w:val="20"/>
                <w:szCs w:val="20"/>
              </w:rPr>
            </w:pPr>
            <w:r w:rsidRPr="00566720">
              <w:rPr>
                <w:b/>
                <w:sz w:val="20"/>
                <w:szCs w:val="20"/>
              </w:rPr>
              <w:t>NIE</w:t>
            </w:r>
          </w:p>
        </w:tc>
        <w:tc>
          <w:tcPr>
            <w:tcW w:w="3302" w:type="dxa"/>
            <w:vMerge/>
            <w:vAlign w:val="center"/>
          </w:tcPr>
          <w:p w:rsidR="001A49CC" w:rsidRPr="00566720" w:rsidRDefault="001A49CC" w:rsidP="001A49CC">
            <w:pPr>
              <w:ind w:left="0"/>
              <w:jc w:val="center"/>
              <w:rPr>
                <w:strike/>
                <w:sz w:val="20"/>
                <w:szCs w:val="20"/>
              </w:rPr>
            </w:pPr>
          </w:p>
        </w:tc>
        <w:tc>
          <w:tcPr>
            <w:tcW w:w="2401" w:type="dxa"/>
            <w:vMerge/>
            <w:vAlign w:val="center"/>
          </w:tcPr>
          <w:p w:rsidR="001A49CC" w:rsidRPr="00566720" w:rsidRDefault="001A49CC" w:rsidP="001A49CC">
            <w:pPr>
              <w:ind w:left="0"/>
              <w:jc w:val="center"/>
              <w:rPr>
                <w:sz w:val="20"/>
                <w:szCs w:val="20"/>
              </w:rPr>
            </w:pPr>
          </w:p>
        </w:tc>
      </w:tr>
      <w:tr w:rsidR="001A49CC" w:rsidTr="00A127CB">
        <w:trPr>
          <w:trHeight w:val="340"/>
          <w:jc w:val="center"/>
        </w:trPr>
        <w:tc>
          <w:tcPr>
            <w:tcW w:w="2058" w:type="dxa"/>
            <w:vMerge/>
            <w:vAlign w:val="center"/>
          </w:tcPr>
          <w:p w:rsidR="001A49CC" w:rsidRPr="00E14AF4" w:rsidRDefault="001A49CC" w:rsidP="001A49CC">
            <w:pPr>
              <w:spacing w:before="20" w:after="120"/>
              <w:rPr>
                <w:sz w:val="20"/>
                <w:szCs w:val="20"/>
              </w:rPr>
            </w:pPr>
          </w:p>
        </w:tc>
        <w:tc>
          <w:tcPr>
            <w:tcW w:w="1422" w:type="dxa"/>
            <w:vMerge/>
            <w:vAlign w:val="center"/>
          </w:tcPr>
          <w:p w:rsidR="001A49CC" w:rsidRPr="00566720" w:rsidRDefault="001A49CC" w:rsidP="001A49CC">
            <w:pPr>
              <w:ind w:left="0"/>
              <w:jc w:val="center"/>
              <w:rPr>
                <w:sz w:val="20"/>
                <w:szCs w:val="20"/>
              </w:rPr>
            </w:pPr>
          </w:p>
        </w:tc>
        <w:tc>
          <w:tcPr>
            <w:tcW w:w="1750" w:type="dxa"/>
            <w:vMerge/>
            <w:vAlign w:val="center"/>
          </w:tcPr>
          <w:p w:rsidR="001A49CC" w:rsidRPr="00566720" w:rsidRDefault="001A49CC" w:rsidP="001A49CC">
            <w:pPr>
              <w:ind w:left="0"/>
              <w:jc w:val="center"/>
              <w:rPr>
                <w:b/>
                <w:strike/>
                <w:sz w:val="20"/>
                <w:szCs w:val="20"/>
              </w:rPr>
            </w:pPr>
          </w:p>
        </w:tc>
        <w:tc>
          <w:tcPr>
            <w:tcW w:w="2089" w:type="dxa"/>
          </w:tcPr>
          <w:p w:rsidR="001A49CC" w:rsidRPr="00566720" w:rsidRDefault="001A49CC" w:rsidP="001A49CC">
            <w:pPr>
              <w:ind w:left="0"/>
              <w:rPr>
                <w:strike/>
                <w:sz w:val="20"/>
                <w:szCs w:val="20"/>
              </w:rPr>
            </w:pPr>
            <w:r>
              <w:rPr>
                <w:rFonts w:ascii="EUAlbertina" w:hAnsi="EUAlbertina" w:cs="EUAlbertina"/>
                <w:color w:val="000000"/>
              </w:rPr>
              <w:t xml:space="preserve">- </w:t>
            </w:r>
            <w:r w:rsidRPr="00EC3FD7">
              <w:rPr>
                <w:sz w:val="20"/>
                <w:szCs w:val="20"/>
              </w:rPr>
              <w:t>stanovuje realisticky a kvalitne vypracovaný plán realizácie projektov (vrátane časového plánu a rozpočtového rámca).</w:t>
            </w:r>
          </w:p>
        </w:tc>
        <w:tc>
          <w:tcPr>
            <w:tcW w:w="1153" w:type="dxa"/>
            <w:vAlign w:val="center"/>
          </w:tcPr>
          <w:p w:rsidR="001A49CC" w:rsidRPr="00566720" w:rsidRDefault="001A49CC" w:rsidP="001A49CC">
            <w:pPr>
              <w:ind w:left="0"/>
              <w:jc w:val="center"/>
              <w:rPr>
                <w:b/>
                <w:sz w:val="20"/>
                <w:szCs w:val="20"/>
              </w:rPr>
            </w:pPr>
            <w:r>
              <w:rPr>
                <w:b/>
                <w:sz w:val="20"/>
                <w:szCs w:val="20"/>
              </w:rPr>
              <w:t>NIE</w:t>
            </w:r>
          </w:p>
        </w:tc>
        <w:tc>
          <w:tcPr>
            <w:tcW w:w="3302" w:type="dxa"/>
            <w:vMerge/>
            <w:vAlign w:val="center"/>
          </w:tcPr>
          <w:p w:rsidR="001A49CC" w:rsidRPr="00566720" w:rsidRDefault="001A49CC" w:rsidP="001A49CC">
            <w:pPr>
              <w:ind w:left="0"/>
              <w:jc w:val="center"/>
              <w:rPr>
                <w:strike/>
                <w:sz w:val="20"/>
                <w:szCs w:val="20"/>
              </w:rPr>
            </w:pPr>
          </w:p>
        </w:tc>
        <w:tc>
          <w:tcPr>
            <w:tcW w:w="2401" w:type="dxa"/>
            <w:vMerge/>
            <w:vAlign w:val="center"/>
          </w:tcPr>
          <w:p w:rsidR="001A49CC" w:rsidRPr="00566720" w:rsidRDefault="001A49CC" w:rsidP="001A49CC">
            <w:pPr>
              <w:ind w:left="0"/>
              <w:jc w:val="center"/>
              <w:rPr>
                <w:sz w:val="20"/>
                <w:szCs w:val="20"/>
              </w:rPr>
            </w:pPr>
          </w:p>
        </w:tc>
      </w:tr>
      <w:tr w:rsidR="001A49CC" w:rsidTr="00A127CB">
        <w:trPr>
          <w:trHeight w:val="340"/>
          <w:jc w:val="center"/>
        </w:trPr>
        <w:tc>
          <w:tcPr>
            <w:tcW w:w="2058" w:type="dxa"/>
            <w:vMerge/>
            <w:vAlign w:val="center"/>
          </w:tcPr>
          <w:p w:rsidR="001A49CC" w:rsidRPr="00E14AF4" w:rsidRDefault="001A49CC" w:rsidP="001A49CC">
            <w:pPr>
              <w:spacing w:before="20" w:after="120"/>
              <w:rPr>
                <w:sz w:val="20"/>
                <w:szCs w:val="20"/>
              </w:rPr>
            </w:pPr>
          </w:p>
        </w:tc>
        <w:tc>
          <w:tcPr>
            <w:tcW w:w="1422" w:type="dxa"/>
            <w:vMerge/>
            <w:vAlign w:val="center"/>
          </w:tcPr>
          <w:p w:rsidR="001A49CC" w:rsidRPr="00566720" w:rsidRDefault="001A49CC" w:rsidP="001A49CC">
            <w:pPr>
              <w:jc w:val="center"/>
              <w:rPr>
                <w:sz w:val="20"/>
                <w:szCs w:val="20"/>
              </w:rPr>
            </w:pPr>
          </w:p>
        </w:tc>
        <w:tc>
          <w:tcPr>
            <w:tcW w:w="1750" w:type="dxa"/>
            <w:vMerge/>
            <w:vAlign w:val="center"/>
          </w:tcPr>
          <w:p w:rsidR="001A49CC" w:rsidRPr="00566720" w:rsidRDefault="001A49CC" w:rsidP="001A49CC">
            <w:pPr>
              <w:jc w:val="center"/>
              <w:rPr>
                <w:b/>
                <w:strike/>
                <w:sz w:val="20"/>
                <w:szCs w:val="20"/>
              </w:rPr>
            </w:pPr>
          </w:p>
        </w:tc>
        <w:tc>
          <w:tcPr>
            <w:tcW w:w="2089" w:type="dxa"/>
          </w:tcPr>
          <w:p w:rsidR="001A49CC" w:rsidRDefault="001A49CC" w:rsidP="001A49CC">
            <w:pPr>
              <w:ind w:left="0"/>
              <w:rPr>
                <w:rFonts w:ascii="EUAlbertina" w:hAnsi="EUAlbertina" w:cs="EUAlbertina"/>
                <w:color w:val="000000"/>
              </w:rPr>
            </w:pPr>
            <w:r w:rsidRPr="00B70989">
              <w:rPr>
                <w:sz w:val="20"/>
                <w:szCs w:val="20"/>
              </w:rPr>
              <w:t>Opatrenia na zabezpečenie kapacity sprostredkovateľských orgánov a prijímateľov pri vykonávaní naplánovaných projektov.</w:t>
            </w:r>
          </w:p>
        </w:tc>
        <w:tc>
          <w:tcPr>
            <w:tcW w:w="1153" w:type="dxa"/>
            <w:vAlign w:val="center"/>
          </w:tcPr>
          <w:p w:rsidR="001A49CC" w:rsidRDefault="001A49CC" w:rsidP="001A49CC">
            <w:pPr>
              <w:ind w:left="0"/>
              <w:jc w:val="center"/>
              <w:rPr>
                <w:b/>
                <w:sz w:val="20"/>
                <w:szCs w:val="20"/>
              </w:rPr>
            </w:pPr>
            <w:r>
              <w:rPr>
                <w:b/>
                <w:sz w:val="20"/>
                <w:szCs w:val="20"/>
              </w:rPr>
              <w:t>NIE</w:t>
            </w:r>
          </w:p>
        </w:tc>
        <w:tc>
          <w:tcPr>
            <w:tcW w:w="3302" w:type="dxa"/>
            <w:vAlign w:val="center"/>
          </w:tcPr>
          <w:p w:rsidR="001A49CC" w:rsidRDefault="001A49CC" w:rsidP="001A49CC">
            <w:pPr>
              <w:ind w:left="0"/>
              <w:jc w:val="center"/>
              <w:rPr>
                <w:sz w:val="20"/>
                <w:szCs w:val="20"/>
              </w:rPr>
            </w:pPr>
            <w:r>
              <w:rPr>
                <w:sz w:val="20"/>
                <w:szCs w:val="20"/>
              </w:rPr>
              <w:t>Dokument</w:t>
            </w:r>
          </w:p>
          <w:p w:rsidR="001A49CC" w:rsidRDefault="001A49CC" w:rsidP="001A49CC">
            <w:pPr>
              <w:ind w:left="0"/>
              <w:jc w:val="center"/>
              <w:rPr>
                <w:sz w:val="20"/>
                <w:szCs w:val="20"/>
              </w:rPr>
            </w:pPr>
            <w:r w:rsidRPr="00566720">
              <w:rPr>
                <w:sz w:val="20"/>
                <w:szCs w:val="20"/>
              </w:rPr>
              <w:t>„Analýza administratívnych, finančných a</w:t>
            </w:r>
            <w:r>
              <w:rPr>
                <w:sz w:val="20"/>
                <w:szCs w:val="20"/>
              </w:rPr>
              <w:t> </w:t>
            </w:r>
            <w:r w:rsidRPr="00566720">
              <w:rPr>
                <w:sz w:val="20"/>
                <w:szCs w:val="20"/>
              </w:rPr>
              <w:t>technických kapacít prijímateľov za rok 2012“ zo dňa 15.05.2013</w:t>
            </w:r>
          </w:p>
        </w:tc>
        <w:tc>
          <w:tcPr>
            <w:tcW w:w="2401" w:type="dxa"/>
            <w:vAlign w:val="center"/>
          </w:tcPr>
          <w:p w:rsidR="001A49CC" w:rsidRPr="00566720" w:rsidRDefault="001A49CC" w:rsidP="001A49CC">
            <w:pPr>
              <w:ind w:left="0"/>
              <w:jc w:val="center"/>
              <w:rPr>
                <w:sz w:val="20"/>
                <w:szCs w:val="20"/>
              </w:rPr>
            </w:pPr>
            <w:r>
              <w:rPr>
                <w:sz w:val="20"/>
                <w:szCs w:val="20"/>
              </w:rPr>
              <w:t>Pripravuje sa aktualizácia analýzy.</w:t>
            </w:r>
          </w:p>
        </w:tc>
      </w:tr>
    </w:tbl>
    <w:p w:rsidR="0041714D" w:rsidRDefault="001A49CC" w:rsidP="001A49CC">
      <w:pPr>
        <w:pStyle w:val="06Normal"/>
        <w:spacing w:before="60" w:after="0"/>
        <w:rPr>
          <w:sz w:val="20"/>
          <w:lang w:eastAsia="sk-SK"/>
        </w:rPr>
      </w:pPr>
      <w:r w:rsidRPr="00566720">
        <w:rPr>
          <w:sz w:val="20"/>
          <w:u w:val="single"/>
          <w:lang w:eastAsia="sk-SK"/>
        </w:rPr>
        <w:lastRenderedPageBreak/>
        <w:t>Pozn.:</w:t>
      </w:r>
      <w:r w:rsidRPr="00566720">
        <w:rPr>
          <w:sz w:val="20"/>
          <w:lang w:eastAsia="sk-SK"/>
        </w:rPr>
        <w:t xml:space="preserve"> * na základe dohody s</w:t>
      </w:r>
      <w:r>
        <w:rPr>
          <w:sz w:val="20"/>
          <w:lang w:eastAsia="sk-SK"/>
        </w:rPr>
        <w:t> </w:t>
      </w:r>
      <w:r w:rsidRPr="00566720">
        <w:rPr>
          <w:sz w:val="20"/>
          <w:lang w:eastAsia="sk-SK"/>
        </w:rPr>
        <w:t>EK je plnenie ex ante kondicionalít stanovených pre sektor dopravy vzhľadom na neexistenciu Dopravného modelu SR a</w:t>
      </w:r>
      <w:r>
        <w:rPr>
          <w:sz w:val="20"/>
          <w:lang w:eastAsia="sk-SK"/>
        </w:rPr>
        <w:t> </w:t>
      </w:r>
      <w:r w:rsidRPr="00566720">
        <w:rPr>
          <w:sz w:val="20"/>
          <w:lang w:eastAsia="sk-SK"/>
        </w:rPr>
        <w:t>komplexnej dátovej základne rozdelené do dvoch fáz: „Strategický plán rozvoja dopravnej infraštruktúry SR do roku 2020 (fáza I)“ a „Strategický plán rozvoja</w:t>
      </w:r>
      <w:r>
        <w:rPr>
          <w:sz w:val="20"/>
          <w:lang w:eastAsia="sk-SK"/>
        </w:rPr>
        <w:t xml:space="preserve"> dopravnej infraštruktúry SR do </w:t>
      </w:r>
      <w:r w:rsidRPr="00566720">
        <w:rPr>
          <w:sz w:val="20"/>
          <w:lang w:eastAsia="sk-SK"/>
        </w:rPr>
        <w:t>roku 2030 (fáza II)“.</w:t>
      </w:r>
    </w:p>
    <w:p w:rsidR="00497BCE" w:rsidRDefault="00497BCE" w:rsidP="001A49CC">
      <w:pPr>
        <w:pStyle w:val="06Normal"/>
        <w:spacing w:before="60" w:after="0"/>
        <w:rPr>
          <w:sz w:val="20"/>
          <w:lang w:eastAsia="sk-SK"/>
        </w:rPr>
      </w:pPr>
    </w:p>
    <w:p w:rsidR="001A49CC" w:rsidRDefault="00497BCE" w:rsidP="001A49CC">
      <w:pPr>
        <w:pStyle w:val="Tab"/>
        <w:rPr>
          <w:b/>
          <w:i/>
        </w:rPr>
      </w:pPr>
      <w:r>
        <w:t>Identifikácia tematických</w:t>
      </w:r>
      <w:r w:rsidR="001A49CC" w:rsidRPr="001A49CC">
        <w:t xml:space="preserve"> ex ante kondicionalít a vyhodnotenie ich plnenia</w:t>
      </w:r>
      <w:r w:rsidR="001A49CC">
        <w:t xml:space="preserve"> – </w:t>
      </w:r>
      <w:r w:rsidR="001A49CC">
        <w:rPr>
          <w:b/>
          <w:i/>
        </w:rPr>
        <w:t>Informačná spoločnosť (tematický cieľ 2)</w:t>
      </w:r>
    </w:p>
    <w:tbl>
      <w:tblPr>
        <w:tblStyle w:val="Mriekatabuky"/>
        <w:tblW w:w="1447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tblPr>
      <w:tblGrid>
        <w:gridCol w:w="1681"/>
        <w:gridCol w:w="1257"/>
        <w:gridCol w:w="1471"/>
        <w:gridCol w:w="2268"/>
        <w:gridCol w:w="1276"/>
        <w:gridCol w:w="3969"/>
        <w:gridCol w:w="2551"/>
      </w:tblGrid>
      <w:tr w:rsidR="00AB40B4" w:rsidRPr="00B02869" w:rsidTr="00A127CB">
        <w:trPr>
          <w:trHeight w:val="340"/>
          <w:jc w:val="center"/>
        </w:trPr>
        <w:tc>
          <w:tcPr>
            <w:tcW w:w="1681" w:type="dxa"/>
            <w:shd w:val="clear" w:color="auto" w:fill="C6D9F1" w:themeFill="text2" w:themeFillTint="33"/>
            <w:vAlign w:val="center"/>
          </w:tcPr>
          <w:p w:rsidR="00AB40B4" w:rsidRPr="003F7110" w:rsidRDefault="00AB40B4" w:rsidP="00F07429">
            <w:pPr>
              <w:ind w:left="0"/>
              <w:jc w:val="center"/>
              <w:rPr>
                <w:sz w:val="20"/>
                <w:szCs w:val="20"/>
              </w:rPr>
            </w:pPr>
            <w:r w:rsidRPr="003F7110">
              <w:rPr>
                <w:sz w:val="20"/>
                <w:szCs w:val="20"/>
              </w:rPr>
              <w:t>Ex ante kondicionalita</w:t>
            </w:r>
          </w:p>
        </w:tc>
        <w:tc>
          <w:tcPr>
            <w:tcW w:w="1257" w:type="dxa"/>
            <w:shd w:val="clear" w:color="auto" w:fill="C6D9F1" w:themeFill="text2" w:themeFillTint="33"/>
            <w:vAlign w:val="center"/>
          </w:tcPr>
          <w:p w:rsidR="00AB40B4" w:rsidRPr="003F7110" w:rsidRDefault="00AB40B4" w:rsidP="00375EA5">
            <w:pPr>
              <w:ind w:left="0"/>
              <w:jc w:val="center"/>
              <w:rPr>
                <w:sz w:val="20"/>
                <w:szCs w:val="20"/>
              </w:rPr>
            </w:pPr>
            <w:r w:rsidRPr="003F7110">
              <w:rPr>
                <w:sz w:val="20"/>
                <w:szCs w:val="20"/>
              </w:rPr>
              <w:t xml:space="preserve">Prioritná os </w:t>
            </w:r>
          </w:p>
        </w:tc>
        <w:tc>
          <w:tcPr>
            <w:tcW w:w="1471" w:type="dxa"/>
            <w:shd w:val="clear" w:color="auto" w:fill="C6D9F1" w:themeFill="text2" w:themeFillTint="33"/>
            <w:vAlign w:val="center"/>
          </w:tcPr>
          <w:p w:rsidR="00AB40B4" w:rsidRPr="003F7110" w:rsidRDefault="00AB40B4" w:rsidP="00F07429">
            <w:pPr>
              <w:ind w:left="0"/>
              <w:jc w:val="center"/>
              <w:rPr>
                <w:sz w:val="20"/>
                <w:szCs w:val="20"/>
              </w:rPr>
            </w:pPr>
            <w:r w:rsidRPr="003F7110">
              <w:rPr>
                <w:sz w:val="20"/>
                <w:szCs w:val="20"/>
              </w:rPr>
              <w:t>Splnenie ex ante kondicionality Áno/Nie/Čiastočne</w:t>
            </w:r>
          </w:p>
        </w:tc>
        <w:tc>
          <w:tcPr>
            <w:tcW w:w="2268" w:type="dxa"/>
            <w:shd w:val="clear" w:color="auto" w:fill="C6D9F1" w:themeFill="text2" w:themeFillTint="33"/>
            <w:vAlign w:val="center"/>
          </w:tcPr>
          <w:p w:rsidR="00AB40B4" w:rsidRPr="003F7110" w:rsidRDefault="00AB40B4" w:rsidP="00F07429">
            <w:pPr>
              <w:ind w:left="0"/>
              <w:jc w:val="center"/>
              <w:rPr>
                <w:sz w:val="20"/>
                <w:szCs w:val="20"/>
              </w:rPr>
            </w:pPr>
            <w:r w:rsidRPr="003F7110">
              <w:rPr>
                <w:sz w:val="20"/>
                <w:szCs w:val="20"/>
              </w:rPr>
              <w:t>Kritériá</w:t>
            </w:r>
          </w:p>
        </w:tc>
        <w:tc>
          <w:tcPr>
            <w:tcW w:w="1276" w:type="dxa"/>
            <w:shd w:val="clear" w:color="auto" w:fill="C6D9F1" w:themeFill="text2" w:themeFillTint="33"/>
            <w:vAlign w:val="center"/>
          </w:tcPr>
          <w:p w:rsidR="00AB40B4" w:rsidRPr="003F7110" w:rsidRDefault="00AB40B4" w:rsidP="00F07429">
            <w:pPr>
              <w:ind w:left="0"/>
              <w:jc w:val="center"/>
              <w:rPr>
                <w:sz w:val="20"/>
                <w:szCs w:val="20"/>
              </w:rPr>
            </w:pPr>
            <w:r w:rsidRPr="003F7110">
              <w:rPr>
                <w:sz w:val="20"/>
                <w:szCs w:val="20"/>
              </w:rPr>
              <w:t>Splnenie kritérií Áno/Nie</w:t>
            </w:r>
          </w:p>
        </w:tc>
        <w:tc>
          <w:tcPr>
            <w:tcW w:w="3969" w:type="dxa"/>
            <w:shd w:val="clear" w:color="auto" w:fill="C6D9F1" w:themeFill="text2" w:themeFillTint="33"/>
            <w:vAlign w:val="center"/>
          </w:tcPr>
          <w:p w:rsidR="00AB40B4" w:rsidRPr="003F7110" w:rsidRDefault="00AB40B4" w:rsidP="00F07429">
            <w:pPr>
              <w:ind w:left="0"/>
              <w:jc w:val="center"/>
              <w:rPr>
                <w:sz w:val="20"/>
                <w:szCs w:val="20"/>
              </w:rPr>
            </w:pPr>
            <w:r w:rsidRPr="003F7110">
              <w:rPr>
                <w:sz w:val="20"/>
                <w:szCs w:val="20"/>
              </w:rPr>
              <w:t>Odkaz (odkaz na stratégie, právny akt alebo iné relevantné dokumenty, vrátane odkazov na príslušné časti, články alebo odseky, doplnené spojeniami na internetové stránky, alebo prístupom k úplnému textu)</w:t>
            </w:r>
          </w:p>
        </w:tc>
        <w:tc>
          <w:tcPr>
            <w:tcW w:w="2551" w:type="dxa"/>
            <w:shd w:val="clear" w:color="auto" w:fill="C6D9F1" w:themeFill="text2" w:themeFillTint="33"/>
            <w:vAlign w:val="center"/>
          </w:tcPr>
          <w:p w:rsidR="00AB40B4" w:rsidRPr="003F7110" w:rsidRDefault="00AB40B4" w:rsidP="00F07429">
            <w:pPr>
              <w:ind w:left="0"/>
              <w:jc w:val="center"/>
              <w:rPr>
                <w:sz w:val="20"/>
                <w:szCs w:val="20"/>
              </w:rPr>
            </w:pPr>
            <w:r w:rsidRPr="003F7110">
              <w:rPr>
                <w:sz w:val="20"/>
                <w:szCs w:val="20"/>
              </w:rPr>
              <w:t>Vysvetlenia</w:t>
            </w:r>
          </w:p>
        </w:tc>
      </w:tr>
      <w:tr w:rsidR="00A127CB" w:rsidRPr="00B02869" w:rsidTr="00A127CB">
        <w:trPr>
          <w:trHeight w:val="340"/>
          <w:jc w:val="center"/>
        </w:trPr>
        <w:tc>
          <w:tcPr>
            <w:tcW w:w="1681" w:type="dxa"/>
            <w:vMerge w:val="restart"/>
          </w:tcPr>
          <w:p w:rsidR="00A127CB" w:rsidRPr="00B02869" w:rsidRDefault="00A127CB" w:rsidP="00F07429">
            <w:pPr>
              <w:spacing w:before="20" w:after="120"/>
              <w:ind w:left="0"/>
              <w:rPr>
                <w:sz w:val="20"/>
                <w:szCs w:val="20"/>
              </w:rPr>
            </w:pPr>
            <w:r w:rsidRPr="00B02869">
              <w:rPr>
                <w:sz w:val="20"/>
                <w:szCs w:val="20"/>
              </w:rPr>
              <w:t xml:space="preserve">2.1 </w:t>
            </w:r>
            <w:r w:rsidRPr="00A43092">
              <w:rPr>
                <w:sz w:val="20"/>
                <w:szCs w:val="20"/>
              </w:rPr>
              <w:t xml:space="preserve">Rast v oblasti digitálnych služieb: strategický politický rámec pre digitálny rast, ktorý má podporovať finančne dostupné, kvalitné a interoperabilné súkromné a verejné služby využívajúce IKT a zvýšiť ich využívanie občanmi vrátane zraniteľných skupín, podnikateľskými subjektmi a verejnou správou vrátane </w:t>
            </w:r>
            <w:r w:rsidRPr="00A43092">
              <w:rPr>
                <w:sz w:val="20"/>
                <w:szCs w:val="20"/>
              </w:rPr>
              <w:lastRenderedPageBreak/>
              <w:t>cezhraničných iniciatív.</w:t>
            </w:r>
          </w:p>
        </w:tc>
        <w:tc>
          <w:tcPr>
            <w:tcW w:w="1257" w:type="dxa"/>
            <w:vMerge w:val="restart"/>
          </w:tcPr>
          <w:p w:rsidR="00A127CB" w:rsidRPr="00B02869" w:rsidRDefault="00A127CB" w:rsidP="00F07429">
            <w:pPr>
              <w:ind w:left="0"/>
              <w:jc w:val="center"/>
              <w:rPr>
                <w:sz w:val="20"/>
                <w:szCs w:val="20"/>
              </w:rPr>
            </w:pPr>
            <w:r w:rsidRPr="00B02869">
              <w:rPr>
                <w:sz w:val="20"/>
                <w:szCs w:val="20"/>
              </w:rPr>
              <w:lastRenderedPageBreak/>
              <w:t>PO 7</w:t>
            </w:r>
            <w:r>
              <w:rPr>
                <w:sz w:val="20"/>
                <w:szCs w:val="20"/>
              </w:rPr>
              <w:t xml:space="preserve"> Informačná spoločnosť</w:t>
            </w:r>
          </w:p>
          <w:p w:rsidR="00A127CB" w:rsidRPr="00B02869" w:rsidRDefault="00A127CB" w:rsidP="00F07429">
            <w:pPr>
              <w:ind w:left="0"/>
              <w:jc w:val="center"/>
              <w:rPr>
                <w:sz w:val="20"/>
                <w:szCs w:val="20"/>
              </w:rPr>
            </w:pPr>
          </w:p>
        </w:tc>
        <w:tc>
          <w:tcPr>
            <w:tcW w:w="1471" w:type="dxa"/>
            <w:vMerge w:val="restart"/>
          </w:tcPr>
          <w:p w:rsidR="00A127CB" w:rsidRPr="00B02869" w:rsidRDefault="00A127CB" w:rsidP="00F07429">
            <w:pPr>
              <w:ind w:left="0"/>
              <w:jc w:val="center"/>
              <w:rPr>
                <w:sz w:val="20"/>
                <w:szCs w:val="20"/>
              </w:rPr>
            </w:pPr>
            <w:r>
              <w:rPr>
                <w:sz w:val="20"/>
                <w:szCs w:val="20"/>
              </w:rPr>
              <w:t>Áno</w:t>
            </w:r>
          </w:p>
          <w:p w:rsidR="00A127CB" w:rsidRPr="00B02869" w:rsidRDefault="00A127CB" w:rsidP="00F07429">
            <w:pPr>
              <w:ind w:left="0"/>
              <w:jc w:val="center"/>
              <w:rPr>
                <w:sz w:val="20"/>
                <w:szCs w:val="20"/>
              </w:rPr>
            </w:pPr>
          </w:p>
          <w:p w:rsidR="00A127CB" w:rsidRPr="00B02869" w:rsidRDefault="00A127CB" w:rsidP="00F07429">
            <w:pPr>
              <w:ind w:left="0"/>
              <w:jc w:val="center"/>
              <w:rPr>
                <w:sz w:val="20"/>
                <w:szCs w:val="20"/>
              </w:rPr>
            </w:pPr>
          </w:p>
          <w:p w:rsidR="00A127CB" w:rsidRPr="00B02869" w:rsidRDefault="00A127CB" w:rsidP="00F07429">
            <w:pPr>
              <w:ind w:left="0"/>
              <w:jc w:val="center"/>
              <w:rPr>
                <w:sz w:val="20"/>
                <w:szCs w:val="20"/>
              </w:rPr>
            </w:pPr>
          </w:p>
        </w:tc>
        <w:tc>
          <w:tcPr>
            <w:tcW w:w="2268" w:type="dxa"/>
          </w:tcPr>
          <w:p w:rsidR="00A127CB" w:rsidRDefault="00A127CB" w:rsidP="00F07429">
            <w:pPr>
              <w:ind w:left="0"/>
              <w:rPr>
                <w:noProof/>
                <w:sz w:val="20"/>
              </w:rPr>
            </w:pPr>
            <w:r w:rsidRPr="007F14F6">
              <w:rPr>
                <w:noProof/>
                <w:sz w:val="20"/>
              </w:rPr>
              <w:t xml:space="preserve">Existuje strategický politický rámec pre </w:t>
            </w:r>
            <w:r>
              <w:rPr>
                <w:noProof/>
                <w:sz w:val="20"/>
              </w:rPr>
              <w:t xml:space="preserve">rast v oblasti </w:t>
            </w:r>
            <w:r w:rsidRPr="007F14F6">
              <w:rPr>
                <w:noProof/>
                <w:sz w:val="20"/>
              </w:rPr>
              <w:t>digitálny</w:t>
            </w:r>
            <w:r>
              <w:rPr>
                <w:noProof/>
                <w:sz w:val="20"/>
              </w:rPr>
              <w:t>ch služieb</w:t>
            </w:r>
            <w:r w:rsidRPr="007F14F6">
              <w:rPr>
                <w:noProof/>
                <w:sz w:val="20"/>
              </w:rPr>
              <w:t xml:space="preserve">, napríklad </w:t>
            </w:r>
            <w:r>
              <w:rPr>
                <w:noProof/>
                <w:sz w:val="20"/>
              </w:rPr>
              <w:t xml:space="preserve">v rámci </w:t>
            </w:r>
            <w:r w:rsidRPr="007F14F6">
              <w:rPr>
                <w:noProof/>
                <w:sz w:val="20"/>
              </w:rPr>
              <w:t>národn</w:t>
            </w:r>
            <w:r>
              <w:rPr>
                <w:noProof/>
                <w:sz w:val="20"/>
              </w:rPr>
              <w:t>ej</w:t>
            </w:r>
            <w:r w:rsidRPr="007F14F6">
              <w:rPr>
                <w:noProof/>
                <w:sz w:val="20"/>
              </w:rPr>
              <w:t xml:space="preserve"> alebo regionálne</w:t>
            </w:r>
            <w:r>
              <w:rPr>
                <w:noProof/>
                <w:sz w:val="20"/>
              </w:rPr>
              <w:t>j stratégie pre</w:t>
            </w:r>
            <w:r w:rsidRPr="007F14F6">
              <w:rPr>
                <w:noProof/>
                <w:sz w:val="20"/>
              </w:rPr>
              <w:t xml:space="preserve"> inteligentnú špecializáciu, ktorý obsahuje:</w:t>
            </w:r>
          </w:p>
          <w:p w:rsidR="00A127CB" w:rsidRPr="00560E77" w:rsidRDefault="00A127CB" w:rsidP="00AB40B4">
            <w:pPr>
              <w:pStyle w:val="Odsekzoznamu"/>
              <w:numPr>
                <w:ilvl w:val="0"/>
                <w:numId w:val="22"/>
              </w:numPr>
              <w:ind w:left="176" w:hanging="142"/>
              <w:jc w:val="both"/>
              <w:rPr>
                <w:sz w:val="20"/>
                <w:szCs w:val="20"/>
              </w:rPr>
            </w:pPr>
            <w:r w:rsidRPr="00560E77">
              <w:rPr>
                <w:sz w:val="20"/>
                <w:szCs w:val="20"/>
              </w:rPr>
              <w:t>Zostavenie rozpočtu a zoradenie činností podľa priorít prostredníctvom SWOT alebo podobnej analýzy, ktorá je v súlade s hodnotiacou tabuľkou Digitálnej agendy pre Európu</w:t>
            </w:r>
          </w:p>
        </w:tc>
        <w:tc>
          <w:tcPr>
            <w:tcW w:w="1276" w:type="dxa"/>
          </w:tcPr>
          <w:p w:rsidR="00A127CB" w:rsidRPr="00B02869" w:rsidRDefault="00A127CB" w:rsidP="00F07429">
            <w:pPr>
              <w:ind w:left="0"/>
              <w:jc w:val="center"/>
              <w:rPr>
                <w:sz w:val="20"/>
                <w:szCs w:val="20"/>
              </w:rPr>
            </w:pPr>
            <w:r w:rsidRPr="00B02869">
              <w:rPr>
                <w:sz w:val="20"/>
                <w:szCs w:val="20"/>
              </w:rPr>
              <w:t>Áno</w:t>
            </w:r>
          </w:p>
        </w:tc>
        <w:tc>
          <w:tcPr>
            <w:tcW w:w="3969" w:type="dxa"/>
          </w:tcPr>
          <w:p w:rsidR="00A127CB" w:rsidRDefault="00A127CB" w:rsidP="00F07429">
            <w:pPr>
              <w:ind w:left="0"/>
              <w:rPr>
                <w:color w:val="000000"/>
                <w:sz w:val="20"/>
              </w:rPr>
            </w:pPr>
            <w:r w:rsidRPr="00B02869">
              <w:rPr>
                <w:color w:val="000000"/>
                <w:sz w:val="20"/>
              </w:rPr>
              <w:t>Strategický dokument pre oblasť rastu digitálnych služieb a</w:t>
            </w:r>
            <w:r>
              <w:rPr>
                <w:color w:val="000000"/>
                <w:sz w:val="20"/>
              </w:rPr>
              <w:t> </w:t>
            </w:r>
            <w:r w:rsidRPr="00B02869">
              <w:rPr>
                <w:color w:val="000000"/>
                <w:sz w:val="20"/>
              </w:rPr>
              <w:t>oblasť infraštruktúry prístupovej siete novej generácie (2014 – 2020)</w:t>
            </w:r>
          </w:p>
          <w:p w:rsidR="00A127CB" w:rsidRDefault="00B75FBB" w:rsidP="00F07429">
            <w:pPr>
              <w:ind w:left="0"/>
              <w:rPr>
                <w:color w:val="000000"/>
                <w:sz w:val="20"/>
              </w:rPr>
            </w:pPr>
            <w:hyperlink r:id="rId47" w:history="1">
              <w:r w:rsidR="00A127CB" w:rsidRPr="00147954">
                <w:rPr>
                  <w:rStyle w:val="Hypertextovprepojenie"/>
                  <w:sz w:val="20"/>
                </w:rPr>
                <w:t>http://www.rokovania.sk/Rokovanie.aspx/BodRokovaniaDetail?idMaterial=23177</w:t>
              </w:r>
            </w:hyperlink>
          </w:p>
          <w:p w:rsidR="00A127CB" w:rsidRPr="00B02869" w:rsidRDefault="00A127CB" w:rsidP="00F07429">
            <w:pPr>
              <w:ind w:left="0"/>
              <w:rPr>
                <w:color w:val="000000"/>
                <w:sz w:val="20"/>
              </w:rPr>
            </w:pPr>
            <w:r>
              <w:rPr>
                <w:color w:val="000000"/>
                <w:sz w:val="20"/>
              </w:rPr>
              <w:t>Vláda SR vzala Strategický dokument na vedomie dňa 08.01.2014.</w:t>
            </w:r>
          </w:p>
        </w:tc>
        <w:tc>
          <w:tcPr>
            <w:tcW w:w="2551" w:type="dxa"/>
            <w:vMerge w:val="restart"/>
          </w:tcPr>
          <w:p w:rsidR="00A127CB" w:rsidRPr="00B02869" w:rsidRDefault="00A127CB" w:rsidP="00F07429">
            <w:pPr>
              <w:ind w:left="0"/>
              <w:jc w:val="both"/>
              <w:rPr>
                <w:sz w:val="20"/>
                <w:szCs w:val="20"/>
              </w:rPr>
            </w:pPr>
            <w:r w:rsidRPr="00A60714">
              <w:rPr>
                <w:sz w:val="20"/>
                <w:szCs w:val="20"/>
              </w:rPr>
              <w:t>Strategický dokument</w:t>
            </w:r>
            <w:r>
              <w:rPr>
                <w:sz w:val="20"/>
                <w:szCs w:val="20"/>
              </w:rPr>
              <w:t xml:space="preserve"> pre oblasť rastu digitálnych služieb a oblasť infraštruktúry prístupovej siete novej generácie (2014 – 2020) vypracovaný Ministerstvom financií SR</w:t>
            </w:r>
            <w:r w:rsidRPr="00A60714">
              <w:rPr>
                <w:sz w:val="20"/>
                <w:szCs w:val="20"/>
              </w:rPr>
              <w:t xml:space="preserve"> stanovuje stratégiu </w:t>
            </w:r>
            <w:r>
              <w:rPr>
                <w:sz w:val="20"/>
                <w:szCs w:val="20"/>
              </w:rPr>
              <w:t xml:space="preserve">ďalšieho </w:t>
            </w:r>
            <w:r w:rsidRPr="00A60714">
              <w:rPr>
                <w:sz w:val="20"/>
                <w:szCs w:val="20"/>
              </w:rPr>
              <w:t xml:space="preserve">rozvoja </w:t>
            </w:r>
            <w:r>
              <w:rPr>
                <w:sz w:val="20"/>
                <w:szCs w:val="20"/>
              </w:rPr>
              <w:t xml:space="preserve">digitálnych služieb a infraštruktúry prístupovej siete novej generácie </w:t>
            </w:r>
            <w:r w:rsidRPr="00A60714">
              <w:rPr>
                <w:sz w:val="20"/>
                <w:szCs w:val="20"/>
              </w:rPr>
              <w:t>na</w:t>
            </w:r>
            <w:r>
              <w:rPr>
                <w:sz w:val="20"/>
                <w:szCs w:val="20"/>
              </w:rPr>
              <w:t xml:space="preserve"> Slovensku v</w:t>
            </w:r>
            <w:r w:rsidRPr="00A60714">
              <w:rPr>
                <w:sz w:val="20"/>
                <w:szCs w:val="20"/>
              </w:rPr>
              <w:t xml:space="preserve"> programov</w:t>
            </w:r>
            <w:r>
              <w:rPr>
                <w:sz w:val="20"/>
                <w:szCs w:val="20"/>
              </w:rPr>
              <w:t>om období</w:t>
            </w:r>
            <w:r w:rsidRPr="00A60714">
              <w:rPr>
                <w:sz w:val="20"/>
                <w:szCs w:val="20"/>
              </w:rPr>
              <w:t xml:space="preserve"> 2014 - 2020 a zároveň plní ciele uvedené v pozičnom dokumente EK a realizuje opatrenia Digitálnej agendy pre Európu. Strategický dokument slúži ako východisko pre prípravu Operačného programu Integrovaná infraštruktúra (prioritná os</w:t>
            </w:r>
            <w:r>
              <w:rPr>
                <w:sz w:val="20"/>
                <w:szCs w:val="20"/>
              </w:rPr>
              <w:t xml:space="preserve"> 7</w:t>
            </w:r>
            <w:r w:rsidRPr="00A60714">
              <w:rPr>
                <w:sz w:val="20"/>
                <w:szCs w:val="20"/>
              </w:rPr>
              <w:t xml:space="preserve"> Informačná spoločnosť)</w:t>
            </w:r>
            <w:r>
              <w:rPr>
                <w:sz w:val="20"/>
                <w:szCs w:val="20"/>
              </w:rPr>
              <w:t xml:space="preserve"> a zameriava sa na splnenie ex ante kondicionalít 2.1 Rast </w:t>
            </w:r>
            <w:r>
              <w:rPr>
                <w:sz w:val="20"/>
                <w:szCs w:val="20"/>
              </w:rPr>
              <w:lastRenderedPageBreak/>
              <w:t>v oblasti digitálnych služieb a 2.2 Infraštruktúra sietí novej generácie.</w:t>
            </w:r>
          </w:p>
        </w:tc>
      </w:tr>
      <w:tr w:rsidR="00A127CB" w:rsidRPr="00B02869" w:rsidTr="00A127CB">
        <w:trPr>
          <w:trHeight w:val="340"/>
          <w:jc w:val="center"/>
        </w:trPr>
        <w:tc>
          <w:tcPr>
            <w:tcW w:w="1681" w:type="dxa"/>
            <w:vMerge/>
          </w:tcPr>
          <w:p w:rsidR="00A127CB" w:rsidRPr="00B02869" w:rsidRDefault="00A127CB" w:rsidP="00F07429">
            <w:pPr>
              <w:spacing w:before="20" w:after="120"/>
              <w:rPr>
                <w:sz w:val="20"/>
                <w:szCs w:val="20"/>
              </w:rPr>
            </w:pPr>
          </w:p>
        </w:tc>
        <w:tc>
          <w:tcPr>
            <w:tcW w:w="1257" w:type="dxa"/>
            <w:vMerge/>
          </w:tcPr>
          <w:p w:rsidR="00A127CB" w:rsidRPr="00B02869" w:rsidRDefault="00A127CB" w:rsidP="00F07429">
            <w:pPr>
              <w:ind w:left="0"/>
              <w:jc w:val="center"/>
              <w:rPr>
                <w:sz w:val="20"/>
                <w:szCs w:val="20"/>
              </w:rPr>
            </w:pPr>
          </w:p>
        </w:tc>
        <w:tc>
          <w:tcPr>
            <w:tcW w:w="1471" w:type="dxa"/>
            <w:vMerge/>
          </w:tcPr>
          <w:p w:rsidR="00A127CB" w:rsidRPr="00B02869" w:rsidRDefault="00A127CB" w:rsidP="00F07429">
            <w:pPr>
              <w:ind w:left="0"/>
              <w:jc w:val="center"/>
              <w:rPr>
                <w:sz w:val="20"/>
                <w:szCs w:val="20"/>
              </w:rPr>
            </w:pPr>
          </w:p>
        </w:tc>
        <w:tc>
          <w:tcPr>
            <w:tcW w:w="2268" w:type="dxa"/>
          </w:tcPr>
          <w:p w:rsidR="00A127CB" w:rsidRPr="00560E77" w:rsidRDefault="00A127CB" w:rsidP="00AB40B4">
            <w:pPr>
              <w:pStyle w:val="Odsekzoznamu"/>
              <w:numPr>
                <w:ilvl w:val="0"/>
                <w:numId w:val="22"/>
              </w:numPr>
              <w:ind w:left="176" w:hanging="142"/>
              <w:jc w:val="both"/>
              <w:rPr>
                <w:sz w:val="20"/>
                <w:szCs w:val="20"/>
              </w:rPr>
            </w:pPr>
            <w:r w:rsidRPr="00560E77">
              <w:rPr>
                <w:sz w:val="20"/>
                <w:szCs w:val="20"/>
              </w:rPr>
              <w:t>analýzu vyváženej podpory pre dopyt a ponuku IKT , ktorá sa mala vykonať</w:t>
            </w:r>
          </w:p>
        </w:tc>
        <w:tc>
          <w:tcPr>
            <w:tcW w:w="1276" w:type="dxa"/>
          </w:tcPr>
          <w:p w:rsidR="00A127CB" w:rsidRPr="00B02869" w:rsidRDefault="00A127CB" w:rsidP="00F07429">
            <w:pPr>
              <w:ind w:left="0"/>
              <w:jc w:val="center"/>
              <w:rPr>
                <w:sz w:val="20"/>
                <w:szCs w:val="20"/>
              </w:rPr>
            </w:pPr>
            <w:r w:rsidRPr="00B02869">
              <w:rPr>
                <w:sz w:val="20"/>
                <w:szCs w:val="20"/>
              </w:rPr>
              <w:t>Áno</w:t>
            </w:r>
          </w:p>
        </w:tc>
        <w:tc>
          <w:tcPr>
            <w:tcW w:w="3969" w:type="dxa"/>
          </w:tcPr>
          <w:p w:rsidR="00A127CB" w:rsidRDefault="00A127CB" w:rsidP="00F07429">
            <w:pPr>
              <w:ind w:left="0"/>
              <w:rPr>
                <w:color w:val="000000"/>
                <w:sz w:val="20"/>
              </w:rPr>
            </w:pPr>
            <w:r w:rsidRPr="00B02869">
              <w:rPr>
                <w:color w:val="000000"/>
                <w:sz w:val="20"/>
              </w:rPr>
              <w:t>Strategický dokument pre oblasť rastu digitálnych služieb a</w:t>
            </w:r>
            <w:r>
              <w:rPr>
                <w:color w:val="000000"/>
                <w:sz w:val="20"/>
              </w:rPr>
              <w:t> </w:t>
            </w:r>
            <w:r w:rsidRPr="00B02869">
              <w:rPr>
                <w:color w:val="000000"/>
                <w:sz w:val="20"/>
              </w:rPr>
              <w:t>oblasť infraštruktúry prístupovej siete novej generácie (2014 – 2020)</w:t>
            </w:r>
          </w:p>
          <w:p w:rsidR="00A127CB" w:rsidRDefault="00B75FBB" w:rsidP="00F07429">
            <w:pPr>
              <w:ind w:left="0"/>
              <w:rPr>
                <w:color w:val="000000"/>
                <w:sz w:val="20"/>
              </w:rPr>
            </w:pPr>
            <w:hyperlink r:id="rId48" w:history="1">
              <w:r w:rsidR="00A127CB" w:rsidRPr="00147954">
                <w:rPr>
                  <w:rStyle w:val="Hypertextovprepojenie"/>
                  <w:sz w:val="20"/>
                </w:rPr>
                <w:t>http://www.rokovania.sk/Rokovanie.aspx/BodRokovaniaDetail?idMaterial=23177</w:t>
              </w:r>
            </w:hyperlink>
          </w:p>
          <w:p w:rsidR="00A127CB" w:rsidRPr="00B02869" w:rsidRDefault="00A127CB" w:rsidP="00F07429">
            <w:pPr>
              <w:ind w:left="0"/>
              <w:rPr>
                <w:color w:val="000000"/>
                <w:sz w:val="20"/>
              </w:rPr>
            </w:pPr>
            <w:r>
              <w:rPr>
                <w:color w:val="000000"/>
                <w:sz w:val="20"/>
              </w:rPr>
              <w:t xml:space="preserve">Vláda SR vzala Strategický dokument na </w:t>
            </w:r>
            <w:r>
              <w:rPr>
                <w:color w:val="000000"/>
                <w:sz w:val="20"/>
              </w:rPr>
              <w:lastRenderedPageBreak/>
              <w:t>vedomie dňa 08.01.2014.</w:t>
            </w:r>
          </w:p>
        </w:tc>
        <w:tc>
          <w:tcPr>
            <w:tcW w:w="2551" w:type="dxa"/>
            <w:vMerge/>
          </w:tcPr>
          <w:p w:rsidR="00A127CB" w:rsidRPr="00B02869" w:rsidRDefault="00A127CB" w:rsidP="00F07429">
            <w:pPr>
              <w:jc w:val="center"/>
              <w:rPr>
                <w:sz w:val="20"/>
                <w:szCs w:val="20"/>
              </w:rPr>
            </w:pPr>
          </w:p>
        </w:tc>
      </w:tr>
      <w:tr w:rsidR="00A127CB" w:rsidRPr="00B02869" w:rsidTr="00A127CB">
        <w:trPr>
          <w:trHeight w:val="340"/>
          <w:jc w:val="center"/>
        </w:trPr>
        <w:tc>
          <w:tcPr>
            <w:tcW w:w="1681" w:type="dxa"/>
            <w:vMerge/>
          </w:tcPr>
          <w:p w:rsidR="00A127CB" w:rsidRPr="00B02869" w:rsidRDefault="00A127CB" w:rsidP="00F07429">
            <w:pPr>
              <w:spacing w:before="20" w:after="120"/>
              <w:rPr>
                <w:sz w:val="20"/>
                <w:szCs w:val="20"/>
              </w:rPr>
            </w:pPr>
          </w:p>
        </w:tc>
        <w:tc>
          <w:tcPr>
            <w:tcW w:w="1257" w:type="dxa"/>
            <w:vMerge/>
          </w:tcPr>
          <w:p w:rsidR="00A127CB" w:rsidRPr="00B02869" w:rsidRDefault="00A127CB" w:rsidP="00F07429">
            <w:pPr>
              <w:ind w:left="0"/>
              <w:jc w:val="center"/>
              <w:rPr>
                <w:sz w:val="20"/>
                <w:szCs w:val="20"/>
              </w:rPr>
            </w:pPr>
          </w:p>
        </w:tc>
        <w:tc>
          <w:tcPr>
            <w:tcW w:w="1471" w:type="dxa"/>
            <w:vMerge/>
          </w:tcPr>
          <w:p w:rsidR="00A127CB" w:rsidRPr="00B02869" w:rsidRDefault="00A127CB" w:rsidP="00F07429">
            <w:pPr>
              <w:ind w:left="0"/>
              <w:jc w:val="center"/>
              <w:rPr>
                <w:sz w:val="20"/>
                <w:szCs w:val="20"/>
              </w:rPr>
            </w:pPr>
          </w:p>
        </w:tc>
        <w:tc>
          <w:tcPr>
            <w:tcW w:w="2268" w:type="dxa"/>
          </w:tcPr>
          <w:p w:rsidR="00A127CB" w:rsidRPr="00560E77" w:rsidRDefault="00A127CB" w:rsidP="007877CC">
            <w:pPr>
              <w:pStyle w:val="Odsekzoznamu"/>
              <w:numPr>
                <w:ilvl w:val="0"/>
                <w:numId w:val="22"/>
              </w:numPr>
              <w:ind w:left="318" w:hanging="284"/>
              <w:jc w:val="both"/>
              <w:rPr>
                <w:sz w:val="20"/>
                <w:szCs w:val="20"/>
              </w:rPr>
            </w:pPr>
            <w:r>
              <w:rPr>
                <w:sz w:val="20"/>
                <w:szCs w:val="20"/>
              </w:rPr>
              <w:t>u</w:t>
            </w:r>
            <w:r w:rsidRPr="00560E77">
              <w:rPr>
                <w:sz w:val="20"/>
                <w:szCs w:val="20"/>
              </w:rPr>
              <w:t>kazovatele na meranie pokroku intervencií v oblastiach, ako je digitálna gramotnosť, elektronické začlenenie, elektronická dostupnosť a pokroku elektronického zdravotníctva, v medziach stanovených v článku 168 Zmluvy o fungovaní EÚ, ktoré sú v prípade potreby v súlade s príslušnými sektorovými stratégiami Únie alebo národnými či regionálnymi stratégiami</w:t>
            </w:r>
          </w:p>
        </w:tc>
        <w:tc>
          <w:tcPr>
            <w:tcW w:w="1276" w:type="dxa"/>
          </w:tcPr>
          <w:p w:rsidR="00A127CB" w:rsidRPr="00B02869" w:rsidRDefault="00A127CB" w:rsidP="00F07429">
            <w:pPr>
              <w:ind w:left="0"/>
              <w:jc w:val="center"/>
              <w:rPr>
                <w:sz w:val="20"/>
                <w:szCs w:val="20"/>
              </w:rPr>
            </w:pPr>
            <w:r w:rsidRPr="00B02869">
              <w:rPr>
                <w:sz w:val="20"/>
                <w:szCs w:val="20"/>
              </w:rPr>
              <w:t>Áno</w:t>
            </w:r>
          </w:p>
        </w:tc>
        <w:tc>
          <w:tcPr>
            <w:tcW w:w="3969" w:type="dxa"/>
          </w:tcPr>
          <w:p w:rsidR="00A127CB" w:rsidRDefault="00A127CB" w:rsidP="00AB40B4">
            <w:pPr>
              <w:ind w:left="0"/>
              <w:rPr>
                <w:color w:val="000000"/>
                <w:sz w:val="20"/>
              </w:rPr>
            </w:pPr>
            <w:r w:rsidRPr="00B02869">
              <w:rPr>
                <w:color w:val="000000"/>
                <w:sz w:val="20"/>
              </w:rPr>
              <w:t>Strategický dokument pre oblasť rastu digitálnych služieb a</w:t>
            </w:r>
            <w:r>
              <w:rPr>
                <w:color w:val="000000"/>
                <w:sz w:val="20"/>
              </w:rPr>
              <w:t> </w:t>
            </w:r>
            <w:r w:rsidRPr="00B02869">
              <w:rPr>
                <w:color w:val="000000"/>
                <w:sz w:val="20"/>
              </w:rPr>
              <w:t>oblasť infraštruktúry prístupovej siete novej generácie (2014 – 2020)</w:t>
            </w:r>
          </w:p>
          <w:p w:rsidR="00A127CB" w:rsidRDefault="00B75FBB" w:rsidP="00AB40B4">
            <w:pPr>
              <w:ind w:left="0"/>
              <w:rPr>
                <w:color w:val="000000"/>
                <w:sz w:val="20"/>
              </w:rPr>
            </w:pPr>
            <w:hyperlink r:id="rId49" w:history="1">
              <w:r w:rsidR="00A127CB" w:rsidRPr="00147954">
                <w:rPr>
                  <w:rStyle w:val="Hypertextovprepojenie"/>
                  <w:sz w:val="20"/>
                </w:rPr>
                <w:t>http://www.rokovania.sk/Rokovanie.aspx/BodRokovaniaDetail?idMaterial=23177</w:t>
              </w:r>
            </w:hyperlink>
          </w:p>
          <w:p w:rsidR="00A127CB" w:rsidRPr="00B02869" w:rsidRDefault="00A127CB" w:rsidP="00AB40B4">
            <w:pPr>
              <w:ind w:left="0"/>
              <w:rPr>
                <w:color w:val="000000"/>
                <w:sz w:val="20"/>
              </w:rPr>
            </w:pPr>
            <w:r>
              <w:rPr>
                <w:color w:val="000000"/>
                <w:sz w:val="20"/>
              </w:rPr>
              <w:t>Vláda SR vzala Strategický dokument na vedomie dňa 08.01.2014.</w:t>
            </w:r>
          </w:p>
        </w:tc>
        <w:tc>
          <w:tcPr>
            <w:tcW w:w="2551" w:type="dxa"/>
            <w:vMerge/>
          </w:tcPr>
          <w:p w:rsidR="00A127CB" w:rsidRPr="00B02869" w:rsidRDefault="00A127CB" w:rsidP="00F07429">
            <w:pPr>
              <w:jc w:val="center"/>
              <w:rPr>
                <w:sz w:val="20"/>
                <w:szCs w:val="20"/>
              </w:rPr>
            </w:pPr>
          </w:p>
        </w:tc>
      </w:tr>
      <w:tr w:rsidR="00A127CB" w:rsidRPr="00B02869" w:rsidTr="00A127CB">
        <w:trPr>
          <w:trHeight w:val="340"/>
          <w:jc w:val="center"/>
        </w:trPr>
        <w:tc>
          <w:tcPr>
            <w:tcW w:w="1681" w:type="dxa"/>
            <w:vMerge/>
          </w:tcPr>
          <w:p w:rsidR="00A127CB" w:rsidRPr="00B02869" w:rsidRDefault="00A127CB" w:rsidP="00F07429">
            <w:pPr>
              <w:spacing w:before="20" w:after="120"/>
              <w:rPr>
                <w:sz w:val="20"/>
                <w:szCs w:val="20"/>
              </w:rPr>
            </w:pPr>
          </w:p>
        </w:tc>
        <w:tc>
          <w:tcPr>
            <w:tcW w:w="1257" w:type="dxa"/>
            <w:vMerge/>
          </w:tcPr>
          <w:p w:rsidR="00A127CB" w:rsidRPr="00B02869" w:rsidRDefault="00A127CB" w:rsidP="00F07429">
            <w:pPr>
              <w:ind w:left="0"/>
              <w:jc w:val="center"/>
              <w:rPr>
                <w:sz w:val="20"/>
                <w:szCs w:val="20"/>
              </w:rPr>
            </w:pPr>
          </w:p>
        </w:tc>
        <w:tc>
          <w:tcPr>
            <w:tcW w:w="1471" w:type="dxa"/>
            <w:vMerge/>
          </w:tcPr>
          <w:p w:rsidR="00A127CB" w:rsidRPr="00B02869" w:rsidRDefault="00A127CB" w:rsidP="00F07429">
            <w:pPr>
              <w:ind w:left="0"/>
              <w:jc w:val="center"/>
              <w:rPr>
                <w:sz w:val="20"/>
                <w:szCs w:val="20"/>
              </w:rPr>
            </w:pPr>
          </w:p>
        </w:tc>
        <w:tc>
          <w:tcPr>
            <w:tcW w:w="2268" w:type="dxa"/>
          </w:tcPr>
          <w:p w:rsidR="00A127CB" w:rsidRPr="00560E77" w:rsidRDefault="00A127CB" w:rsidP="00AB40B4">
            <w:pPr>
              <w:pStyle w:val="Odsekzoznamu"/>
              <w:numPr>
                <w:ilvl w:val="0"/>
                <w:numId w:val="22"/>
              </w:numPr>
              <w:ind w:left="318" w:hanging="284"/>
              <w:rPr>
                <w:sz w:val="20"/>
                <w:szCs w:val="20"/>
              </w:rPr>
            </w:pPr>
            <w:r w:rsidRPr="00560E77">
              <w:rPr>
                <w:sz w:val="20"/>
                <w:szCs w:val="20"/>
              </w:rPr>
              <w:t>Posúdenie potrieb posilnenia budovania IKT kapacít</w:t>
            </w:r>
          </w:p>
        </w:tc>
        <w:tc>
          <w:tcPr>
            <w:tcW w:w="1276" w:type="dxa"/>
          </w:tcPr>
          <w:p w:rsidR="00A127CB" w:rsidRPr="00B02869" w:rsidRDefault="00A127CB" w:rsidP="00F07429">
            <w:pPr>
              <w:ind w:left="0"/>
              <w:jc w:val="center"/>
              <w:rPr>
                <w:sz w:val="20"/>
                <w:szCs w:val="20"/>
              </w:rPr>
            </w:pPr>
            <w:r w:rsidRPr="00B02869">
              <w:rPr>
                <w:sz w:val="20"/>
                <w:szCs w:val="20"/>
              </w:rPr>
              <w:t>Áno</w:t>
            </w:r>
          </w:p>
        </w:tc>
        <w:tc>
          <w:tcPr>
            <w:tcW w:w="3969" w:type="dxa"/>
          </w:tcPr>
          <w:p w:rsidR="00A127CB" w:rsidRDefault="00A127CB" w:rsidP="00F07429">
            <w:pPr>
              <w:ind w:left="0"/>
              <w:rPr>
                <w:color w:val="000000"/>
                <w:sz w:val="20"/>
              </w:rPr>
            </w:pPr>
            <w:r w:rsidRPr="00B02869">
              <w:rPr>
                <w:color w:val="000000"/>
                <w:sz w:val="20"/>
              </w:rPr>
              <w:t>Strategický dokument pre oblasť rastu digitálnych služieb a</w:t>
            </w:r>
            <w:r>
              <w:rPr>
                <w:color w:val="000000"/>
                <w:sz w:val="20"/>
              </w:rPr>
              <w:t> </w:t>
            </w:r>
            <w:r w:rsidRPr="00B02869">
              <w:rPr>
                <w:color w:val="000000"/>
                <w:sz w:val="20"/>
              </w:rPr>
              <w:t>oblasť infraštruktúry prístupovej siete novej generácie (2014 – 2020)</w:t>
            </w:r>
          </w:p>
          <w:p w:rsidR="00A127CB" w:rsidRDefault="00B75FBB" w:rsidP="00F07429">
            <w:pPr>
              <w:ind w:left="0"/>
              <w:rPr>
                <w:color w:val="000000"/>
                <w:sz w:val="20"/>
              </w:rPr>
            </w:pPr>
            <w:hyperlink r:id="rId50" w:history="1">
              <w:r w:rsidR="00A127CB" w:rsidRPr="00147954">
                <w:rPr>
                  <w:rStyle w:val="Hypertextovprepojenie"/>
                  <w:sz w:val="20"/>
                </w:rPr>
                <w:t>http://www.rokovania.sk/Rokovanie.aspx/BodRokovaniaDetail?idMaterial=23177</w:t>
              </w:r>
            </w:hyperlink>
            <w:r w:rsidR="00A127CB">
              <w:rPr>
                <w:color w:val="000000"/>
                <w:sz w:val="20"/>
              </w:rPr>
              <w:t xml:space="preserve"> </w:t>
            </w:r>
          </w:p>
          <w:p w:rsidR="00A127CB" w:rsidRPr="00B02869" w:rsidRDefault="00A127CB" w:rsidP="00F07429">
            <w:pPr>
              <w:ind w:left="0"/>
              <w:rPr>
                <w:color w:val="000000"/>
                <w:sz w:val="20"/>
              </w:rPr>
            </w:pPr>
            <w:r>
              <w:rPr>
                <w:color w:val="000000"/>
                <w:sz w:val="20"/>
              </w:rPr>
              <w:t>Vláda SR vzala Strategický dokument na vedomie dňa 08.01.2014.</w:t>
            </w:r>
          </w:p>
        </w:tc>
        <w:tc>
          <w:tcPr>
            <w:tcW w:w="2551" w:type="dxa"/>
            <w:vMerge w:val="restart"/>
          </w:tcPr>
          <w:p w:rsidR="00A127CB" w:rsidRPr="00B02869" w:rsidRDefault="00A127CB" w:rsidP="00F07429">
            <w:pPr>
              <w:jc w:val="center"/>
              <w:rPr>
                <w:sz w:val="20"/>
                <w:szCs w:val="20"/>
              </w:rPr>
            </w:pPr>
          </w:p>
        </w:tc>
      </w:tr>
      <w:tr w:rsidR="00A127CB" w:rsidRPr="00B02869" w:rsidTr="00A127CB">
        <w:trPr>
          <w:trHeight w:val="340"/>
          <w:jc w:val="center"/>
        </w:trPr>
        <w:tc>
          <w:tcPr>
            <w:tcW w:w="1681" w:type="dxa"/>
            <w:vMerge w:val="restart"/>
          </w:tcPr>
          <w:p w:rsidR="00A127CB" w:rsidRPr="00B02869" w:rsidRDefault="00A127CB" w:rsidP="00F07429">
            <w:pPr>
              <w:spacing w:before="20" w:after="120"/>
              <w:ind w:left="0"/>
              <w:rPr>
                <w:sz w:val="20"/>
                <w:szCs w:val="20"/>
              </w:rPr>
            </w:pPr>
            <w:r>
              <w:rPr>
                <w:sz w:val="20"/>
                <w:szCs w:val="20"/>
              </w:rPr>
              <w:t>2.2</w:t>
            </w:r>
            <w:r w:rsidRPr="00B02869">
              <w:rPr>
                <w:sz w:val="20"/>
                <w:szCs w:val="20"/>
              </w:rPr>
              <w:t>.</w:t>
            </w:r>
            <w:r>
              <w:t xml:space="preserve"> </w:t>
            </w:r>
            <w:r w:rsidRPr="00A43092">
              <w:rPr>
                <w:sz w:val="20"/>
                <w:szCs w:val="20"/>
              </w:rPr>
              <w:t xml:space="preserve">Infraštruktúra sietí novej generácie (NGN): </w:t>
            </w:r>
            <w:r w:rsidRPr="00A43092">
              <w:rPr>
                <w:sz w:val="20"/>
                <w:szCs w:val="20"/>
              </w:rPr>
              <w:lastRenderedPageBreak/>
              <w:t>existencia národných alebo regionálnych plánov NGN, ktoré zohľadňujú regionálne činnosti s cieľom dosiahnuť ciele Únie týkajúce sa vysokorýchlostného prístupu na internet, zameriavajúc sa na oblasti, kde trh neposkytuje otvorenú infraštruktúru za dostupnú cenu a kvalitu v súlade s pravidlami hospodárskej súťaže a štátnej pomoci v Únii, a poskytovanie dostupných služieb pre zraniteľné skupiny.</w:t>
            </w:r>
          </w:p>
          <w:p w:rsidR="00A127CB" w:rsidRPr="00B02869" w:rsidRDefault="00A127CB" w:rsidP="00F07429">
            <w:pPr>
              <w:spacing w:before="20" w:after="120"/>
              <w:ind w:left="0"/>
              <w:rPr>
                <w:sz w:val="20"/>
                <w:szCs w:val="20"/>
              </w:rPr>
            </w:pPr>
          </w:p>
        </w:tc>
        <w:tc>
          <w:tcPr>
            <w:tcW w:w="1257" w:type="dxa"/>
            <w:vMerge w:val="restart"/>
          </w:tcPr>
          <w:p w:rsidR="00A127CB" w:rsidRPr="00B02869" w:rsidRDefault="00A127CB" w:rsidP="00F07429">
            <w:pPr>
              <w:ind w:left="0"/>
              <w:jc w:val="center"/>
              <w:rPr>
                <w:sz w:val="20"/>
                <w:szCs w:val="20"/>
              </w:rPr>
            </w:pPr>
            <w:r w:rsidRPr="00B02869">
              <w:rPr>
                <w:sz w:val="20"/>
                <w:szCs w:val="20"/>
              </w:rPr>
              <w:lastRenderedPageBreak/>
              <w:t>PO 7</w:t>
            </w:r>
          </w:p>
        </w:tc>
        <w:tc>
          <w:tcPr>
            <w:tcW w:w="1471" w:type="dxa"/>
            <w:vMerge w:val="restart"/>
          </w:tcPr>
          <w:p w:rsidR="00A127CB" w:rsidRPr="00B02869" w:rsidRDefault="00A127CB" w:rsidP="00F07429">
            <w:pPr>
              <w:ind w:left="0"/>
              <w:jc w:val="center"/>
              <w:rPr>
                <w:sz w:val="20"/>
                <w:szCs w:val="20"/>
              </w:rPr>
            </w:pPr>
            <w:r w:rsidRPr="00B02869">
              <w:rPr>
                <w:sz w:val="20"/>
                <w:szCs w:val="20"/>
              </w:rPr>
              <w:t>Áno</w:t>
            </w:r>
          </w:p>
          <w:p w:rsidR="00A127CB" w:rsidRPr="00B02869" w:rsidRDefault="00A127CB" w:rsidP="00F07429">
            <w:pPr>
              <w:ind w:left="0"/>
              <w:jc w:val="center"/>
              <w:rPr>
                <w:sz w:val="20"/>
                <w:szCs w:val="20"/>
              </w:rPr>
            </w:pPr>
          </w:p>
          <w:p w:rsidR="00A127CB" w:rsidRPr="00B02869" w:rsidRDefault="00A127CB" w:rsidP="00F07429">
            <w:pPr>
              <w:ind w:left="0"/>
              <w:jc w:val="center"/>
              <w:rPr>
                <w:sz w:val="20"/>
                <w:szCs w:val="20"/>
              </w:rPr>
            </w:pPr>
          </w:p>
        </w:tc>
        <w:tc>
          <w:tcPr>
            <w:tcW w:w="2268" w:type="dxa"/>
          </w:tcPr>
          <w:p w:rsidR="00A127CB" w:rsidRDefault="00A127CB" w:rsidP="00F07429">
            <w:pPr>
              <w:ind w:left="0"/>
              <w:rPr>
                <w:color w:val="000000"/>
                <w:sz w:val="20"/>
              </w:rPr>
            </w:pPr>
            <w:r w:rsidRPr="007F14F6">
              <w:rPr>
                <w:color w:val="000000"/>
                <w:sz w:val="20"/>
              </w:rPr>
              <w:t>Existuje vnútroštátny a/alebo regionálny plán NG</w:t>
            </w:r>
            <w:r>
              <w:rPr>
                <w:color w:val="000000"/>
                <w:sz w:val="20"/>
              </w:rPr>
              <w:t>N</w:t>
            </w:r>
            <w:r w:rsidRPr="007F14F6">
              <w:rPr>
                <w:color w:val="000000"/>
                <w:sz w:val="20"/>
              </w:rPr>
              <w:t>, ktorý obsahuje:</w:t>
            </w:r>
          </w:p>
          <w:p w:rsidR="00A127CB" w:rsidRPr="00560E77" w:rsidRDefault="00A127CB" w:rsidP="00AB40B4">
            <w:pPr>
              <w:pStyle w:val="Odsekzoznamu"/>
              <w:numPr>
                <w:ilvl w:val="0"/>
                <w:numId w:val="22"/>
              </w:numPr>
              <w:ind w:left="317" w:hanging="283"/>
              <w:jc w:val="both"/>
              <w:rPr>
                <w:sz w:val="20"/>
                <w:szCs w:val="20"/>
              </w:rPr>
            </w:pPr>
            <w:r w:rsidRPr="00560E77">
              <w:rPr>
                <w:color w:val="000000"/>
                <w:sz w:val="20"/>
              </w:rPr>
              <w:t xml:space="preserve">Plán investícií do </w:t>
            </w:r>
            <w:r w:rsidRPr="00560E77">
              <w:rPr>
                <w:color w:val="000000"/>
                <w:sz w:val="20"/>
              </w:rPr>
              <w:lastRenderedPageBreak/>
              <w:t>infraštruktúry založený na ekonomickej analýze s prihliadnutím na existujúcu súkromnú a verejnú infraštruktúru plánované investície</w:t>
            </w:r>
          </w:p>
        </w:tc>
        <w:tc>
          <w:tcPr>
            <w:tcW w:w="1276" w:type="dxa"/>
          </w:tcPr>
          <w:p w:rsidR="00A127CB" w:rsidRPr="00B02869" w:rsidRDefault="00A127CB" w:rsidP="00F07429">
            <w:pPr>
              <w:ind w:left="0"/>
              <w:jc w:val="center"/>
              <w:rPr>
                <w:sz w:val="20"/>
                <w:szCs w:val="20"/>
              </w:rPr>
            </w:pPr>
            <w:r w:rsidRPr="00B02869">
              <w:rPr>
                <w:sz w:val="20"/>
                <w:szCs w:val="20"/>
              </w:rPr>
              <w:lastRenderedPageBreak/>
              <w:t>Áno</w:t>
            </w:r>
          </w:p>
        </w:tc>
        <w:tc>
          <w:tcPr>
            <w:tcW w:w="3969" w:type="dxa"/>
          </w:tcPr>
          <w:p w:rsidR="00A127CB" w:rsidRDefault="00A127CB" w:rsidP="00F07429">
            <w:pPr>
              <w:ind w:left="0"/>
              <w:rPr>
                <w:color w:val="000000"/>
                <w:sz w:val="20"/>
              </w:rPr>
            </w:pPr>
            <w:r w:rsidRPr="00B02869">
              <w:rPr>
                <w:color w:val="000000"/>
                <w:sz w:val="20"/>
              </w:rPr>
              <w:t>Strategický dokument pre oblasť rastu digitálnych služieb a</w:t>
            </w:r>
            <w:r>
              <w:rPr>
                <w:color w:val="000000"/>
                <w:sz w:val="20"/>
              </w:rPr>
              <w:t> </w:t>
            </w:r>
            <w:r w:rsidRPr="00B02869">
              <w:rPr>
                <w:color w:val="000000"/>
                <w:sz w:val="20"/>
              </w:rPr>
              <w:t>oblasť infraštruktúry prístupovej siete novej generácie (2014 – 2020)</w:t>
            </w:r>
          </w:p>
          <w:p w:rsidR="00A127CB" w:rsidRDefault="00B75FBB" w:rsidP="00F07429">
            <w:pPr>
              <w:ind w:left="0"/>
              <w:rPr>
                <w:color w:val="000000"/>
                <w:sz w:val="20"/>
              </w:rPr>
            </w:pPr>
            <w:hyperlink r:id="rId51" w:history="1">
              <w:r w:rsidR="00A127CB" w:rsidRPr="00147954">
                <w:rPr>
                  <w:rStyle w:val="Hypertextovprepojenie"/>
                  <w:sz w:val="20"/>
                </w:rPr>
                <w:t>http://www.rokovania.sk/Rokovanie.aspx/BodRokovaniaDetail?idMaterial=23177</w:t>
              </w:r>
            </w:hyperlink>
          </w:p>
          <w:p w:rsidR="00A127CB" w:rsidRPr="00B02869" w:rsidRDefault="00A127CB" w:rsidP="00F07429">
            <w:pPr>
              <w:ind w:left="0"/>
              <w:rPr>
                <w:color w:val="000000"/>
                <w:sz w:val="20"/>
              </w:rPr>
            </w:pPr>
            <w:r>
              <w:rPr>
                <w:color w:val="000000"/>
                <w:sz w:val="20"/>
              </w:rPr>
              <w:t>Vláda SR vzala Strategický dokument na vedomie dňa 08.01.2014.</w:t>
            </w:r>
          </w:p>
        </w:tc>
        <w:tc>
          <w:tcPr>
            <w:tcW w:w="2551" w:type="dxa"/>
            <w:vMerge/>
          </w:tcPr>
          <w:p w:rsidR="00A127CB" w:rsidRPr="00B02869" w:rsidRDefault="00A127CB" w:rsidP="00F07429">
            <w:pPr>
              <w:jc w:val="center"/>
              <w:rPr>
                <w:sz w:val="20"/>
                <w:szCs w:val="20"/>
              </w:rPr>
            </w:pPr>
          </w:p>
        </w:tc>
      </w:tr>
      <w:tr w:rsidR="00A127CB" w:rsidRPr="00B02869" w:rsidTr="00A127CB">
        <w:trPr>
          <w:trHeight w:val="340"/>
          <w:jc w:val="center"/>
        </w:trPr>
        <w:tc>
          <w:tcPr>
            <w:tcW w:w="1681" w:type="dxa"/>
            <w:vMerge/>
          </w:tcPr>
          <w:p w:rsidR="00A127CB" w:rsidRPr="00B02869" w:rsidRDefault="00A127CB" w:rsidP="00F07429">
            <w:pPr>
              <w:spacing w:before="20" w:after="120"/>
              <w:ind w:left="0"/>
              <w:rPr>
                <w:sz w:val="20"/>
                <w:szCs w:val="20"/>
              </w:rPr>
            </w:pPr>
          </w:p>
        </w:tc>
        <w:tc>
          <w:tcPr>
            <w:tcW w:w="1257" w:type="dxa"/>
            <w:vMerge/>
          </w:tcPr>
          <w:p w:rsidR="00A127CB" w:rsidRPr="00B02869" w:rsidRDefault="00A127CB" w:rsidP="00F07429">
            <w:pPr>
              <w:ind w:left="0"/>
              <w:jc w:val="center"/>
              <w:rPr>
                <w:sz w:val="20"/>
                <w:szCs w:val="20"/>
              </w:rPr>
            </w:pPr>
          </w:p>
        </w:tc>
        <w:tc>
          <w:tcPr>
            <w:tcW w:w="1471" w:type="dxa"/>
            <w:vMerge/>
          </w:tcPr>
          <w:p w:rsidR="00A127CB" w:rsidRPr="00B02869" w:rsidRDefault="00A127CB" w:rsidP="00F07429">
            <w:pPr>
              <w:ind w:left="0"/>
              <w:jc w:val="center"/>
              <w:rPr>
                <w:sz w:val="20"/>
                <w:szCs w:val="20"/>
              </w:rPr>
            </w:pPr>
          </w:p>
        </w:tc>
        <w:tc>
          <w:tcPr>
            <w:tcW w:w="2268" w:type="dxa"/>
          </w:tcPr>
          <w:p w:rsidR="00A127CB" w:rsidRPr="00560E77" w:rsidRDefault="00A127CB" w:rsidP="00AB40B4">
            <w:pPr>
              <w:pStyle w:val="Odsekzoznamu"/>
              <w:numPr>
                <w:ilvl w:val="0"/>
                <w:numId w:val="22"/>
              </w:numPr>
              <w:ind w:left="317" w:hanging="283"/>
              <w:jc w:val="both"/>
              <w:rPr>
                <w:sz w:val="20"/>
                <w:szCs w:val="20"/>
              </w:rPr>
            </w:pPr>
            <w:r w:rsidRPr="00560E77">
              <w:rPr>
                <w:color w:val="000000"/>
                <w:sz w:val="20"/>
              </w:rPr>
              <w:t>udržateľné investičné modely podporujúce hospodársku súťaž a poskytujúce prístup k otvoreným, finančne dostupným, kvalitným a nadčasovým službám a infraštruktúre</w:t>
            </w:r>
          </w:p>
        </w:tc>
        <w:tc>
          <w:tcPr>
            <w:tcW w:w="1276" w:type="dxa"/>
          </w:tcPr>
          <w:p w:rsidR="00A127CB" w:rsidRPr="00B02869" w:rsidRDefault="00A127CB" w:rsidP="00F07429">
            <w:pPr>
              <w:ind w:left="0"/>
              <w:jc w:val="center"/>
              <w:rPr>
                <w:sz w:val="20"/>
                <w:szCs w:val="20"/>
              </w:rPr>
            </w:pPr>
            <w:r w:rsidRPr="00B02869">
              <w:rPr>
                <w:sz w:val="20"/>
                <w:szCs w:val="20"/>
              </w:rPr>
              <w:t>Áno</w:t>
            </w:r>
          </w:p>
        </w:tc>
        <w:tc>
          <w:tcPr>
            <w:tcW w:w="3969" w:type="dxa"/>
          </w:tcPr>
          <w:p w:rsidR="00A127CB" w:rsidRDefault="00A127CB" w:rsidP="00F07429">
            <w:pPr>
              <w:ind w:left="0"/>
              <w:rPr>
                <w:color w:val="000000"/>
                <w:sz w:val="20"/>
              </w:rPr>
            </w:pPr>
            <w:r w:rsidRPr="00B02869">
              <w:rPr>
                <w:color w:val="000000"/>
                <w:sz w:val="20"/>
              </w:rPr>
              <w:t>Strategický dokument pre oblasť rastu digitálnych služieb a</w:t>
            </w:r>
            <w:r>
              <w:rPr>
                <w:color w:val="000000"/>
                <w:sz w:val="20"/>
              </w:rPr>
              <w:t> </w:t>
            </w:r>
            <w:r w:rsidRPr="00B02869">
              <w:rPr>
                <w:color w:val="000000"/>
                <w:sz w:val="20"/>
              </w:rPr>
              <w:t>oblasť infraštruktúry prístupovej siete novej generácie (2014 – 2020)</w:t>
            </w:r>
          </w:p>
          <w:p w:rsidR="00A127CB" w:rsidRDefault="00B75FBB" w:rsidP="00F07429">
            <w:pPr>
              <w:ind w:left="0"/>
              <w:rPr>
                <w:color w:val="000000"/>
                <w:sz w:val="20"/>
              </w:rPr>
            </w:pPr>
            <w:hyperlink r:id="rId52" w:history="1">
              <w:r w:rsidR="00A127CB" w:rsidRPr="00147954">
                <w:rPr>
                  <w:rStyle w:val="Hypertextovprepojenie"/>
                  <w:sz w:val="20"/>
                </w:rPr>
                <w:t>http://www.rokovania.sk/Rokovanie.aspx/BodRokovaniaDetail?idMaterial=23177</w:t>
              </w:r>
            </w:hyperlink>
          </w:p>
          <w:p w:rsidR="00A127CB" w:rsidRPr="00B02869" w:rsidRDefault="00A127CB" w:rsidP="00F07429">
            <w:pPr>
              <w:ind w:left="0"/>
              <w:rPr>
                <w:color w:val="000000"/>
                <w:sz w:val="20"/>
              </w:rPr>
            </w:pPr>
            <w:r>
              <w:rPr>
                <w:color w:val="000000"/>
                <w:sz w:val="20"/>
              </w:rPr>
              <w:t>Vláda SR vzala Strategický dokument na vedomie dňa 08.01.2014.</w:t>
            </w:r>
          </w:p>
        </w:tc>
        <w:tc>
          <w:tcPr>
            <w:tcW w:w="2551" w:type="dxa"/>
          </w:tcPr>
          <w:p w:rsidR="00A127CB" w:rsidRPr="00B02869" w:rsidRDefault="00A127CB" w:rsidP="00F07429">
            <w:pPr>
              <w:ind w:left="0"/>
              <w:jc w:val="center"/>
              <w:rPr>
                <w:sz w:val="20"/>
                <w:szCs w:val="20"/>
              </w:rPr>
            </w:pPr>
          </w:p>
        </w:tc>
      </w:tr>
      <w:tr w:rsidR="00A127CB" w:rsidRPr="00B02869" w:rsidTr="00A127CB">
        <w:trPr>
          <w:trHeight w:val="340"/>
          <w:jc w:val="center"/>
        </w:trPr>
        <w:tc>
          <w:tcPr>
            <w:tcW w:w="1681" w:type="dxa"/>
            <w:vMerge/>
          </w:tcPr>
          <w:p w:rsidR="00A127CB" w:rsidRPr="00B02869" w:rsidRDefault="00A127CB" w:rsidP="00F07429">
            <w:pPr>
              <w:spacing w:before="20" w:after="120"/>
              <w:ind w:left="0"/>
              <w:rPr>
                <w:sz w:val="20"/>
                <w:szCs w:val="20"/>
              </w:rPr>
            </w:pPr>
          </w:p>
        </w:tc>
        <w:tc>
          <w:tcPr>
            <w:tcW w:w="1257" w:type="dxa"/>
            <w:vMerge/>
          </w:tcPr>
          <w:p w:rsidR="00A127CB" w:rsidRPr="00B02869" w:rsidRDefault="00A127CB" w:rsidP="00F07429">
            <w:pPr>
              <w:ind w:left="0"/>
              <w:jc w:val="center"/>
              <w:rPr>
                <w:sz w:val="20"/>
                <w:szCs w:val="20"/>
              </w:rPr>
            </w:pPr>
          </w:p>
        </w:tc>
        <w:tc>
          <w:tcPr>
            <w:tcW w:w="1471" w:type="dxa"/>
            <w:vMerge/>
          </w:tcPr>
          <w:p w:rsidR="00A127CB" w:rsidRPr="00B02869" w:rsidRDefault="00A127CB" w:rsidP="00F07429">
            <w:pPr>
              <w:ind w:left="0"/>
              <w:jc w:val="center"/>
              <w:rPr>
                <w:sz w:val="20"/>
                <w:szCs w:val="20"/>
              </w:rPr>
            </w:pPr>
          </w:p>
        </w:tc>
        <w:tc>
          <w:tcPr>
            <w:tcW w:w="2268" w:type="dxa"/>
          </w:tcPr>
          <w:p w:rsidR="00A127CB" w:rsidRPr="00560E77" w:rsidRDefault="00A127CB" w:rsidP="00F07429">
            <w:pPr>
              <w:ind w:left="317" w:hanging="317"/>
              <w:rPr>
                <w:sz w:val="20"/>
                <w:szCs w:val="20"/>
              </w:rPr>
            </w:pPr>
            <w:r w:rsidRPr="00560E77">
              <w:rPr>
                <w:sz w:val="20"/>
                <w:szCs w:val="20"/>
              </w:rPr>
              <w:t xml:space="preserve">- </w:t>
            </w:r>
            <w:r>
              <w:rPr>
                <w:sz w:val="20"/>
                <w:szCs w:val="20"/>
              </w:rPr>
              <w:t xml:space="preserve">   </w:t>
            </w:r>
            <w:r w:rsidRPr="00560E77">
              <w:rPr>
                <w:sz w:val="20"/>
                <w:szCs w:val="20"/>
              </w:rPr>
              <w:t xml:space="preserve">opatrenia na podporu </w:t>
            </w:r>
            <w:r>
              <w:rPr>
                <w:sz w:val="20"/>
                <w:szCs w:val="20"/>
              </w:rPr>
              <w:t xml:space="preserve">       </w:t>
            </w:r>
            <w:r w:rsidRPr="00560E77">
              <w:rPr>
                <w:sz w:val="20"/>
                <w:szCs w:val="20"/>
              </w:rPr>
              <w:t>súkromných investícií</w:t>
            </w:r>
          </w:p>
        </w:tc>
        <w:tc>
          <w:tcPr>
            <w:tcW w:w="1276" w:type="dxa"/>
          </w:tcPr>
          <w:p w:rsidR="00A127CB" w:rsidRPr="00B02869" w:rsidRDefault="00A127CB" w:rsidP="00F07429">
            <w:pPr>
              <w:ind w:left="0"/>
              <w:jc w:val="center"/>
              <w:rPr>
                <w:sz w:val="20"/>
                <w:szCs w:val="20"/>
              </w:rPr>
            </w:pPr>
            <w:r w:rsidRPr="00B02869">
              <w:rPr>
                <w:sz w:val="20"/>
                <w:szCs w:val="20"/>
              </w:rPr>
              <w:t>Áno</w:t>
            </w:r>
          </w:p>
        </w:tc>
        <w:tc>
          <w:tcPr>
            <w:tcW w:w="3969" w:type="dxa"/>
          </w:tcPr>
          <w:p w:rsidR="00A127CB" w:rsidRDefault="00A127CB" w:rsidP="00F07429">
            <w:pPr>
              <w:ind w:left="0"/>
              <w:rPr>
                <w:color w:val="000000"/>
                <w:sz w:val="20"/>
              </w:rPr>
            </w:pPr>
            <w:r w:rsidRPr="00B02869">
              <w:rPr>
                <w:color w:val="000000"/>
                <w:sz w:val="20"/>
              </w:rPr>
              <w:t>Strategický dokument pre oblasť rastu digitálnych služieb a</w:t>
            </w:r>
            <w:r>
              <w:rPr>
                <w:color w:val="000000"/>
                <w:sz w:val="20"/>
              </w:rPr>
              <w:t> </w:t>
            </w:r>
            <w:r w:rsidRPr="00B02869">
              <w:rPr>
                <w:color w:val="000000"/>
                <w:sz w:val="20"/>
              </w:rPr>
              <w:t>oblasť infraštruktúry prístupovej siete novej generácie (2014 – 2020)</w:t>
            </w:r>
          </w:p>
          <w:p w:rsidR="00A127CB" w:rsidRDefault="00B75FBB" w:rsidP="00F07429">
            <w:pPr>
              <w:ind w:left="0"/>
              <w:rPr>
                <w:color w:val="000000"/>
                <w:sz w:val="20"/>
              </w:rPr>
            </w:pPr>
            <w:hyperlink r:id="rId53" w:history="1">
              <w:r w:rsidR="00A127CB" w:rsidRPr="00147954">
                <w:rPr>
                  <w:rStyle w:val="Hypertextovprepojenie"/>
                  <w:sz w:val="20"/>
                </w:rPr>
                <w:t>http://www.rokovania.sk/Rokovanie.aspx/BodRokovaniaDetail?idMaterial=23177</w:t>
              </w:r>
            </w:hyperlink>
          </w:p>
          <w:p w:rsidR="00A127CB" w:rsidRPr="00B02869" w:rsidRDefault="00A127CB" w:rsidP="00F07429">
            <w:pPr>
              <w:ind w:left="0"/>
              <w:rPr>
                <w:color w:val="000000"/>
                <w:sz w:val="20"/>
              </w:rPr>
            </w:pPr>
            <w:r>
              <w:rPr>
                <w:color w:val="000000"/>
                <w:sz w:val="20"/>
              </w:rPr>
              <w:t>Vláda SR vzala Strategický dokument na vedomie dňa 08.01.2014.</w:t>
            </w:r>
          </w:p>
        </w:tc>
        <w:tc>
          <w:tcPr>
            <w:tcW w:w="2551" w:type="dxa"/>
          </w:tcPr>
          <w:p w:rsidR="00A127CB" w:rsidRPr="00B02869" w:rsidRDefault="00A127CB" w:rsidP="00F07429">
            <w:pPr>
              <w:ind w:left="0"/>
              <w:jc w:val="center"/>
              <w:rPr>
                <w:sz w:val="20"/>
                <w:szCs w:val="20"/>
              </w:rPr>
            </w:pPr>
          </w:p>
        </w:tc>
      </w:tr>
    </w:tbl>
    <w:p w:rsidR="00497BCE" w:rsidRDefault="00497BCE"/>
    <w:p w:rsidR="00497BCE" w:rsidRDefault="00497BCE"/>
    <w:p w:rsidR="00497BCE" w:rsidRDefault="00497BCE"/>
    <w:p w:rsidR="00DA68A9" w:rsidRDefault="00DA68A9"/>
    <w:p w:rsidR="00497BCE" w:rsidRPr="00497BCE" w:rsidRDefault="00497BCE" w:rsidP="00497BCE">
      <w:pPr>
        <w:pStyle w:val="Tab"/>
        <w:rPr>
          <w:b/>
          <w:i/>
        </w:rPr>
      </w:pPr>
      <w:r>
        <w:lastRenderedPageBreak/>
        <w:t>Identifikácia všeobecných</w:t>
      </w:r>
      <w:r w:rsidRPr="001A49CC">
        <w:t xml:space="preserve"> ex ante kondicionalít a vyhodnotenie ich plnenia</w:t>
      </w:r>
    </w:p>
    <w:tbl>
      <w:tblPr>
        <w:tblStyle w:val="Mriekatabuky"/>
        <w:tblW w:w="1444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tblPr>
      <w:tblGrid>
        <w:gridCol w:w="1677"/>
        <w:gridCol w:w="1272"/>
        <w:gridCol w:w="1445"/>
        <w:gridCol w:w="2260"/>
        <w:gridCol w:w="1257"/>
        <w:gridCol w:w="3977"/>
        <w:gridCol w:w="2557"/>
      </w:tblGrid>
      <w:tr w:rsidR="00497BCE" w:rsidRPr="003F7110" w:rsidTr="00A127CB">
        <w:trPr>
          <w:trHeight w:val="340"/>
          <w:jc w:val="center"/>
        </w:trPr>
        <w:tc>
          <w:tcPr>
            <w:tcW w:w="1677" w:type="dxa"/>
            <w:shd w:val="clear" w:color="auto" w:fill="C6D9F1" w:themeFill="text2" w:themeFillTint="33"/>
            <w:vAlign w:val="center"/>
          </w:tcPr>
          <w:p w:rsidR="00497BCE" w:rsidRPr="003F7110" w:rsidRDefault="00497BCE" w:rsidP="00497BCE">
            <w:pPr>
              <w:ind w:left="0"/>
              <w:jc w:val="center"/>
              <w:rPr>
                <w:sz w:val="20"/>
                <w:szCs w:val="20"/>
              </w:rPr>
            </w:pPr>
            <w:r w:rsidRPr="003F7110">
              <w:rPr>
                <w:sz w:val="20"/>
                <w:szCs w:val="20"/>
              </w:rPr>
              <w:t>Ex ante kondicionalita</w:t>
            </w:r>
          </w:p>
        </w:tc>
        <w:tc>
          <w:tcPr>
            <w:tcW w:w="1272" w:type="dxa"/>
            <w:shd w:val="clear" w:color="auto" w:fill="C6D9F1" w:themeFill="text2" w:themeFillTint="33"/>
            <w:vAlign w:val="center"/>
          </w:tcPr>
          <w:p w:rsidR="00497BCE" w:rsidRPr="003F7110" w:rsidRDefault="00497BCE" w:rsidP="00497BCE">
            <w:pPr>
              <w:ind w:left="0"/>
              <w:jc w:val="center"/>
              <w:rPr>
                <w:sz w:val="20"/>
                <w:szCs w:val="20"/>
              </w:rPr>
            </w:pPr>
            <w:r w:rsidRPr="003F7110">
              <w:rPr>
                <w:sz w:val="20"/>
                <w:szCs w:val="20"/>
              </w:rPr>
              <w:t xml:space="preserve">Prioritná os </w:t>
            </w:r>
          </w:p>
        </w:tc>
        <w:tc>
          <w:tcPr>
            <w:tcW w:w="1445" w:type="dxa"/>
            <w:shd w:val="clear" w:color="auto" w:fill="C6D9F1" w:themeFill="text2" w:themeFillTint="33"/>
            <w:vAlign w:val="center"/>
          </w:tcPr>
          <w:p w:rsidR="00497BCE" w:rsidRPr="003F7110" w:rsidRDefault="00497BCE" w:rsidP="00497BCE">
            <w:pPr>
              <w:ind w:left="0"/>
              <w:jc w:val="center"/>
              <w:rPr>
                <w:sz w:val="20"/>
                <w:szCs w:val="20"/>
              </w:rPr>
            </w:pPr>
            <w:r w:rsidRPr="003F7110">
              <w:rPr>
                <w:sz w:val="20"/>
                <w:szCs w:val="20"/>
              </w:rPr>
              <w:t>Splnenie ex ante kondicionality Áno/Nie/Čiastočne</w:t>
            </w:r>
          </w:p>
        </w:tc>
        <w:tc>
          <w:tcPr>
            <w:tcW w:w="2260" w:type="dxa"/>
            <w:shd w:val="clear" w:color="auto" w:fill="C6D9F1" w:themeFill="text2" w:themeFillTint="33"/>
            <w:vAlign w:val="center"/>
          </w:tcPr>
          <w:p w:rsidR="00497BCE" w:rsidRPr="003F7110" w:rsidRDefault="00497BCE" w:rsidP="00497BCE">
            <w:pPr>
              <w:ind w:left="0"/>
              <w:jc w:val="center"/>
              <w:rPr>
                <w:sz w:val="20"/>
                <w:szCs w:val="20"/>
              </w:rPr>
            </w:pPr>
            <w:r w:rsidRPr="003F7110">
              <w:rPr>
                <w:sz w:val="20"/>
                <w:szCs w:val="20"/>
              </w:rPr>
              <w:t>Kritériá</w:t>
            </w:r>
          </w:p>
        </w:tc>
        <w:tc>
          <w:tcPr>
            <w:tcW w:w="1257" w:type="dxa"/>
            <w:shd w:val="clear" w:color="auto" w:fill="C6D9F1" w:themeFill="text2" w:themeFillTint="33"/>
            <w:vAlign w:val="center"/>
          </w:tcPr>
          <w:p w:rsidR="00497BCE" w:rsidRPr="003F7110" w:rsidRDefault="00497BCE" w:rsidP="00497BCE">
            <w:pPr>
              <w:ind w:left="0"/>
              <w:jc w:val="center"/>
              <w:rPr>
                <w:sz w:val="20"/>
                <w:szCs w:val="20"/>
              </w:rPr>
            </w:pPr>
            <w:r w:rsidRPr="003F7110">
              <w:rPr>
                <w:sz w:val="20"/>
                <w:szCs w:val="20"/>
              </w:rPr>
              <w:t>Splnenie kritérií Áno/Nie</w:t>
            </w:r>
          </w:p>
        </w:tc>
        <w:tc>
          <w:tcPr>
            <w:tcW w:w="3977" w:type="dxa"/>
            <w:shd w:val="clear" w:color="auto" w:fill="C6D9F1" w:themeFill="text2" w:themeFillTint="33"/>
            <w:vAlign w:val="center"/>
          </w:tcPr>
          <w:p w:rsidR="00497BCE" w:rsidRPr="003F7110" w:rsidRDefault="00497BCE" w:rsidP="00497BCE">
            <w:pPr>
              <w:ind w:left="0"/>
              <w:jc w:val="center"/>
              <w:rPr>
                <w:sz w:val="20"/>
                <w:szCs w:val="20"/>
              </w:rPr>
            </w:pPr>
            <w:r w:rsidRPr="003F7110">
              <w:rPr>
                <w:sz w:val="20"/>
                <w:szCs w:val="20"/>
              </w:rPr>
              <w:t>Odkaz (odkaz na stratégie, právny akt alebo iné relevantné dokumenty, vrátane odkazov na príslušné časti, články alebo odseky, doplnené spojeniami na internetové stránky, alebo prístupom k úplnému textu)</w:t>
            </w:r>
          </w:p>
        </w:tc>
        <w:tc>
          <w:tcPr>
            <w:tcW w:w="2557" w:type="dxa"/>
            <w:shd w:val="clear" w:color="auto" w:fill="C6D9F1" w:themeFill="text2" w:themeFillTint="33"/>
            <w:vAlign w:val="center"/>
          </w:tcPr>
          <w:p w:rsidR="00497BCE" w:rsidRPr="003F7110" w:rsidRDefault="00497BCE" w:rsidP="00497BCE">
            <w:pPr>
              <w:ind w:left="0"/>
              <w:jc w:val="center"/>
              <w:rPr>
                <w:sz w:val="20"/>
                <w:szCs w:val="20"/>
              </w:rPr>
            </w:pPr>
            <w:r w:rsidRPr="003F7110">
              <w:rPr>
                <w:sz w:val="20"/>
                <w:szCs w:val="20"/>
              </w:rPr>
              <w:t>Vysvetlenia</w:t>
            </w:r>
          </w:p>
        </w:tc>
      </w:tr>
      <w:tr w:rsidR="00497BCE" w:rsidRPr="00A11060" w:rsidTr="00A127CB">
        <w:tblPrEx>
          <w:jc w:val="left"/>
        </w:tblPrEx>
        <w:trPr>
          <w:trHeight w:val="340"/>
        </w:trPr>
        <w:tc>
          <w:tcPr>
            <w:tcW w:w="1677" w:type="dxa"/>
            <w:vMerge w:val="restart"/>
          </w:tcPr>
          <w:p w:rsidR="00497BCE" w:rsidRPr="00566720" w:rsidRDefault="00497BCE" w:rsidP="00497BCE">
            <w:pPr>
              <w:ind w:left="0"/>
              <w:rPr>
                <w:sz w:val="20"/>
                <w:szCs w:val="20"/>
              </w:rPr>
            </w:pPr>
            <w:r>
              <w:rPr>
                <w:sz w:val="20"/>
                <w:szCs w:val="20"/>
              </w:rPr>
              <w:t>Existencia pravidiel na efektívne uplatňovanie práva Únie o štátnej pomoci v oblasti EŠIF.</w:t>
            </w:r>
          </w:p>
        </w:tc>
        <w:tc>
          <w:tcPr>
            <w:tcW w:w="1272" w:type="dxa"/>
            <w:vMerge w:val="restart"/>
          </w:tcPr>
          <w:p w:rsidR="00497BCE" w:rsidRDefault="00BE7663" w:rsidP="00A76014">
            <w:pPr>
              <w:ind w:left="0"/>
              <w:jc w:val="center"/>
              <w:rPr>
                <w:sz w:val="20"/>
                <w:szCs w:val="20"/>
              </w:rPr>
            </w:pPr>
            <w:r>
              <w:rPr>
                <w:sz w:val="20"/>
                <w:szCs w:val="20"/>
              </w:rPr>
              <w:t xml:space="preserve">PO1, PO3, PO4, PO5 a </w:t>
            </w:r>
            <w:r w:rsidR="00497BCE">
              <w:rPr>
                <w:sz w:val="20"/>
                <w:szCs w:val="20"/>
              </w:rPr>
              <w:t>PO7</w:t>
            </w:r>
            <w:r>
              <w:rPr>
                <w:sz w:val="20"/>
                <w:szCs w:val="20"/>
              </w:rPr>
              <w:t>.</w:t>
            </w:r>
            <w:r w:rsidR="00497BCE">
              <w:rPr>
                <w:sz w:val="20"/>
                <w:szCs w:val="20"/>
              </w:rPr>
              <w:t xml:space="preserve"> </w:t>
            </w:r>
          </w:p>
        </w:tc>
        <w:tc>
          <w:tcPr>
            <w:tcW w:w="1445" w:type="dxa"/>
            <w:vMerge w:val="restart"/>
          </w:tcPr>
          <w:p w:rsidR="00497BCE" w:rsidRPr="00A11060" w:rsidRDefault="00497BCE" w:rsidP="00497BCE">
            <w:pPr>
              <w:ind w:left="0"/>
              <w:jc w:val="center"/>
              <w:rPr>
                <w:color w:val="000000" w:themeColor="text1"/>
                <w:sz w:val="20"/>
                <w:szCs w:val="20"/>
              </w:rPr>
            </w:pPr>
            <w:r w:rsidRPr="00A11060">
              <w:rPr>
                <w:b/>
                <w:color w:val="000000" w:themeColor="text1"/>
                <w:sz w:val="20"/>
                <w:szCs w:val="20"/>
              </w:rPr>
              <w:t>Čiastočne</w:t>
            </w:r>
          </w:p>
        </w:tc>
        <w:tc>
          <w:tcPr>
            <w:tcW w:w="2260" w:type="dxa"/>
          </w:tcPr>
          <w:p w:rsidR="00497BCE" w:rsidRPr="00A11060" w:rsidRDefault="00497BCE" w:rsidP="00497BCE">
            <w:pPr>
              <w:ind w:left="0"/>
              <w:rPr>
                <w:color w:val="000000" w:themeColor="text1"/>
                <w:sz w:val="20"/>
                <w:szCs w:val="20"/>
              </w:rPr>
            </w:pPr>
            <w:r>
              <w:rPr>
                <w:color w:val="000000" w:themeColor="text1"/>
                <w:sz w:val="20"/>
                <w:szCs w:val="20"/>
              </w:rPr>
              <w:t>Opatrenia na zabezpečenie účinného uplatňovania pravidiel Únie o štátnej pomoci.</w:t>
            </w:r>
          </w:p>
        </w:tc>
        <w:tc>
          <w:tcPr>
            <w:tcW w:w="1257" w:type="dxa"/>
          </w:tcPr>
          <w:p w:rsidR="00497BCE" w:rsidRPr="00A11060" w:rsidRDefault="00497BCE" w:rsidP="00497BCE">
            <w:pPr>
              <w:ind w:left="0"/>
              <w:jc w:val="center"/>
              <w:rPr>
                <w:color w:val="000000" w:themeColor="text1"/>
                <w:sz w:val="20"/>
                <w:szCs w:val="20"/>
              </w:rPr>
            </w:pPr>
            <w:r w:rsidRPr="00A11060">
              <w:rPr>
                <w:b/>
                <w:color w:val="000000" w:themeColor="text1"/>
                <w:sz w:val="20"/>
                <w:szCs w:val="20"/>
              </w:rPr>
              <w:t>ÁNO</w:t>
            </w:r>
          </w:p>
        </w:tc>
        <w:tc>
          <w:tcPr>
            <w:tcW w:w="3977" w:type="dxa"/>
          </w:tcPr>
          <w:p w:rsidR="00497BCE" w:rsidRPr="00A11060" w:rsidRDefault="00497BCE" w:rsidP="00497BCE">
            <w:pPr>
              <w:ind w:left="0"/>
              <w:jc w:val="center"/>
              <w:rPr>
                <w:color w:val="000000" w:themeColor="text1"/>
                <w:sz w:val="20"/>
              </w:rPr>
            </w:pPr>
          </w:p>
        </w:tc>
        <w:tc>
          <w:tcPr>
            <w:tcW w:w="2557" w:type="dxa"/>
          </w:tcPr>
          <w:p w:rsidR="00497BCE" w:rsidRPr="00A11060" w:rsidRDefault="00497BCE" w:rsidP="00854A84">
            <w:pPr>
              <w:ind w:left="0"/>
              <w:rPr>
                <w:color w:val="000000" w:themeColor="text1"/>
                <w:sz w:val="20"/>
                <w:szCs w:val="20"/>
              </w:rPr>
            </w:pPr>
            <w:r w:rsidRPr="00A11060">
              <w:rPr>
                <w:color w:val="000000" w:themeColor="text1"/>
                <w:sz w:val="20"/>
                <w:szCs w:val="20"/>
              </w:rPr>
              <w:t>RO OP II plánuje pri riešení činností súvisiacich s</w:t>
            </w:r>
          </w:p>
          <w:p w:rsidR="00497BCE" w:rsidRPr="00A11060" w:rsidRDefault="00497BCE" w:rsidP="00854A84">
            <w:pPr>
              <w:ind w:left="0"/>
              <w:rPr>
                <w:color w:val="000000" w:themeColor="text1"/>
                <w:sz w:val="20"/>
                <w:szCs w:val="20"/>
              </w:rPr>
            </w:pPr>
            <w:r w:rsidRPr="00A11060">
              <w:rPr>
                <w:color w:val="000000" w:themeColor="text1"/>
                <w:sz w:val="20"/>
                <w:szCs w:val="20"/>
              </w:rPr>
              <w:t>aplikáciou článku 107 Zmluvy o</w:t>
            </w:r>
            <w:r>
              <w:rPr>
                <w:color w:val="000000" w:themeColor="text1"/>
                <w:sz w:val="20"/>
                <w:szCs w:val="20"/>
              </w:rPr>
              <w:t> </w:t>
            </w:r>
            <w:r w:rsidRPr="00A11060">
              <w:rPr>
                <w:color w:val="000000" w:themeColor="text1"/>
                <w:sz w:val="20"/>
                <w:szCs w:val="20"/>
              </w:rPr>
              <w:t>fungovaní EÚ</w:t>
            </w:r>
          </w:p>
          <w:p w:rsidR="00497BCE" w:rsidRDefault="00497BCE" w:rsidP="00854A84">
            <w:pPr>
              <w:ind w:left="0"/>
              <w:rPr>
                <w:color w:val="000000" w:themeColor="text1"/>
                <w:sz w:val="20"/>
                <w:szCs w:val="20"/>
              </w:rPr>
            </w:pPr>
            <w:r w:rsidRPr="00A11060">
              <w:rPr>
                <w:color w:val="000000" w:themeColor="text1"/>
                <w:sz w:val="20"/>
                <w:szCs w:val="20"/>
              </w:rPr>
              <w:t>naďalej úzko spolupracovať s</w:t>
            </w:r>
            <w:r>
              <w:rPr>
                <w:color w:val="000000" w:themeColor="text1"/>
                <w:sz w:val="20"/>
                <w:szCs w:val="20"/>
              </w:rPr>
              <w:t> </w:t>
            </w:r>
            <w:r w:rsidRPr="00A11060">
              <w:rPr>
                <w:color w:val="000000" w:themeColor="text1"/>
                <w:sz w:val="20"/>
                <w:szCs w:val="20"/>
              </w:rPr>
              <w:t>MF SR ako gestorom pre štátnu pomoc.</w:t>
            </w:r>
          </w:p>
          <w:p w:rsidR="00854A84" w:rsidRPr="00854A84" w:rsidRDefault="00A069D9" w:rsidP="00854A84">
            <w:pPr>
              <w:spacing w:before="60"/>
              <w:ind w:left="0"/>
              <w:rPr>
                <w:sz w:val="20"/>
                <w:szCs w:val="20"/>
              </w:rPr>
            </w:pPr>
            <w:r>
              <w:rPr>
                <w:color w:val="000000" w:themeColor="text1"/>
                <w:sz w:val="20"/>
                <w:szCs w:val="20"/>
              </w:rPr>
              <w:t>RO OPII predpokladá poskytnutie štátnej</w:t>
            </w:r>
            <w:r w:rsidR="00854A84">
              <w:rPr>
                <w:color w:val="000000" w:themeColor="text1"/>
                <w:sz w:val="20"/>
                <w:szCs w:val="20"/>
              </w:rPr>
              <w:t xml:space="preserve"> pomoc</w:t>
            </w:r>
            <w:r>
              <w:rPr>
                <w:color w:val="000000" w:themeColor="text1"/>
                <w:sz w:val="20"/>
                <w:szCs w:val="20"/>
              </w:rPr>
              <w:t>i</w:t>
            </w:r>
            <w:r w:rsidR="00854A84">
              <w:rPr>
                <w:color w:val="000000" w:themeColor="text1"/>
                <w:sz w:val="20"/>
                <w:szCs w:val="20"/>
              </w:rPr>
              <w:t xml:space="preserve"> na oprávnené aktivity v rámci </w:t>
            </w:r>
            <w:r w:rsidR="00BE7663">
              <w:rPr>
                <w:sz w:val="20"/>
                <w:szCs w:val="20"/>
              </w:rPr>
              <w:t>PO</w:t>
            </w:r>
            <w:r w:rsidR="00854A84">
              <w:rPr>
                <w:sz w:val="20"/>
                <w:szCs w:val="20"/>
              </w:rPr>
              <w:t>1 (investičná priorita 7a a 7d), PO</w:t>
            </w:r>
            <w:r w:rsidR="00BE7663">
              <w:rPr>
                <w:sz w:val="20"/>
                <w:szCs w:val="20"/>
              </w:rPr>
              <w:t>3 (investičná priorita 7c), PO4 (investičná priorita 7a), PO5 (investičná priorita 7</w:t>
            </w:r>
            <w:r w:rsidR="00854A84">
              <w:rPr>
                <w:sz w:val="20"/>
                <w:szCs w:val="20"/>
              </w:rPr>
              <w:t>d)</w:t>
            </w:r>
            <w:r w:rsidR="00BE7663">
              <w:rPr>
                <w:sz w:val="20"/>
                <w:szCs w:val="20"/>
              </w:rPr>
              <w:t xml:space="preserve"> a PO7 (investičná priorita 2a)</w:t>
            </w:r>
          </w:p>
        </w:tc>
      </w:tr>
      <w:tr w:rsidR="00497BCE" w:rsidRPr="00A11060" w:rsidTr="00A127CB">
        <w:tblPrEx>
          <w:jc w:val="left"/>
        </w:tblPrEx>
        <w:trPr>
          <w:trHeight w:val="340"/>
        </w:trPr>
        <w:tc>
          <w:tcPr>
            <w:tcW w:w="1677" w:type="dxa"/>
            <w:vMerge/>
          </w:tcPr>
          <w:p w:rsidR="00497BCE" w:rsidRDefault="00497BCE" w:rsidP="00497BCE">
            <w:pPr>
              <w:rPr>
                <w:sz w:val="20"/>
                <w:szCs w:val="20"/>
              </w:rPr>
            </w:pPr>
          </w:p>
        </w:tc>
        <w:tc>
          <w:tcPr>
            <w:tcW w:w="1272" w:type="dxa"/>
            <w:vMerge/>
          </w:tcPr>
          <w:p w:rsidR="00497BCE" w:rsidRDefault="00497BCE" w:rsidP="00497BCE">
            <w:pPr>
              <w:jc w:val="center"/>
              <w:rPr>
                <w:sz w:val="20"/>
                <w:szCs w:val="20"/>
              </w:rPr>
            </w:pPr>
          </w:p>
        </w:tc>
        <w:tc>
          <w:tcPr>
            <w:tcW w:w="1445" w:type="dxa"/>
            <w:vMerge/>
          </w:tcPr>
          <w:p w:rsidR="00497BCE" w:rsidRPr="00A11060" w:rsidRDefault="00497BCE" w:rsidP="00497BCE">
            <w:pPr>
              <w:rPr>
                <w:color w:val="000000" w:themeColor="text1"/>
                <w:sz w:val="20"/>
                <w:szCs w:val="20"/>
              </w:rPr>
            </w:pPr>
          </w:p>
        </w:tc>
        <w:tc>
          <w:tcPr>
            <w:tcW w:w="2260" w:type="dxa"/>
          </w:tcPr>
          <w:p w:rsidR="00497BCE" w:rsidRPr="00A11060" w:rsidRDefault="00497BCE" w:rsidP="00497BCE">
            <w:pPr>
              <w:ind w:left="0"/>
              <w:rPr>
                <w:color w:val="000000" w:themeColor="text1"/>
                <w:sz w:val="20"/>
                <w:szCs w:val="20"/>
              </w:rPr>
            </w:pPr>
            <w:r>
              <w:rPr>
                <w:color w:val="000000" w:themeColor="text1"/>
                <w:sz w:val="20"/>
                <w:szCs w:val="20"/>
              </w:rPr>
              <w:t>Opatrenia na zabezpečenie odbornej prípravy a informovania zamestnancov zapojených do vykonávania EŠIF.</w:t>
            </w:r>
          </w:p>
        </w:tc>
        <w:tc>
          <w:tcPr>
            <w:tcW w:w="1257" w:type="dxa"/>
          </w:tcPr>
          <w:p w:rsidR="00497BCE" w:rsidRPr="00A11060" w:rsidRDefault="00497BCE" w:rsidP="00497BCE">
            <w:pPr>
              <w:ind w:left="0"/>
              <w:jc w:val="center"/>
              <w:rPr>
                <w:b/>
                <w:color w:val="000000" w:themeColor="text1"/>
                <w:sz w:val="20"/>
                <w:szCs w:val="20"/>
              </w:rPr>
            </w:pPr>
            <w:r w:rsidRPr="00A11060">
              <w:rPr>
                <w:b/>
                <w:color w:val="000000" w:themeColor="text1"/>
                <w:sz w:val="20"/>
                <w:szCs w:val="20"/>
              </w:rPr>
              <w:t>ÁNO</w:t>
            </w:r>
          </w:p>
        </w:tc>
        <w:tc>
          <w:tcPr>
            <w:tcW w:w="3977" w:type="dxa"/>
          </w:tcPr>
          <w:p w:rsidR="00497BCE" w:rsidRPr="00A11060" w:rsidRDefault="00497BCE" w:rsidP="00497BCE">
            <w:pPr>
              <w:ind w:left="0"/>
              <w:jc w:val="center"/>
              <w:rPr>
                <w:color w:val="000000" w:themeColor="text1"/>
                <w:sz w:val="20"/>
                <w:szCs w:val="20"/>
              </w:rPr>
            </w:pPr>
            <w:r w:rsidRPr="00A11060">
              <w:rPr>
                <w:color w:val="000000" w:themeColor="text1"/>
                <w:sz w:val="20"/>
                <w:szCs w:val="20"/>
              </w:rPr>
              <w:t>Dokument</w:t>
            </w:r>
          </w:p>
          <w:p w:rsidR="00497BCE" w:rsidRPr="00A11060" w:rsidRDefault="00497BCE" w:rsidP="00497BCE">
            <w:pPr>
              <w:ind w:left="0"/>
              <w:jc w:val="center"/>
              <w:rPr>
                <w:color w:val="000000" w:themeColor="text1"/>
                <w:sz w:val="20"/>
                <w:szCs w:val="20"/>
              </w:rPr>
            </w:pPr>
            <w:r w:rsidRPr="00A11060">
              <w:rPr>
                <w:color w:val="000000" w:themeColor="text1"/>
                <w:sz w:val="20"/>
                <w:szCs w:val="20"/>
              </w:rPr>
              <w:t>„Analýza administratívnych kapacít pre oblasť štátnej pomoci v</w:t>
            </w:r>
            <w:r>
              <w:rPr>
                <w:color w:val="000000" w:themeColor="text1"/>
                <w:sz w:val="20"/>
                <w:szCs w:val="20"/>
              </w:rPr>
              <w:t> </w:t>
            </w:r>
            <w:r w:rsidRPr="00A11060">
              <w:rPr>
                <w:color w:val="000000" w:themeColor="text1"/>
                <w:sz w:val="20"/>
                <w:szCs w:val="20"/>
              </w:rPr>
              <w:t>rámci riadiaceho orgánu OP II na programové obdobie 2014-2020“ zo dňa 24.09.2013</w:t>
            </w:r>
          </w:p>
        </w:tc>
        <w:tc>
          <w:tcPr>
            <w:tcW w:w="2557" w:type="dxa"/>
          </w:tcPr>
          <w:p w:rsidR="00497BCE" w:rsidRPr="00A11060" w:rsidRDefault="00497BCE" w:rsidP="00497BCE">
            <w:pPr>
              <w:ind w:left="0"/>
              <w:rPr>
                <w:color w:val="000000" w:themeColor="text1"/>
                <w:sz w:val="20"/>
                <w:szCs w:val="20"/>
              </w:rPr>
            </w:pPr>
            <w:r w:rsidRPr="00A11060">
              <w:rPr>
                <w:color w:val="000000" w:themeColor="text1"/>
                <w:sz w:val="20"/>
                <w:szCs w:val="20"/>
              </w:rPr>
              <w:t>Po definitívnom schválení OP II plánuje preškoliť RO OP II v</w:t>
            </w:r>
            <w:r>
              <w:rPr>
                <w:color w:val="000000" w:themeColor="text1"/>
                <w:sz w:val="20"/>
                <w:szCs w:val="20"/>
              </w:rPr>
              <w:t> </w:t>
            </w:r>
            <w:r w:rsidRPr="00A11060">
              <w:rPr>
                <w:color w:val="000000" w:themeColor="text1"/>
                <w:sz w:val="20"/>
                <w:szCs w:val="20"/>
              </w:rPr>
              <w:t>problematike štátnej pomoci časť vecne príslušných administratívnych kapacít.</w:t>
            </w:r>
          </w:p>
        </w:tc>
      </w:tr>
      <w:tr w:rsidR="00497BCE" w:rsidRPr="00A11060" w:rsidTr="00A127CB">
        <w:tblPrEx>
          <w:jc w:val="left"/>
        </w:tblPrEx>
        <w:trPr>
          <w:trHeight w:val="340"/>
        </w:trPr>
        <w:tc>
          <w:tcPr>
            <w:tcW w:w="1677" w:type="dxa"/>
            <w:vMerge/>
          </w:tcPr>
          <w:p w:rsidR="00497BCE" w:rsidRDefault="00497BCE" w:rsidP="00497BCE">
            <w:pPr>
              <w:rPr>
                <w:sz w:val="20"/>
                <w:szCs w:val="20"/>
              </w:rPr>
            </w:pPr>
          </w:p>
        </w:tc>
        <w:tc>
          <w:tcPr>
            <w:tcW w:w="1272" w:type="dxa"/>
            <w:vMerge/>
          </w:tcPr>
          <w:p w:rsidR="00497BCE" w:rsidRDefault="00497BCE" w:rsidP="00497BCE">
            <w:pPr>
              <w:jc w:val="center"/>
              <w:rPr>
                <w:sz w:val="20"/>
                <w:szCs w:val="20"/>
              </w:rPr>
            </w:pPr>
          </w:p>
        </w:tc>
        <w:tc>
          <w:tcPr>
            <w:tcW w:w="1445" w:type="dxa"/>
            <w:vMerge/>
          </w:tcPr>
          <w:p w:rsidR="00497BCE" w:rsidRPr="00A11060" w:rsidRDefault="00497BCE" w:rsidP="00497BCE">
            <w:pPr>
              <w:rPr>
                <w:color w:val="000000" w:themeColor="text1"/>
                <w:sz w:val="20"/>
                <w:szCs w:val="20"/>
              </w:rPr>
            </w:pPr>
          </w:p>
        </w:tc>
        <w:tc>
          <w:tcPr>
            <w:tcW w:w="2260" w:type="dxa"/>
          </w:tcPr>
          <w:p w:rsidR="00497BCE" w:rsidRPr="00A11060" w:rsidRDefault="00497BCE" w:rsidP="00497BCE">
            <w:pPr>
              <w:ind w:left="0"/>
              <w:rPr>
                <w:color w:val="000000" w:themeColor="text1"/>
                <w:sz w:val="20"/>
                <w:szCs w:val="20"/>
              </w:rPr>
            </w:pPr>
            <w:r>
              <w:rPr>
                <w:color w:val="000000" w:themeColor="text1"/>
                <w:sz w:val="20"/>
                <w:szCs w:val="20"/>
              </w:rPr>
              <w:t>Opatrenia na zabezpečenie administratívnej kapacity na vykonávanie a uplatňovanie pravidiel Únie o štátnej pomoci.</w:t>
            </w:r>
          </w:p>
        </w:tc>
        <w:tc>
          <w:tcPr>
            <w:tcW w:w="1257" w:type="dxa"/>
          </w:tcPr>
          <w:p w:rsidR="00497BCE" w:rsidRPr="00A11060" w:rsidRDefault="00497BCE" w:rsidP="00497BCE">
            <w:pPr>
              <w:ind w:left="0"/>
              <w:jc w:val="center"/>
              <w:rPr>
                <w:color w:val="000000" w:themeColor="text1"/>
                <w:sz w:val="20"/>
                <w:szCs w:val="20"/>
              </w:rPr>
            </w:pPr>
            <w:r>
              <w:rPr>
                <w:b/>
                <w:color w:val="000000" w:themeColor="text1"/>
                <w:sz w:val="20"/>
                <w:szCs w:val="20"/>
              </w:rPr>
              <w:t>NIE</w:t>
            </w:r>
          </w:p>
        </w:tc>
        <w:tc>
          <w:tcPr>
            <w:tcW w:w="3977" w:type="dxa"/>
          </w:tcPr>
          <w:p w:rsidR="00497BCE" w:rsidRPr="00A11060" w:rsidRDefault="00497BCE" w:rsidP="00497BCE">
            <w:pPr>
              <w:ind w:left="0"/>
              <w:jc w:val="center"/>
              <w:rPr>
                <w:color w:val="000000" w:themeColor="text1"/>
                <w:sz w:val="20"/>
                <w:szCs w:val="20"/>
              </w:rPr>
            </w:pPr>
            <w:r w:rsidRPr="00A11060">
              <w:rPr>
                <w:color w:val="000000" w:themeColor="text1"/>
                <w:sz w:val="20"/>
                <w:szCs w:val="20"/>
              </w:rPr>
              <w:t>Dokument</w:t>
            </w:r>
          </w:p>
          <w:p w:rsidR="00497BCE" w:rsidRPr="00A11060" w:rsidRDefault="00497BCE" w:rsidP="00497BCE">
            <w:pPr>
              <w:ind w:left="0"/>
              <w:jc w:val="center"/>
              <w:rPr>
                <w:color w:val="000000" w:themeColor="text1"/>
                <w:sz w:val="20"/>
              </w:rPr>
            </w:pPr>
            <w:r w:rsidRPr="00A11060">
              <w:rPr>
                <w:color w:val="000000" w:themeColor="text1"/>
                <w:sz w:val="20"/>
                <w:szCs w:val="20"/>
              </w:rPr>
              <w:t>„Analýza administratívnych kapacít pre oblasť štátnej pomoci v</w:t>
            </w:r>
            <w:r>
              <w:rPr>
                <w:color w:val="000000" w:themeColor="text1"/>
                <w:sz w:val="20"/>
                <w:szCs w:val="20"/>
              </w:rPr>
              <w:t> </w:t>
            </w:r>
            <w:r w:rsidRPr="00A11060">
              <w:rPr>
                <w:color w:val="000000" w:themeColor="text1"/>
                <w:sz w:val="20"/>
                <w:szCs w:val="20"/>
              </w:rPr>
              <w:t>rámci riadiaceho orgánu OP II na programové obdobie 2014-2020“ zo dňa 24.09.2013</w:t>
            </w:r>
          </w:p>
        </w:tc>
        <w:tc>
          <w:tcPr>
            <w:tcW w:w="2557" w:type="dxa"/>
          </w:tcPr>
          <w:p w:rsidR="00497BCE" w:rsidRPr="00A11060" w:rsidRDefault="00497BCE" w:rsidP="00497BCE">
            <w:pPr>
              <w:ind w:left="0"/>
              <w:rPr>
                <w:color w:val="000000" w:themeColor="text1"/>
                <w:sz w:val="20"/>
                <w:szCs w:val="20"/>
              </w:rPr>
            </w:pPr>
            <w:r>
              <w:rPr>
                <w:color w:val="000000" w:themeColor="text1"/>
                <w:sz w:val="20"/>
                <w:szCs w:val="20"/>
              </w:rPr>
              <w:t xml:space="preserve">Na základe vykonanej analýzy bola identifikovaná potreba zvýšiť počet administratívnych kapacít pre oblasť štátnej pomoci o 1 zamestnanca. </w:t>
            </w:r>
          </w:p>
        </w:tc>
      </w:tr>
    </w:tbl>
    <w:p w:rsidR="00497BCE" w:rsidRDefault="00497BCE" w:rsidP="00854A84">
      <w:pPr>
        <w:pStyle w:val="06Normal"/>
        <w:spacing w:before="60" w:after="0"/>
        <w:rPr>
          <w:sz w:val="20"/>
          <w:lang w:eastAsia="sk-SK"/>
        </w:rPr>
      </w:pPr>
      <w:r w:rsidRPr="00566720">
        <w:rPr>
          <w:sz w:val="20"/>
          <w:u w:val="single"/>
          <w:lang w:eastAsia="sk-SK"/>
        </w:rPr>
        <w:lastRenderedPageBreak/>
        <w:t>Pozn.:</w:t>
      </w:r>
      <w:r w:rsidRPr="00566720">
        <w:rPr>
          <w:sz w:val="20"/>
          <w:lang w:eastAsia="sk-SK"/>
        </w:rPr>
        <w:t xml:space="preserve"> </w:t>
      </w:r>
      <w:r>
        <w:rPr>
          <w:sz w:val="20"/>
          <w:lang w:eastAsia="sk-SK"/>
        </w:rPr>
        <w:t xml:space="preserve">Potrebu vypracovať schémy štátnej pomoci predpokladá RO OPII pri investičnej priorite 7a) PO1, investičnej priorite 7a) prioritnej osi 4 a investičnej priorite 7d) prioritnej osi 5. </w:t>
      </w:r>
      <w:r w:rsidR="00854A84">
        <w:rPr>
          <w:sz w:val="20"/>
          <w:lang w:eastAsia="sk-SK"/>
        </w:rPr>
        <w:t xml:space="preserve">V ostatných prípadoch by mala byť štátna pomoc riešená prostredníctvom  </w:t>
      </w:r>
      <w:r w:rsidR="00854A84" w:rsidRPr="00B95FD1">
        <w:rPr>
          <w:szCs w:val="22"/>
        </w:rPr>
        <w:t xml:space="preserve">nariadenia </w:t>
      </w:r>
      <w:r w:rsidR="00854A84" w:rsidRPr="00854A84">
        <w:rPr>
          <w:sz w:val="20"/>
          <w:lang w:eastAsia="sk-SK"/>
        </w:rPr>
        <w:t>EP a Rady (ES) č. 1370 z 23. októbra 2007 o službách vo verejnom záujme v železničnej a cestnej osobnej doprave, ktorým sa zrušujú nariadenia Rady (EHS) č. 1191/69 a (EHS) č. 1107/70.</w:t>
      </w:r>
    </w:p>
    <w:p w:rsidR="001A49CC" w:rsidRDefault="001A49CC">
      <w:r>
        <w:br w:type="page"/>
      </w:r>
    </w:p>
    <w:p w:rsidR="001A49CC" w:rsidRDefault="001A49CC" w:rsidP="00703812">
      <w:pPr>
        <w:pStyle w:val="Nadpis2"/>
      </w:pPr>
      <w:bookmarkStart w:id="162" w:name="_Toc383209159"/>
      <w:bookmarkStart w:id="163" w:name="_Toc383236573"/>
      <w:bookmarkStart w:id="164" w:name="_Toc385310767"/>
      <w:r>
        <w:lastRenderedPageBreak/>
        <w:t>Aktivity na zabezpečenie splnenia všeobecných a tematických ex ante kondicionalít</w:t>
      </w:r>
      <w:bookmarkEnd w:id="162"/>
      <w:bookmarkEnd w:id="163"/>
      <w:bookmarkEnd w:id="164"/>
    </w:p>
    <w:p w:rsidR="001A49CC" w:rsidRPr="00CE2E2C" w:rsidRDefault="001A49CC" w:rsidP="001A49CC">
      <w:pPr>
        <w:pStyle w:val="Tab"/>
      </w:pPr>
      <w:r w:rsidRPr="00CE2E2C">
        <w:t>Aktivity, ktoré budú vykonané pre splnenie tematických ex ante kondicionalít</w:t>
      </w:r>
    </w:p>
    <w:tbl>
      <w:tblPr>
        <w:tblStyle w:val="Mriekatabuky"/>
        <w:tblW w:w="1417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2833"/>
        <w:gridCol w:w="2834"/>
        <w:gridCol w:w="2836"/>
        <w:gridCol w:w="2836"/>
        <w:gridCol w:w="2836"/>
      </w:tblGrid>
      <w:tr w:rsidR="001A49CC" w:rsidRPr="00C35F2A" w:rsidTr="00A127CB">
        <w:trPr>
          <w:trHeight w:val="340"/>
        </w:trPr>
        <w:tc>
          <w:tcPr>
            <w:tcW w:w="2833" w:type="dxa"/>
            <w:shd w:val="clear" w:color="auto" w:fill="C6D9F1" w:themeFill="text2" w:themeFillTint="33"/>
            <w:vAlign w:val="center"/>
          </w:tcPr>
          <w:p w:rsidR="001A49CC" w:rsidRPr="003F7110" w:rsidRDefault="001A49CC" w:rsidP="001A49CC">
            <w:pPr>
              <w:ind w:left="0"/>
              <w:jc w:val="center"/>
              <w:rPr>
                <w:sz w:val="20"/>
                <w:szCs w:val="20"/>
              </w:rPr>
            </w:pPr>
            <w:r w:rsidRPr="003F7110">
              <w:rPr>
                <w:sz w:val="20"/>
                <w:szCs w:val="20"/>
              </w:rPr>
              <w:t>Tematické ex ante kondicionality, ktoré sú nesplnené alebo splnené len čiastočne</w:t>
            </w:r>
          </w:p>
        </w:tc>
        <w:tc>
          <w:tcPr>
            <w:tcW w:w="2834" w:type="dxa"/>
            <w:shd w:val="clear" w:color="auto" w:fill="C6D9F1" w:themeFill="text2" w:themeFillTint="33"/>
            <w:vAlign w:val="center"/>
          </w:tcPr>
          <w:p w:rsidR="001A49CC" w:rsidRPr="003F7110" w:rsidRDefault="001A49CC" w:rsidP="001A49CC">
            <w:pPr>
              <w:ind w:left="0"/>
              <w:jc w:val="center"/>
              <w:rPr>
                <w:sz w:val="20"/>
                <w:szCs w:val="20"/>
              </w:rPr>
            </w:pPr>
            <w:r w:rsidRPr="003F7110">
              <w:rPr>
                <w:sz w:val="20"/>
                <w:szCs w:val="20"/>
              </w:rPr>
              <w:t>Nesplnené kritériá</w:t>
            </w:r>
          </w:p>
        </w:tc>
        <w:tc>
          <w:tcPr>
            <w:tcW w:w="2836" w:type="dxa"/>
            <w:shd w:val="clear" w:color="auto" w:fill="C6D9F1" w:themeFill="text2" w:themeFillTint="33"/>
            <w:vAlign w:val="center"/>
          </w:tcPr>
          <w:p w:rsidR="001A49CC" w:rsidRPr="003F7110" w:rsidRDefault="001A49CC" w:rsidP="001A49CC">
            <w:pPr>
              <w:ind w:left="0"/>
              <w:jc w:val="center"/>
              <w:rPr>
                <w:sz w:val="20"/>
                <w:szCs w:val="20"/>
              </w:rPr>
            </w:pPr>
            <w:r w:rsidRPr="003F7110">
              <w:rPr>
                <w:sz w:val="20"/>
                <w:szCs w:val="20"/>
              </w:rPr>
              <w:t>Plánované opatrenie</w:t>
            </w:r>
          </w:p>
        </w:tc>
        <w:tc>
          <w:tcPr>
            <w:tcW w:w="2836" w:type="dxa"/>
            <w:shd w:val="clear" w:color="auto" w:fill="C6D9F1" w:themeFill="text2" w:themeFillTint="33"/>
            <w:vAlign w:val="center"/>
          </w:tcPr>
          <w:p w:rsidR="001A49CC" w:rsidRPr="003F7110" w:rsidRDefault="001A49CC" w:rsidP="001A49CC">
            <w:pPr>
              <w:ind w:left="0"/>
              <w:jc w:val="center"/>
              <w:rPr>
                <w:sz w:val="20"/>
                <w:szCs w:val="20"/>
              </w:rPr>
            </w:pPr>
            <w:r>
              <w:rPr>
                <w:sz w:val="20"/>
                <w:szCs w:val="20"/>
              </w:rPr>
              <w:t>Konečný t</w:t>
            </w:r>
            <w:r w:rsidRPr="003F7110">
              <w:rPr>
                <w:sz w:val="20"/>
                <w:szCs w:val="20"/>
              </w:rPr>
              <w:t>ermín (dátum)</w:t>
            </w:r>
          </w:p>
        </w:tc>
        <w:tc>
          <w:tcPr>
            <w:tcW w:w="2836" w:type="dxa"/>
            <w:shd w:val="clear" w:color="auto" w:fill="C6D9F1" w:themeFill="text2" w:themeFillTint="33"/>
            <w:vAlign w:val="center"/>
          </w:tcPr>
          <w:p w:rsidR="001A49CC" w:rsidRPr="003F7110" w:rsidRDefault="001A49CC" w:rsidP="001A49CC">
            <w:pPr>
              <w:ind w:left="0"/>
              <w:jc w:val="center"/>
              <w:rPr>
                <w:sz w:val="20"/>
                <w:szCs w:val="20"/>
              </w:rPr>
            </w:pPr>
            <w:r w:rsidRPr="003F7110">
              <w:rPr>
                <w:sz w:val="20"/>
                <w:szCs w:val="20"/>
              </w:rPr>
              <w:t>Orgány zodpovedné za splnenie</w:t>
            </w:r>
          </w:p>
        </w:tc>
      </w:tr>
      <w:tr w:rsidR="001A49CC" w:rsidTr="00A127CB">
        <w:trPr>
          <w:trHeight w:val="1897"/>
        </w:trPr>
        <w:tc>
          <w:tcPr>
            <w:tcW w:w="2833" w:type="dxa"/>
            <w:vMerge w:val="restart"/>
            <w:vAlign w:val="center"/>
          </w:tcPr>
          <w:p w:rsidR="001A49CC" w:rsidRPr="00237788" w:rsidRDefault="001A49CC" w:rsidP="001A49CC">
            <w:pPr>
              <w:ind w:left="0"/>
              <w:rPr>
                <w:color w:val="FF0000"/>
                <w:sz w:val="20"/>
                <w:szCs w:val="20"/>
              </w:rPr>
            </w:pPr>
            <w:r w:rsidRPr="00364ECC">
              <w:rPr>
                <w:sz w:val="20"/>
                <w:szCs w:val="20"/>
              </w:rPr>
              <w:t>7.1. Doprava: Existencia komplexného plánu alebo plánov alebo rámca či rámcov pre dopravné investície v súlade s inštitucionálnou štruktúrou členských štátov (vrátane verejnej dopravy na regionálnej a miestnej úrovni), ktorý podporuje rozvoj infraštruktúry a zlepšuje prepojenie na úplnú a základnú sieť TEN-T.</w:t>
            </w:r>
          </w:p>
        </w:tc>
        <w:tc>
          <w:tcPr>
            <w:tcW w:w="2834" w:type="dxa"/>
            <w:vMerge w:val="restart"/>
          </w:tcPr>
          <w:p w:rsidR="001A49CC" w:rsidRPr="00566720" w:rsidRDefault="001A49CC" w:rsidP="001A49CC">
            <w:pPr>
              <w:spacing w:before="20" w:after="20"/>
              <w:ind w:left="0"/>
              <w:rPr>
                <w:sz w:val="20"/>
                <w:szCs w:val="20"/>
              </w:rPr>
            </w:pPr>
            <w:r w:rsidRPr="00364ECC">
              <w:rPr>
                <w:sz w:val="20"/>
                <w:szCs w:val="20"/>
              </w:rPr>
              <w:t>Existuje komplexný plán či plány alebo rámec či rámce pre dopravné investície, ktoré spĺňajú právne požiadavky na strategické environmentálne posúdenie a stanovujú:</w:t>
            </w:r>
          </w:p>
        </w:tc>
        <w:tc>
          <w:tcPr>
            <w:tcW w:w="2836" w:type="dxa"/>
          </w:tcPr>
          <w:p w:rsidR="001A49CC" w:rsidRPr="00566720" w:rsidRDefault="001A49CC" w:rsidP="001A49CC">
            <w:pPr>
              <w:ind w:left="0"/>
              <w:rPr>
                <w:sz w:val="20"/>
                <w:szCs w:val="20"/>
              </w:rPr>
            </w:pPr>
            <w:r w:rsidRPr="00364ECC">
              <w:rPr>
                <w:sz w:val="20"/>
                <w:szCs w:val="20"/>
              </w:rPr>
              <w:t xml:space="preserve">Ukončenie procesu </w:t>
            </w:r>
            <w:r>
              <w:rPr>
                <w:sz w:val="20"/>
                <w:szCs w:val="20"/>
              </w:rPr>
              <w:t>SEA</w:t>
            </w:r>
            <w:r w:rsidRPr="00364ECC">
              <w:rPr>
                <w:sz w:val="20"/>
                <w:szCs w:val="20"/>
              </w:rPr>
              <w:t xml:space="preserve"> Strategického plánu rozvoja dopravnej infraštruktúry SR do roku 2020 (fáza I.), vrátane Stratégie rozvoja verejnej osobnej a nemotorovej dopravy SR do roku 2020, ktorá tvorí jeho prílohu.</w:t>
            </w:r>
          </w:p>
        </w:tc>
        <w:tc>
          <w:tcPr>
            <w:tcW w:w="2836" w:type="dxa"/>
          </w:tcPr>
          <w:p w:rsidR="001A49CC" w:rsidRPr="00566720" w:rsidRDefault="001A49CC" w:rsidP="001A49CC">
            <w:pPr>
              <w:ind w:left="0"/>
              <w:jc w:val="center"/>
              <w:rPr>
                <w:sz w:val="20"/>
                <w:szCs w:val="20"/>
              </w:rPr>
            </w:pPr>
            <w:r>
              <w:rPr>
                <w:sz w:val="20"/>
                <w:szCs w:val="20"/>
              </w:rPr>
              <w:t>Apríl 2014</w:t>
            </w:r>
          </w:p>
        </w:tc>
        <w:tc>
          <w:tcPr>
            <w:tcW w:w="2836" w:type="dxa"/>
          </w:tcPr>
          <w:p w:rsidR="001A49CC" w:rsidRPr="00566720" w:rsidRDefault="001A49CC" w:rsidP="001A49CC">
            <w:pPr>
              <w:spacing w:before="20"/>
              <w:ind w:left="0"/>
              <w:rPr>
                <w:sz w:val="20"/>
                <w:szCs w:val="20"/>
              </w:rPr>
            </w:pPr>
            <w:r w:rsidRPr="00566720">
              <w:rPr>
                <w:sz w:val="20"/>
                <w:szCs w:val="20"/>
              </w:rPr>
              <w:t>MDVRR SR</w:t>
            </w:r>
            <w:r>
              <w:rPr>
                <w:sz w:val="20"/>
                <w:szCs w:val="20"/>
              </w:rPr>
              <w:t xml:space="preserve"> (sekcia Operačného programu Doprava)</w:t>
            </w:r>
          </w:p>
        </w:tc>
      </w:tr>
      <w:tr w:rsidR="001A49CC" w:rsidTr="00A127CB">
        <w:trPr>
          <w:trHeight w:val="340"/>
        </w:trPr>
        <w:tc>
          <w:tcPr>
            <w:tcW w:w="2833" w:type="dxa"/>
            <w:vMerge/>
            <w:vAlign w:val="center"/>
          </w:tcPr>
          <w:p w:rsidR="001A49CC" w:rsidRPr="00237788" w:rsidRDefault="001A49CC" w:rsidP="001A49CC">
            <w:pPr>
              <w:rPr>
                <w:color w:val="FF0000"/>
                <w:sz w:val="20"/>
                <w:szCs w:val="20"/>
              </w:rPr>
            </w:pPr>
          </w:p>
        </w:tc>
        <w:tc>
          <w:tcPr>
            <w:tcW w:w="2834" w:type="dxa"/>
            <w:vMerge/>
          </w:tcPr>
          <w:p w:rsidR="001A49CC" w:rsidRPr="00566720" w:rsidRDefault="001A49CC" w:rsidP="001A49CC">
            <w:pPr>
              <w:spacing w:before="20"/>
              <w:ind w:left="0"/>
              <w:rPr>
                <w:sz w:val="20"/>
                <w:szCs w:val="20"/>
              </w:rPr>
            </w:pPr>
          </w:p>
        </w:tc>
        <w:tc>
          <w:tcPr>
            <w:tcW w:w="2836" w:type="dxa"/>
          </w:tcPr>
          <w:p w:rsidR="001A49CC" w:rsidRPr="00566720" w:rsidRDefault="001A49CC" w:rsidP="00197539">
            <w:pPr>
              <w:spacing w:before="20" w:after="20"/>
              <w:ind w:left="0"/>
              <w:rPr>
                <w:sz w:val="20"/>
                <w:szCs w:val="20"/>
              </w:rPr>
            </w:pPr>
            <w:r w:rsidRPr="00364ECC">
              <w:rPr>
                <w:sz w:val="20"/>
                <w:szCs w:val="20"/>
              </w:rPr>
              <w:t>Zabezpečenie dopravného modelu SR za účelom účinnejšieho posúdenia potrieb a efektívnejšieho plánovania ďalšieho rozvoja dopravnej infraštruktúry SR.</w:t>
            </w:r>
          </w:p>
        </w:tc>
        <w:tc>
          <w:tcPr>
            <w:tcW w:w="2836" w:type="dxa"/>
          </w:tcPr>
          <w:p w:rsidR="001A49CC" w:rsidRPr="00566720" w:rsidRDefault="001A49CC" w:rsidP="001A49CC">
            <w:pPr>
              <w:spacing w:before="20"/>
              <w:ind w:left="0"/>
              <w:jc w:val="center"/>
              <w:rPr>
                <w:sz w:val="20"/>
                <w:szCs w:val="20"/>
              </w:rPr>
            </w:pPr>
            <w:r>
              <w:rPr>
                <w:sz w:val="20"/>
                <w:szCs w:val="20"/>
              </w:rPr>
              <w:t>Október 2015</w:t>
            </w:r>
          </w:p>
        </w:tc>
        <w:tc>
          <w:tcPr>
            <w:tcW w:w="2836" w:type="dxa"/>
          </w:tcPr>
          <w:p w:rsidR="001A49CC" w:rsidRPr="00566720" w:rsidRDefault="001A49CC" w:rsidP="001A49CC">
            <w:pPr>
              <w:spacing w:before="20"/>
              <w:ind w:left="0"/>
            </w:pPr>
            <w:r w:rsidRPr="00364ECC">
              <w:rPr>
                <w:sz w:val="20"/>
                <w:szCs w:val="20"/>
              </w:rPr>
              <w:t>MDVRR SR (sekcia záležitostí EÚ a zahraničných vzťahov v spolupráci so sekciou Operačného programu Doprava)</w:t>
            </w:r>
          </w:p>
        </w:tc>
      </w:tr>
      <w:tr w:rsidR="001A49CC" w:rsidTr="00A127CB">
        <w:trPr>
          <w:trHeight w:val="1179"/>
        </w:trPr>
        <w:tc>
          <w:tcPr>
            <w:tcW w:w="2833" w:type="dxa"/>
            <w:vMerge/>
            <w:vAlign w:val="center"/>
          </w:tcPr>
          <w:p w:rsidR="001A49CC" w:rsidRPr="00237788" w:rsidRDefault="001A49CC" w:rsidP="001A49CC">
            <w:pPr>
              <w:rPr>
                <w:color w:val="FF0000"/>
                <w:sz w:val="20"/>
                <w:szCs w:val="20"/>
              </w:rPr>
            </w:pPr>
          </w:p>
        </w:tc>
        <w:tc>
          <w:tcPr>
            <w:tcW w:w="2834" w:type="dxa"/>
            <w:vMerge/>
          </w:tcPr>
          <w:p w:rsidR="001A49CC" w:rsidRPr="00566720" w:rsidRDefault="001A49CC" w:rsidP="001A49CC">
            <w:pPr>
              <w:spacing w:before="20"/>
              <w:ind w:left="0"/>
              <w:rPr>
                <w:sz w:val="20"/>
                <w:szCs w:val="20"/>
              </w:rPr>
            </w:pPr>
          </w:p>
        </w:tc>
        <w:tc>
          <w:tcPr>
            <w:tcW w:w="2836" w:type="dxa"/>
          </w:tcPr>
          <w:p w:rsidR="001A49CC" w:rsidRPr="00566720" w:rsidRDefault="001A49CC" w:rsidP="001A49CC">
            <w:pPr>
              <w:spacing w:before="20" w:after="20"/>
              <w:ind w:left="0"/>
              <w:rPr>
                <w:sz w:val="20"/>
                <w:szCs w:val="20"/>
              </w:rPr>
            </w:pPr>
            <w:r w:rsidRPr="00364ECC">
              <w:rPr>
                <w:sz w:val="20"/>
                <w:szCs w:val="20"/>
              </w:rPr>
              <w:t>Vypracovanie Strategického plánu rozvoja dopravnej infraštruktúry SR do roku 2030 (fáza II.) na základe výstupov z dopravného modelu SR.</w:t>
            </w:r>
          </w:p>
        </w:tc>
        <w:tc>
          <w:tcPr>
            <w:tcW w:w="2836" w:type="dxa"/>
          </w:tcPr>
          <w:p w:rsidR="001A49CC" w:rsidRPr="00566720" w:rsidRDefault="001A49CC" w:rsidP="001A49CC">
            <w:pPr>
              <w:spacing w:before="20"/>
              <w:ind w:left="0"/>
              <w:jc w:val="center"/>
              <w:rPr>
                <w:sz w:val="20"/>
                <w:szCs w:val="20"/>
              </w:rPr>
            </w:pPr>
            <w:r>
              <w:rPr>
                <w:sz w:val="20"/>
                <w:szCs w:val="20"/>
              </w:rPr>
              <w:t>Jún 2016</w:t>
            </w:r>
          </w:p>
          <w:p w:rsidR="001A49CC" w:rsidRPr="00566720" w:rsidRDefault="001A49CC" w:rsidP="001A49CC">
            <w:pPr>
              <w:ind w:left="0"/>
              <w:rPr>
                <w:sz w:val="20"/>
                <w:szCs w:val="20"/>
              </w:rPr>
            </w:pPr>
          </w:p>
        </w:tc>
        <w:tc>
          <w:tcPr>
            <w:tcW w:w="2836" w:type="dxa"/>
          </w:tcPr>
          <w:p w:rsidR="001A49CC" w:rsidRPr="00566720" w:rsidRDefault="001A49CC" w:rsidP="001A49CC">
            <w:pPr>
              <w:spacing w:before="20"/>
              <w:ind w:left="0"/>
            </w:pPr>
            <w:r w:rsidRPr="00364ECC">
              <w:rPr>
                <w:sz w:val="20"/>
                <w:szCs w:val="20"/>
              </w:rPr>
              <w:t>MDVRR SR (Inštitút stratégie v spolupráci so sekciou Operačného programu Doprava a ostatnými odbornými útvarmi ministerstva)</w:t>
            </w:r>
          </w:p>
        </w:tc>
      </w:tr>
      <w:tr w:rsidR="001A49CC" w:rsidTr="00A127CB">
        <w:trPr>
          <w:trHeight w:val="1179"/>
        </w:trPr>
        <w:tc>
          <w:tcPr>
            <w:tcW w:w="2833" w:type="dxa"/>
            <w:vMerge/>
            <w:vAlign w:val="center"/>
          </w:tcPr>
          <w:p w:rsidR="001A49CC" w:rsidRPr="00237788" w:rsidRDefault="001A49CC" w:rsidP="001A49CC">
            <w:pPr>
              <w:rPr>
                <w:color w:val="FF0000"/>
                <w:sz w:val="20"/>
                <w:szCs w:val="20"/>
              </w:rPr>
            </w:pPr>
          </w:p>
        </w:tc>
        <w:tc>
          <w:tcPr>
            <w:tcW w:w="2834" w:type="dxa"/>
            <w:vMerge/>
          </w:tcPr>
          <w:p w:rsidR="001A49CC" w:rsidRPr="00566720" w:rsidRDefault="001A49CC" w:rsidP="001A49CC">
            <w:pPr>
              <w:spacing w:before="20"/>
              <w:rPr>
                <w:sz w:val="20"/>
                <w:szCs w:val="20"/>
              </w:rPr>
            </w:pPr>
          </w:p>
        </w:tc>
        <w:tc>
          <w:tcPr>
            <w:tcW w:w="2836" w:type="dxa"/>
          </w:tcPr>
          <w:p w:rsidR="001A49CC" w:rsidRPr="00364ECC" w:rsidRDefault="001A49CC" w:rsidP="00197539">
            <w:pPr>
              <w:spacing w:before="20" w:after="20"/>
              <w:ind w:left="0"/>
              <w:rPr>
                <w:sz w:val="20"/>
                <w:szCs w:val="20"/>
              </w:rPr>
            </w:pPr>
            <w:r w:rsidRPr="00364ECC">
              <w:rPr>
                <w:sz w:val="20"/>
                <w:szCs w:val="20"/>
              </w:rPr>
              <w:t>Vykonanie strategického environmentálneho hodnotenia Strategického plánu rozvoja dopravnej infraštruktúry SR do roku 2030 (fáza II.).</w:t>
            </w:r>
          </w:p>
        </w:tc>
        <w:tc>
          <w:tcPr>
            <w:tcW w:w="2836" w:type="dxa"/>
          </w:tcPr>
          <w:p w:rsidR="001A49CC" w:rsidRDefault="001A49CC" w:rsidP="001A49CC">
            <w:pPr>
              <w:spacing w:before="20"/>
              <w:ind w:left="0"/>
              <w:jc w:val="center"/>
              <w:rPr>
                <w:sz w:val="20"/>
                <w:szCs w:val="20"/>
              </w:rPr>
            </w:pPr>
            <w:r w:rsidRPr="00364ECC">
              <w:rPr>
                <w:sz w:val="20"/>
                <w:szCs w:val="20"/>
              </w:rPr>
              <w:t>Október 2016</w:t>
            </w:r>
          </w:p>
        </w:tc>
        <w:tc>
          <w:tcPr>
            <w:tcW w:w="2836" w:type="dxa"/>
          </w:tcPr>
          <w:p w:rsidR="001A49CC" w:rsidRPr="00F1198B" w:rsidRDefault="001A49CC" w:rsidP="001A49CC">
            <w:pPr>
              <w:ind w:left="0"/>
              <w:rPr>
                <w:sz w:val="16"/>
                <w:szCs w:val="16"/>
              </w:rPr>
            </w:pPr>
            <w:r w:rsidRPr="00364ECC">
              <w:rPr>
                <w:sz w:val="20"/>
                <w:szCs w:val="20"/>
              </w:rPr>
              <w:t>MDVRR SR (Inštitút stratégie v spolupráci so sekciou Operačného programu Doprava)</w:t>
            </w:r>
          </w:p>
        </w:tc>
      </w:tr>
      <w:tr w:rsidR="001A49CC" w:rsidTr="00A127CB">
        <w:trPr>
          <w:trHeight w:val="1179"/>
        </w:trPr>
        <w:tc>
          <w:tcPr>
            <w:tcW w:w="2833" w:type="dxa"/>
            <w:vMerge/>
            <w:vAlign w:val="center"/>
          </w:tcPr>
          <w:p w:rsidR="001A49CC" w:rsidRPr="00237788" w:rsidRDefault="001A49CC" w:rsidP="001A49CC">
            <w:pPr>
              <w:rPr>
                <w:color w:val="FF0000"/>
                <w:sz w:val="20"/>
                <w:szCs w:val="20"/>
              </w:rPr>
            </w:pPr>
          </w:p>
        </w:tc>
        <w:tc>
          <w:tcPr>
            <w:tcW w:w="2834" w:type="dxa"/>
            <w:vMerge/>
          </w:tcPr>
          <w:p w:rsidR="001A49CC" w:rsidRPr="00566720" w:rsidRDefault="001A49CC" w:rsidP="001A49CC">
            <w:pPr>
              <w:spacing w:before="20"/>
              <w:rPr>
                <w:sz w:val="20"/>
                <w:szCs w:val="20"/>
              </w:rPr>
            </w:pPr>
          </w:p>
        </w:tc>
        <w:tc>
          <w:tcPr>
            <w:tcW w:w="2836" w:type="dxa"/>
          </w:tcPr>
          <w:p w:rsidR="001A49CC" w:rsidRPr="00364ECC" w:rsidRDefault="001A49CC" w:rsidP="00197539">
            <w:pPr>
              <w:spacing w:before="20" w:after="20"/>
              <w:ind w:left="0"/>
              <w:rPr>
                <w:sz w:val="20"/>
                <w:szCs w:val="20"/>
              </w:rPr>
            </w:pPr>
            <w:r w:rsidRPr="00364ECC">
              <w:rPr>
                <w:sz w:val="20"/>
                <w:szCs w:val="20"/>
              </w:rPr>
              <w:t>Predloženie Strategického plánu rozvoja dopravnej infraštruktúry SR do roku 2030 (fáza II.) na rokovanie Hospodárskej a sociálnej rady SR za účelom jeho schválenia.</w:t>
            </w:r>
          </w:p>
        </w:tc>
        <w:tc>
          <w:tcPr>
            <w:tcW w:w="2836" w:type="dxa"/>
          </w:tcPr>
          <w:p w:rsidR="001A49CC" w:rsidRDefault="001A49CC" w:rsidP="001A49CC">
            <w:pPr>
              <w:spacing w:before="20"/>
              <w:ind w:left="0"/>
              <w:jc w:val="center"/>
              <w:rPr>
                <w:sz w:val="20"/>
                <w:szCs w:val="20"/>
              </w:rPr>
            </w:pPr>
            <w:r w:rsidRPr="00364ECC">
              <w:rPr>
                <w:sz w:val="20"/>
                <w:szCs w:val="20"/>
              </w:rPr>
              <w:t>November 2016</w:t>
            </w:r>
          </w:p>
        </w:tc>
        <w:tc>
          <w:tcPr>
            <w:tcW w:w="2836" w:type="dxa"/>
          </w:tcPr>
          <w:p w:rsidR="001A49CC" w:rsidRPr="00364ECC" w:rsidRDefault="001A49CC" w:rsidP="001A49CC">
            <w:pPr>
              <w:spacing w:before="20"/>
              <w:ind w:left="0"/>
              <w:rPr>
                <w:sz w:val="20"/>
                <w:szCs w:val="20"/>
              </w:rPr>
            </w:pPr>
            <w:r w:rsidRPr="00364ECC">
              <w:rPr>
                <w:sz w:val="20"/>
                <w:szCs w:val="20"/>
              </w:rPr>
              <w:t>MDVRR SR (Inštitút stratégie v spolupráci so sekciou Operačného programu</w:t>
            </w:r>
            <w:r>
              <w:rPr>
                <w:sz w:val="20"/>
                <w:szCs w:val="20"/>
              </w:rPr>
              <w:t xml:space="preserve"> Doprava)</w:t>
            </w:r>
          </w:p>
        </w:tc>
      </w:tr>
      <w:tr w:rsidR="001A49CC" w:rsidTr="00A127CB">
        <w:trPr>
          <w:trHeight w:val="1179"/>
        </w:trPr>
        <w:tc>
          <w:tcPr>
            <w:tcW w:w="2833" w:type="dxa"/>
            <w:vMerge/>
            <w:vAlign w:val="center"/>
          </w:tcPr>
          <w:p w:rsidR="001A49CC" w:rsidRPr="00237788" w:rsidRDefault="001A49CC" w:rsidP="001A49CC">
            <w:pPr>
              <w:rPr>
                <w:color w:val="FF0000"/>
                <w:sz w:val="20"/>
                <w:szCs w:val="20"/>
              </w:rPr>
            </w:pPr>
          </w:p>
        </w:tc>
        <w:tc>
          <w:tcPr>
            <w:tcW w:w="2834" w:type="dxa"/>
            <w:vMerge/>
          </w:tcPr>
          <w:p w:rsidR="001A49CC" w:rsidRPr="00566720" w:rsidRDefault="001A49CC" w:rsidP="001A49CC">
            <w:pPr>
              <w:spacing w:before="20"/>
              <w:rPr>
                <w:sz w:val="20"/>
                <w:szCs w:val="20"/>
              </w:rPr>
            </w:pPr>
          </w:p>
        </w:tc>
        <w:tc>
          <w:tcPr>
            <w:tcW w:w="2836" w:type="dxa"/>
          </w:tcPr>
          <w:p w:rsidR="001A49CC" w:rsidRPr="00364ECC" w:rsidRDefault="001A49CC" w:rsidP="001A49CC">
            <w:pPr>
              <w:spacing w:before="20" w:after="20"/>
              <w:ind w:left="0"/>
              <w:rPr>
                <w:sz w:val="20"/>
                <w:szCs w:val="20"/>
              </w:rPr>
            </w:pPr>
            <w:r w:rsidRPr="00364ECC">
              <w:rPr>
                <w:sz w:val="20"/>
                <w:szCs w:val="20"/>
              </w:rPr>
              <w:t>Predloženie Strategického plánu rozvoja dopravnej infraštruktúry SR do roku 2030 (fáza II.) na rokovanie vlády SR za účelom jeho schválenia.</w:t>
            </w:r>
          </w:p>
        </w:tc>
        <w:tc>
          <w:tcPr>
            <w:tcW w:w="2836" w:type="dxa"/>
          </w:tcPr>
          <w:p w:rsidR="001A49CC" w:rsidRDefault="001A49CC" w:rsidP="001A49CC">
            <w:pPr>
              <w:spacing w:before="20"/>
              <w:ind w:left="0"/>
              <w:jc w:val="center"/>
              <w:rPr>
                <w:sz w:val="20"/>
                <w:szCs w:val="20"/>
              </w:rPr>
            </w:pPr>
            <w:r w:rsidRPr="00364ECC">
              <w:rPr>
                <w:sz w:val="20"/>
                <w:szCs w:val="20"/>
              </w:rPr>
              <w:t>December 2016</w:t>
            </w:r>
          </w:p>
        </w:tc>
        <w:tc>
          <w:tcPr>
            <w:tcW w:w="2836" w:type="dxa"/>
          </w:tcPr>
          <w:p w:rsidR="001A49CC" w:rsidRPr="00364ECC" w:rsidRDefault="001A49CC" w:rsidP="001A49CC">
            <w:pPr>
              <w:spacing w:before="20"/>
              <w:ind w:left="0"/>
              <w:rPr>
                <w:sz w:val="20"/>
                <w:szCs w:val="20"/>
              </w:rPr>
            </w:pPr>
            <w:r w:rsidRPr="00364ECC">
              <w:rPr>
                <w:sz w:val="20"/>
                <w:szCs w:val="20"/>
              </w:rPr>
              <w:t>MDVRR SR (Inštitút stratégie v spolupráci so sekciou Operačného programu Doprava)</w:t>
            </w:r>
          </w:p>
        </w:tc>
      </w:tr>
      <w:tr w:rsidR="001A49CC" w:rsidTr="00A127CB">
        <w:trPr>
          <w:trHeight w:val="1179"/>
        </w:trPr>
        <w:tc>
          <w:tcPr>
            <w:tcW w:w="2833" w:type="dxa"/>
            <w:vMerge/>
            <w:vAlign w:val="center"/>
          </w:tcPr>
          <w:p w:rsidR="001A49CC" w:rsidRPr="00237788" w:rsidRDefault="001A49CC" w:rsidP="001A49CC">
            <w:pPr>
              <w:rPr>
                <w:color w:val="FF0000"/>
                <w:sz w:val="20"/>
                <w:szCs w:val="20"/>
              </w:rPr>
            </w:pPr>
          </w:p>
        </w:tc>
        <w:tc>
          <w:tcPr>
            <w:tcW w:w="2834" w:type="dxa"/>
            <w:vMerge/>
          </w:tcPr>
          <w:p w:rsidR="001A49CC" w:rsidRPr="00566720" w:rsidRDefault="001A49CC" w:rsidP="001A49CC">
            <w:pPr>
              <w:spacing w:before="20"/>
              <w:rPr>
                <w:sz w:val="20"/>
                <w:szCs w:val="20"/>
              </w:rPr>
            </w:pPr>
          </w:p>
        </w:tc>
        <w:tc>
          <w:tcPr>
            <w:tcW w:w="2836" w:type="dxa"/>
          </w:tcPr>
          <w:p w:rsidR="001A49CC" w:rsidRPr="00364ECC" w:rsidRDefault="001A49CC" w:rsidP="001A49CC">
            <w:pPr>
              <w:ind w:left="0"/>
              <w:rPr>
                <w:sz w:val="20"/>
                <w:szCs w:val="20"/>
              </w:rPr>
            </w:pPr>
            <w:r w:rsidRPr="00364ECC">
              <w:rPr>
                <w:sz w:val="20"/>
                <w:szCs w:val="20"/>
              </w:rPr>
              <w:t xml:space="preserve">Predloženie Strategického plánu rozvoja dopravnej infraštruktúry SR do roku 2030 (fáza II.) EK za účelom posúdenia úplného splnenia ex ante kondicionalít stanovených pre sektor dopravy. </w:t>
            </w:r>
          </w:p>
        </w:tc>
        <w:tc>
          <w:tcPr>
            <w:tcW w:w="2836" w:type="dxa"/>
          </w:tcPr>
          <w:p w:rsidR="001A49CC" w:rsidRPr="00364ECC" w:rsidRDefault="001A49CC" w:rsidP="001A49CC">
            <w:pPr>
              <w:ind w:left="0"/>
              <w:jc w:val="center"/>
              <w:rPr>
                <w:sz w:val="20"/>
                <w:szCs w:val="20"/>
              </w:rPr>
            </w:pPr>
            <w:r w:rsidRPr="00364ECC">
              <w:rPr>
                <w:sz w:val="20"/>
                <w:szCs w:val="20"/>
              </w:rPr>
              <w:t>December 2016</w:t>
            </w:r>
          </w:p>
        </w:tc>
        <w:tc>
          <w:tcPr>
            <w:tcW w:w="2836" w:type="dxa"/>
          </w:tcPr>
          <w:p w:rsidR="001A49CC" w:rsidRPr="00364ECC" w:rsidRDefault="001A49CC" w:rsidP="001A49CC">
            <w:pPr>
              <w:ind w:left="0"/>
              <w:rPr>
                <w:sz w:val="20"/>
                <w:szCs w:val="20"/>
              </w:rPr>
            </w:pPr>
            <w:r w:rsidRPr="00364ECC">
              <w:rPr>
                <w:sz w:val="20"/>
                <w:szCs w:val="20"/>
              </w:rPr>
              <w:t>MDVRR SR (Inštitút stratégie v spolupráci so sekciou Operačného programu Doprava)</w:t>
            </w:r>
          </w:p>
        </w:tc>
      </w:tr>
      <w:tr w:rsidR="001A49CC" w:rsidTr="00A127CB">
        <w:trPr>
          <w:trHeight w:val="1179"/>
        </w:trPr>
        <w:tc>
          <w:tcPr>
            <w:tcW w:w="2833" w:type="dxa"/>
            <w:vMerge/>
            <w:vAlign w:val="center"/>
          </w:tcPr>
          <w:p w:rsidR="001A49CC" w:rsidRPr="00237788" w:rsidRDefault="001A49CC" w:rsidP="001A49CC">
            <w:pPr>
              <w:rPr>
                <w:color w:val="FF0000"/>
                <w:sz w:val="20"/>
                <w:szCs w:val="20"/>
              </w:rPr>
            </w:pPr>
          </w:p>
        </w:tc>
        <w:tc>
          <w:tcPr>
            <w:tcW w:w="2834" w:type="dxa"/>
          </w:tcPr>
          <w:p w:rsidR="001A49CC" w:rsidRPr="00566720" w:rsidRDefault="001A49CC" w:rsidP="001A49CC">
            <w:pPr>
              <w:spacing w:before="20"/>
              <w:ind w:left="0"/>
              <w:rPr>
                <w:sz w:val="20"/>
                <w:szCs w:val="20"/>
              </w:rPr>
            </w:pPr>
            <w:r w:rsidRPr="00364ECC">
              <w:rPr>
                <w:sz w:val="20"/>
                <w:szCs w:val="20"/>
              </w:rPr>
              <w:t>Realistickú a kvalitnú realizáciu projektov, pri ktorých sa počíta s podporou zo strany EFRR a Kohézneho fondu</w:t>
            </w:r>
            <w:r>
              <w:rPr>
                <w:sz w:val="20"/>
                <w:szCs w:val="20"/>
              </w:rPr>
              <w:t>.</w:t>
            </w:r>
          </w:p>
        </w:tc>
        <w:tc>
          <w:tcPr>
            <w:tcW w:w="2836" w:type="dxa"/>
          </w:tcPr>
          <w:p w:rsidR="001A49CC" w:rsidRPr="00364ECC" w:rsidRDefault="001A49CC" w:rsidP="001A49CC">
            <w:pPr>
              <w:pStyle w:val="Odsekzoznamu"/>
              <w:ind w:left="0"/>
              <w:rPr>
                <w:sz w:val="20"/>
                <w:szCs w:val="20"/>
              </w:rPr>
            </w:pPr>
            <w:r w:rsidRPr="00364ECC">
              <w:rPr>
                <w:sz w:val="20"/>
                <w:szCs w:val="20"/>
              </w:rPr>
              <w:t>Vypracovanie implementačného plánu projektov financovaných z KF, ERDF a CEF (názov projektu, náklady, EIA proces, stupeň projektovej prípravy, termín realizácie, predpokladaný f</w:t>
            </w:r>
            <w:r>
              <w:rPr>
                <w:sz w:val="20"/>
                <w:szCs w:val="20"/>
              </w:rPr>
              <w:t xml:space="preserve">inančný plán, plánovaný termín </w:t>
            </w:r>
            <w:r w:rsidRPr="00364ECC">
              <w:rPr>
                <w:sz w:val="20"/>
                <w:szCs w:val="20"/>
              </w:rPr>
              <w:t>schválenia projektu RO, predlož</w:t>
            </w:r>
            <w:r>
              <w:rPr>
                <w:sz w:val="20"/>
                <w:szCs w:val="20"/>
              </w:rPr>
              <w:t>enia</w:t>
            </w:r>
            <w:r w:rsidRPr="00364ECC">
              <w:rPr>
                <w:sz w:val="20"/>
                <w:szCs w:val="20"/>
              </w:rPr>
              <w:t xml:space="preserve"> na EK atď.). Súčasťou implementačného plánu bude opis každého navrhovaného projektu, ktorý bude poskytovať súhrnné informácie o projekte (lokalizácia, súčasná dopravná situácia, technické parametre projektu, výstupové/výsledkové ukazovatele projektu atď.). </w:t>
            </w:r>
          </w:p>
        </w:tc>
        <w:tc>
          <w:tcPr>
            <w:tcW w:w="2836" w:type="dxa"/>
          </w:tcPr>
          <w:p w:rsidR="001A49CC" w:rsidRPr="00364ECC" w:rsidRDefault="001A49CC" w:rsidP="001A49CC">
            <w:pPr>
              <w:ind w:left="0"/>
              <w:jc w:val="center"/>
              <w:rPr>
                <w:sz w:val="20"/>
                <w:szCs w:val="20"/>
              </w:rPr>
            </w:pPr>
            <w:r w:rsidRPr="00364ECC">
              <w:rPr>
                <w:sz w:val="20"/>
                <w:szCs w:val="20"/>
              </w:rPr>
              <w:t>Máj 2014</w:t>
            </w:r>
          </w:p>
        </w:tc>
        <w:tc>
          <w:tcPr>
            <w:tcW w:w="2836" w:type="dxa"/>
          </w:tcPr>
          <w:p w:rsidR="001A49CC" w:rsidRPr="00364ECC" w:rsidRDefault="001A49CC" w:rsidP="001A49CC">
            <w:pPr>
              <w:ind w:left="0"/>
              <w:rPr>
                <w:sz w:val="20"/>
                <w:szCs w:val="20"/>
              </w:rPr>
            </w:pPr>
            <w:r w:rsidRPr="00364ECC">
              <w:rPr>
                <w:sz w:val="20"/>
                <w:szCs w:val="20"/>
              </w:rPr>
              <w:t>MDVRR SR (sekcia Operačného programu Doprava) v spolupráci s prijímateľmi</w:t>
            </w:r>
          </w:p>
        </w:tc>
      </w:tr>
      <w:tr w:rsidR="001A49CC" w:rsidTr="00A127CB">
        <w:trPr>
          <w:trHeight w:val="1179"/>
        </w:trPr>
        <w:tc>
          <w:tcPr>
            <w:tcW w:w="2833" w:type="dxa"/>
            <w:vMerge/>
            <w:vAlign w:val="center"/>
          </w:tcPr>
          <w:p w:rsidR="001A49CC" w:rsidRPr="00237788" w:rsidRDefault="001A49CC" w:rsidP="001A49CC">
            <w:pPr>
              <w:rPr>
                <w:color w:val="FF0000"/>
                <w:sz w:val="20"/>
                <w:szCs w:val="20"/>
              </w:rPr>
            </w:pPr>
          </w:p>
        </w:tc>
        <w:tc>
          <w:tcPr>
            <w:tcW w:w="2834" w:type="dxa"/>
            <w:vMerge w:val="restart"/>
          </w:tcPr>
          <w:p w:rsidR="001A49CC" w:rsidRPr="00566720" w:rsidRDefault="001A49CC" w:rsidP="001A49CC">
            <w:pPr>
              <w:spacing w:before="20"/>
              <w:ind w:left="0"/>
              <w:rPr>
                <w:sz w:val="20"/>
                <w:szCs w:val="20"/>
              </w:rPr>
            </w:pPr>
            <w:r w:rsidRPr="00364ECC">
              <w:rPr>
                <w:sz w:val="20"/>
                <w:szCs w:val="20"/>
              </w:rPr>
              <w:t>Opatrenia na zabezpečenie kapacity sprostredkovateľských orgánov a prijímateľov pri vykonávaní naplánovaných projektov</w:t>
            </w:r>
          </w:p>
        </w:tc>
        <w:tc>
          <w:tcPr>
            <w:tcW w:w="2836" w:type="dxa"/>
          </w:tcPr>
          <w:p w:rsidR="001A49CC" w:rsidRPr="00364ECC" w:rsidRDefault="001A49CC" w:rsidP="00197539">
            <w:pPr>
              <w:pStyle w:val="Odsekzoznamu"/>
              <w:ind w:left="0"/>
              <w:rPr>
                <w:sz w:val="20"/>
                <w:szCs w:val="20"/>
              </w:rPr>
            </w:pPr>
            <w:r w:rsidRPr="00364ECC">
              <w:rPr>
                <w:sz w:val="20"/>
                <w:szCs w:val="20"/>
              </w:rPr>
              <w:t>Vypracovanie analýzy kapacít sprostredkovateľských orgánov a prijímateľov. Analýza by mala identifikovať opatrenia, ktoré je potrebné prijať na posilnenie kapacít pri vykonávaní</w:t>
            </w:r>
            <w:r w:rsidR="00197539">
              <w:rPr>
                <w:sz w:val="20"/>
                <w:szCs w:val="20"/>
              </w:rPr>
              <w:t xml:space="preserve"> naplánovaných projektov s </w:t>
            </w:r>
            <w:r w:rsidRPr="00364ECC">
              <w:rPr>
                <w:sz w:val="20"/>
                <w:szCs w:val="20"/>
              </w:rPr>
              <w:t>cieľom predísť problémom, ktoré sa vyskytli pri implementácii v rámci súčasného programového obdobia.</w:t>
            </w:r>
          </w:p>
        </w:tc>
        <w:tc>
          <w:tcPr>
            <w:tcW w:w="2836" w:type="dxa"/>
          </w:tcPr>
          <w:p w:rsidR="001A49CC" w:rsidRPr="00364ECC" w:rsidRDefault="001A49CC" w:rsidP="001A49CC">
            <w:pPr>
              <w:ind w:left="0"/>
              <w:jc w:val="center"/>
              <w:rPr>
                <w:sz w:val="20"/>
                <w:szCs w:val="20"/>
              </w:rPr>
            </w:pPr>
            <w:r w:rsidRPr="00364ECC">
              <w:rPr>
                <w:sz w:val="20"/>
                <w:szCs w:val="20"/>
              </w:rPr>
              <w:t>Máj 2014</w:t>
            </w:r>
          </w:p>
        </w:tc>
        <w:tc>
          <w:tcPr>
            <w:tcW w:w="2836" w:type="dxa"/>
          </w:tcPr>
          <w:p w:rsidR="001A49CC" w:rsidRPr="00364ECC" w:rsidRDefault="001A49CC" w:rsidP="001A49CC">
            <w:pPr>
              <w:ind w:left="0"/>
              <w:rPr>
                <w:sz w:val="20"/>
                <w:szCs w:val="20"/>
              </w:rPr>
            </w:pPr>
            <w:r w:rsidRPr="00364ECC">
              <w:rPr>
                <w:sz w:val="20"/>
                <w:szCs w:val="20"/>
              </w:rPr>
              <w:t>MDVRR SR (sekcia Operačného programu Doprava)</w:t>
            </w:r>
          </w:p>
        </w:tc>
      </w:tr>
      <w:tr w:rsidR="001A49CC" w:rsidTr="00A127CB">
        <w:trPr>
          <w:trHeight w:val="916"/>
        </w:trPr>
        <w:tc>
          <w:tcPr>
            <w:tcW w:w="2833" w:type="dxa"/>
            <w:vMerge/>
            <w:vAlign w:val="center"/>
          </w:tcPr>
          <w:p w:rsidR="001A49CC" w:rsidRPr="00237788" w:rsidRDefault="001A49CC" w:rsidP="001A49CC">
            <w:pPr>
              <w:rPr>
                <w:color w:val="FF0000"/>
                <w:sz w:val="20"/>
                <w:szCs w:val="20"/>
              </w:rPr>
            </w:pPr>
          </w:p>
        </w:tc>
        <w:tc>
          <w:tcPr>
            <w:tcW w:w="2834" w:type="dxa"/>
            <w:vMerge/>
          </w:tcPr>
          <w:p w:rsidR="001A49CC" w:rsidRPr="00566720" w:rsidRDefault="001A49CC" w:rsidP="001A49CC">
            <w:pPr>
              <w:spacing w:before="20"/>
              <w:rPr>
                <w:sz w:val="20"/>
                <w:szCs w:val="20"/>
              </w:rPr>
            </w:pPr>
          </w:p>
        </w:tc>
        <w:tc>
          <w:tcPr>
            <w:tcW w:w="2836" w:type="dxa"/>
          </w:tcPr>
          <w:p w:rsidR="001A49CC" w:rsidRPr="00364ECC" w:rsidRDefault="001A49CC" w:rsidP="001A49CC">
            <w:pPr>
              <w:pStyle w:val="Odsekzoznamu"/>
              <w:ind w:left="0"/>
              <w:rPr>
                <w:sz w:val="20"/>
                <w:szCs w:val="20"/>
              </w:rPr>
            </w:pPr>
            <w:r w:rsidRPr="00364ECC">
              <w:rPr>
                <w:sz w:val="20"/>
                <w:szCs w:val="20"/>
              </w:rPr>
              <w:t xml:space="preserve">Aplikácia opatrení identifikovaných analýzou, tzn. prijatie potrebných krokov na zavedenie opatrení do praxe. </w:t>
            </w:r>
          </w:p>
        </w:tc>
        <w:tc>
          <w:tcPr>
            <w:tcW w:w="2836" w:type="dxa"/>
          </w:tcPr>
          <w:p w:rsidR="001A49CC" w:rsidRPr="00364ECC" w:rsidRDefault="00197539" w:rsidP="001A49CC">
            <w:pPr>
              <w:ind w:left="0"/>
              <w:jc w:val="center"/>
              <w:rPr>
                <w:sz w:val="20"/>
                <w:szCs w:val="20"/>
              </w:rPr>
            </w:pPr>
            <w:r>
              <w:rPr>
                <w:sz w:val="20"/>
                <w:szCs w:val="20"/>
              </w:rPr>
              <w:t xml:space="preserve">Október </w:t>
            </w:r>
            <w:r w:rsidR="001A49CC" w:rsidRPr="00364ECC">
              <w:rPr>
                <w:sz w:val="20"/>
                <w:szCs w:val="20"/>
              </w:rPr>
              <w:t>2014</w:t>
            </w:r>
          </w:p>
        </w:tc>
        <w:tc>
          <w:tcPr>
            <w:tcW w:w="2836" w:type="dxa"/>
          </w:tcPr>
          <w:p w:rsidR="001A49CC" w:rsidRPr="00364ECC" w:rsidRDefault="001A49CC" w:rsidP="001A49CC">
            <w:pPr>
              <w:ind w:left="0"/>
              <w:rPr>
                <w:sz w:val="20"/>
                <w:szCs w:val="20"/>
              </w:rPr>
            </w:pPr>
            <w:r w:rsidRPr="00364ECC">
              <w:rPr>
                <w:sz w:val="20"/>
                <w:szCs w:val="20"/>
              </w:rPr>
              <w:t xml:space="preserve">MDVRR SR (sekcia Operačného programu Doprava) v spolupráci s prijímateľmi </w:t>
            </w:r>
          </w:p>
        </w:tc>
      </w:tr>
      <w:tr w:rsidR="001A49CC" w:rsidTr="00A127CB">
        <w:trPr>
          <w:trHeight w:val="340"/>
        </w:trPr>
        <w:tc>
          <w:tcPr>
            <w:tcW w:w="2833" w:type="dxa"/>
            <w:vMerge w:val="restart"/>
            <w:vAlign w:val="center"/>
          </w:tcPr>
          <w:p w:rsidR="001A49CC" w:rsidRPr="00566720" w:rsidRDefault="001A49CC" w:rsidP="001A49CC">
            <w:pPr>
              <w:spacing w:before="20" w:after="20"/>
              <w:ind w:left="0"/>
              <w:rPr>
                <w:sz w:val="20"/>
                <w:szCs w:val="20"/>
              </w:rPr>
            </w:pPr>
            <w:r w:rsidRPr="00364ECC">
              <w:rPr>
                <w:sz w:val="20"/>
                <w:szCs w:val="20"/>
              </w:rPr>
              <w:t>7.2. Železničná doprava: existencia komplexného plánu či plánov alebo rámca či rámcov dopravy s osobitnou časťou venovanou rozvoju železničnej siete v súlade s inštitucionálnou štruktúrou členských štátov (vrátane verejnej dopravy na regionálnej a miestnej úrovni), ktorý podporuje rozvoj infraštruktúry a zlepšuje prepojenie na úplnú a základnú sieť TEN-T. Investície zahŕňajú mobilné aktíva, interoperabilitu a budovanie kapacít.</w:t>
            </w:r>
          </w:p>
        </w:tc>
        <w:tc>
          <w:tcPr>
            <w:tcW w:w="2834" w:type="dxa"/>
            <w:vMerge w:val="restart"/>
          </w:tcPr>
          <w:p w:rsidR="001A49CC" w:rsidRPr="00566720" w:rsidRDefault="001A49CC" w:rsidP="001A49CC">
            <w:pPr>
              <w:spacing w:before="20" w:after="20"/>
              <w:ind w:left="0"/>
              <w:rPr>
                <w:sz w:val="20"/>
                <w:szCs w:val="20"/>
              </w:rPr>
            </w:pPr>
            <w:r w:rsidRPr="00364ECC">
              <w:rPr>
                <w:sz w:val="20"/>
                <w:szCs w:val="20"/>
              </w:rPr>
              <w:t>V rámci uvedeného plánu či plánov alebo rámca či rámcov dopravy existuje časť venovaná rozvoju železničnej siete, ktorá spĺňa právne požiadavky na strategické environmentálne posúdenie a stanovuje realisticky a kvalitne vypracovaný plán realizácie projektov (vrátane časového plánu a rozpočtového rámca).</w:t>
            </w:r>
          </w:p>
        </w:tc>
        <w:tc>
          <w:tcPr>
            <w:tcW w:w="2836" w:type="dxa"/>
          </w:tcPr>
          <w:p w:rsidR="001A49CC" w:rsidRPr="00566720" w:rsidRDefault="001A49CC" w:rsidP="001A49CC">
            <w:pPr>
              <w:spacing w:after="20"/>
              <w:ind w:left="0"/>
              <w:rPr>
                <w:sz w:val="20"/>
                <w:szCs w:val="20"/>
              </w:rPr>
            </w:pPr>
            <w:r>
              <w:rPr>
                <w:sz w:val="20"/>
                <w:szCs w:val="20"/>
              </w:rPr>
              <w:t>Ukončenie procesu SEA</w:t>
            </w:r>
            <w:r w:rsidRPr="00364ECC">
              <w:rPr>
                <w:sz w:val="20"/>
                <w:szCs w:val="20"/>
              </w:rPr>
              <w:t xml:space="preserve"> Strategického plánu rozvoja dopravnej infraštruktúry SR do roku 2020 (fáza I.), vrátane Stratégie rozvoja verejnej osobnej a nemotorovej dopravy SR do roku 2020, ktorá tvorí jeho prílohu.</w:t>
            </w:r>
          </w:p>
        </w:tc>
        <w:tc>
          <w:tcPr>
            <w:tcW w:w="2836" w:type="dxa"/>
          </w:tcPr>
          <w:p w:rsidR="001A49CC" w:rsidRPr="00364ECC" w:rsidRDefault="001A49CC" w:rsidP="001A49CC">
            <w:pPr>
              <w:ind w:left="0"/>
              <w:jc w:val="center"/>
              <w:rPr>
                <w:sz w:val="20"/>
                <w:szCs w:val="20"/>
              </w:rPr>
            </w:pPr>
            <w:r w:rsidRPr="00364ECC">
              <w:rPr>
                <w:sz w:val="20"/>
                <w:szCs w:val="20"/>
              </w:rPr>
              <w:t>Apríl 2014</w:t>
            </w:r>
          </w:p>
        </w:tc>
        <w:tc>
          <w:tcPr>
            <w:tcW w:w="2836" w:type="dxa"/>
          </w:tcPr>
          <w:p w:rsidR="001A49CC" w:rsidRPr="00364ECC" w:rsidRDefault="001A49CC" w:rsidP="001A49CC">
            <w:pPr>
              <w:ind w:left="0"/>
              <w:rPr>
                <w:sz w:val="20"/>
                <w:szCs w:val="20"/>
              </w:rPr>
            </w:pPr>
            <w:r w:rsidRPr="00364ECC">
              <w:rPr>
                <w:sz w:val="20"/>
                <w:szCs w:val="20"/>
              </w:rPr>
              <w:t xml:space="preserve">MDVRR SR (sekcia Operačného programu Doprava) </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after="20"/>
              <w:ind w:left="0"/>
              <w:rPr>
                <w:sz w:val="20"/>
                <w:szCs w:val="20"/>
              </w:rPr>
            </w:pPr>
          </w:p>
        </w:tc>
        <w:tc>
          <w:tcPr>
            <w:tcW w:w="2836" w:type="dxa"/>
          </w:tcPr>
          <w:p w:rsidR="001A49CC" w:rsidRPr="00364ECC" w:rsidRDefault="001A49CC" w:rsidP="001A49CC">
            <w:pPr>
              <w:pStyle w:val="Odsekzoznamu"/>
              <w:ind w:left="0"/>
              <w:rPr>
                <w:sz w:val="20"/>
                <w:szCs w:val="20"/>
              </w:rPr>
            </w:pPr>
            <w:r w:rsidRPr="00364ECC">
              <w:rPr>
                <w:sz w:val="20"/>
                <w:szCs w:val="20"/>
              </w:rPr>
              <w:t>plánu projektov financovaných z KF, ERDF a CEF (názov projektu, náklady, EIA proces, stupeň projektovej prípravy, termín realizácie, predpokladaný f</w:t>
            </w:r>
            <w:r>
              <w:rPr>
                <w:sz w:val="20"/>
                <w:szCs w:val="20"/>
              </w:rPr>
              <w:t xml:space="preserve">inančný plán, plánovaný termín </w:t>
            </w:r>
            <w:r w:rsidRPr="00364ECC">
              <w:rPr>
                <w:sz w:val="20"/>
                <w:szCs w:val="20"/>
              </w:rPr>
              <w:t>schválenia projektu RO, predlož</w:t>
            </w:r>
            <w:r>
              <w:rPr>
                <w:sz w:val="20"/>
                <w:szCs w:val="20"/>
              </w:rPr>
              <w:t>enia</w:t>
            </w:r>
            <w:r w:rsidRPr="00364ECC">
              <w:rPr>
                <w:sz w:val="20"/>
                <w:szCs w:val="20"/>
              </w:rPr>
              <w:t xml:space="preserve"> na EK atď.). Súčasťou implementačného plánu bude opis každého navrhovaného projektu, ktorý bude poskytovať </w:t>
            </w:r>
            <w:r w:rsidRPr="00364ECC">
              <w:rPr>
                <w:sz w:val="20"/>
                <w:szCs w:val="20"/>
              </w:rPr>
              <w:lastRenderedPageBreak/>
              <w:t>súhrnné informácie o projekte (lokalizácia, súčasná dopravná situácia, technické parametre projektu, výstupové/výsledkové ukazovatele projektu atď.).</w:t>
            </w:r>
          </w:p>
        </w:tc>
        <w:tc>
          <w:tcPr>
            <w:tcW w:w="2836" w:type="dxa"/>
          </w:tcPr>
          <w:p w:rsidR="001A49CC" w:rsidRPr="00364ECC" w:rsidRDefault="001A49CC" w:rsidP="001A49CC">
            <w:pPr>
              <w:ind w:left="0"/>
              <w:jc w:val="center"/>
              <w:rPr>
                <w:sz w:val="20"/>
                <w:szCs w:val="20"/>
              </w:rPr>
            </w:pPr>
            <w:r w:rsidRPr="00364ECC">
              <w:rPr>
                <w:sz w:val="20"/>
                <w:szCs w:val="20"/>
              </w:rPr>
              <w:lastRenderedPageBreak/>
              <w:t>Máj 2014</w:t>
            </w:r>
          </w:p>
        </w:tc>
        <w:tc>
          <w:tcPr>
            <w:tcW w:w="2836" w:type="dxa"/>
          </w:tcPr>
          <w:p w:rsidR="001A49CC" w:rsidRPr="00364ECC" w:rsidRDefault="001A49CC" w:rsidP="001A49CC">
            <w:pPr>
              <w:ind w:left="0"/>
              <w:rPr>
                <w:sz w:val="20"/>
                <w:szCs w:val="20"/>
              </w:rPr>
            </w:pPr>
            <w:r w:rsidRPr="00364ECC">
              <w:rPr>
                <w:sz w:val="20"/>
                <w:szCs w:val="20"/>
              </w:rPr>
              <w:t>MDVRR SR (sekcia Operačného programu Doprava) v spolupráci s prijímateľmi</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ind w:left="0"/>
              <w:rPr>
                <w:sz w:val="20"/>
                <w:szCs w:val="20"/>
              </w:rPr>
            </w:pPr>
          </w:p>
        </w:tc>
        <w:tc>
          <w:tcPr>
            <w:tcW w:w="2836" w:type="dxa"/>
          </w:tcPr>
          <w:p w:rsidR="001A49CC" w:rsidRPr="00F1198B" w:rsidRDefault="001A49CC" w:rsidP="00A3669F">
            <w:pPr>
              <w:pStyle w:val="Odsekzoznamu"/>
              <w:ind w:left="0"/>
              <w:rPr>
                <w:sz w:val="16"/>
                <w:szCs w:val="16"/>
              </w:rPr>
            </w:pPr>
            <w:r w:rsidRPr="00364ECC">
              <w:rPr>
                <w:sz w:val="20"/>
                <w:szCs w:val="20"/>
              </w:rPr>
              <w:t>Zabezpečenie dopravného modelu SR za účelom účinnejšieho posúdenia potrieb a efektívnejšieho plánovania ďalšieho rozvoja dopravnej infraštruktúry SR.</w:t>
            </w:r>
          </w:p>
        </w:tc>
        <w:tc>
          <w:tcPr>
            <w:tcW w:w="2836" w:type="dxa"/>
          </w:tcPr>
          <w:p w:rsidR="001A49CC" w:rsidRPr="00364ECC" w:rsidRDefault="001A49CC" w:rsidP="001A49CC">
            <w:pPr>
              <w:ind w:left="0"/>
              <w:jc w:val="center"/>
              <w:rPr>
                <w:sz w:val="20"/>
                <w:szCs w:val="20"/>
              </w:rPr>
            </w:pPr>
            <w:r w:rsidRPr="00364ECC">
              <w:rPr>
                <w:sz w:val="20"/>
                <w:szCs w:val="20"/>
              </w:rPr>
              <w:t>Október 2015</w:t>
            </w:r>
          </w:p>
        </w:tc>
        <w:tc>
          <w:tcPr>
            <w:tcW w:w="2836" w:type="dxa"/>
          </w:tcPr>
          <w:p w:rsidR="001A49CC" w:rsidRPr="00364ECC" w:rsidRDefault="001A49CC" w:rsidP="001A49CC">
            <w:pPr>
              <w:ind w:left="0"/>
              <w:rPr>
                <w:sz w:val="20"/>
                <w:szCs w:val="20"/>
              </w:rPr>
            </w:pPr>
            <w:r w:rsidRPr="00364ECC">
              <w:rPr>
                <w:sz w:val="20"/>
                <w:szCs w:val="20"/>
              </w:rPr>
              <w:t>MDVRR SR (sekcia záležitostí EÚ a zahraničných vzťahov v spolupráci so sekciou Operačného programu Doprava)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rPr>
                <w:sz w:val="20"/>
                <w:szCs w:val="20"/>
              </w:rPr>
            </w:pPr>
          </w:p>
        </w:tc>
        <w:tc>
          <w:tcPr>
            <w:tcW w:w="2836" w:type="dxa"/>
          </w:tcPr>
          <w:p w:rsidR="001A49CC" w:rsidRPr="00364ECC" w:rsidRDefault="001A49CC" w:rsidP="001A49CC">
            <w:pPr>
              <w:pStyle w:val="Odsekzoznamu"/>
              <w:ind w:left="0"/>
              <w:rPr>
                <w:sz w:val="20"/>
                <w:szCs w:val="20"/>
              </w:rPr>
            </w:pPr>
            <w:r w:rsidRPr="00364ECC">
              <w:rPr>
                <w:sz w:val="20"/>
                <w:szCs w:val="20"/>
              </w:rPr>
              <w:t>Vypracovanie Strategického plánu rozvoja dopravnej infraštruktúry SR do roku 2030 (fáza II.) na základe výstupov z dopravného modelu SR.</w:t>
            </w:r>
          </w:p>
        </w:tc>
        <w:tc>
          <w:tcPr>
            <w:tcW w:w="2836" w:type="dxa"/>
          </w:tcPr>
          <w:p w:rsidR="001A49CC" w:rsidRPr="00364ECC" w:rsidRDefault="001A49CC" w:rsidP="001A49CC">
            <w:pPr>
              <w:ind w:left="0"/>
              <w:jc w:val="center"/>
              <w:rPr>
                <w:sz w:val="20"/>
                <w:szCs w:val="20"/>
              </w:rPr>
            </w:pPr>
            <w:r w:rsidRPr="00364ECC">
              <w:rPr>
                <w:sz w:val="20"/>
                <w:szCs w:val="20"/>
              </w:rPr>
              <w:t>Jún 2016</w:t>
            </w:r>
          </w:p>
        </w:tc>
        <w:tc>
          <w:tcPr>
            <w:tcW w:w="2836" w:type="dxa"/>
          </w:tcPr>
          <w:p w:rsidR="001A49CC" w:rsidRPr="00364ECC" w:rsidRDefault="001A49CC" w:rsidP="001A49CC">
            <w:pPr>
              <w:ind w:left="0"/>
              <w:rPr>
                <w:sz w:val="20"/>
                <w:szCs w:val="20"/>
              </w:rPr>
            </w:pPr>
            <w:r w:rsidRPr="00364ECC">
              <w:rPr>
                <w:sz w:val="20"/>
                <w:szCs w:val="20"/>
              </w:rPr>
              <w:t>MDVRR SR (Inštitút stratégie v spolupráci so sekciou Operačného programu Doprava a ostatnými odbornými útvarmi ministerstva)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rPr>
                <w:sz w:val="20"/>
                <w:szCs w:val="20"/>
              </w:rPr>
            </w:pPr>
          </w:p>
        </w:tc>
        <w:tc>
          <w:tcPr>
            <w:tcW w:w="2836" w:type="dxa"/>
          </w:tcPr>
          <w:p w:rsidR="001A49CC" w:rsidRPr="00364ECC" w:rsidRDefault="001A49CC" w:rsidP="00A3669F">
            <w:pPr>
              <w:pStyle w:val="Odsekzoznamu"/>
              <w:ind w:left="0"/>
              <w:rPr>
                <w:sz w:val="20"/>
                <w:szCs w:val="20"/>
              </w:rPr>
            </w:pPr>
            <w:r w:rsidRPr="00364ECC">
              <w:rPr>
                <w:sz w:val="20"/>
                <w:szCs w:val="20"/>
              </w:rPr>
              <w:t>Vykonanie strategického environmentálneho hodnotenia Strategického plánu rozvoja dopravnej infraštruktúry SR do roku 2030 (fáza II.)</w:t>
            </w:r>
          </w:p>
        </w:tc>
        <w:tc>
          <w:tcPr>
            <w:tcW w:w="2836" w:type="dxa"/>
          </w:tcPr>
          <w:p w:rsidR="001A49CC" w:rsidRPr="00364ECC" w:rsidRDefault="001A49CC" w:rsidP="001A49CC">
            <w:pPr>
              <w:ind w:left="0"/>
              <w:jc w:val="center"/>
              <w:rPr>
                <w:sz w:val="20"/>
                <w:szCs w:val="20"/>
              </w:rPr>
            </w:pPr>
            <w:r w:rsidRPr="00364ECC">
              <w:rPr>
                <w:sz w:val="20"/>
                <w:szCs w:val="20"/>
              </w:rPr>
              <w:t>Október 2016</w:t>
            </w:r>
          </w:p>
        </w:tc>
        <w:tc>
          <w:tcPr>
            <w:tcW w:w="2836" w:type="dxa"/>
          </w:tcPr>
          <w:p w:rsidR="001A49CC" w:rsidRPr="00364ECC" w:rsidRDefault="001A49CC" w:rsidP="001A49CC">
            <w:pPr>
              <w:ind w:left="0"/>
              <w:rPr>
                <w:sz w:val="20"/>
                <w:szCs w:val="20"/>
              </w:rPr>
            </w:pPr>
            <w:r w:rsidRPr="00364ECC">
              <w:rPr>
                <w:sz w:val="20"/>
                <w:szCs w:val="20"/>
              </w:rPr>
              <w:t>MDVRR SR (Inštitút stratégie v spolupráci so sekciou Operačného programu Doprava)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rPr>
                <w:sz w:val="20"/>
                <w:szCs w:val="20"/>
              </w:rPr>
            </w:pPr>
          </w:p>
        </w:tc>
        <w:tc>
          <w:tcPr>
            <w:tcW w:w="2836" w:type="dxa"/>
          </w:tcPr>
          <w:p w:rsidR="001A49CC" w:rsidRPr="00364ECC" w:rsidRDefault="001A49CC" w:rsidP="00A3669F">
            <w:pPr>
              <w:pStyle w:val="Odsekzoznamu"/>
              <w:ind w:left="0"/>
              <w:rPr>
                <w:sz w:val="20"/>
                <w:szCs w:val="20"/>
              </w:rPr>
            </w:pPr>
            <w:r w:rsidRPr="00364ECC">
              <w:rPr>
                <w:sz w:val="20"/>
                <w:szCs w:val="20"/>
              </w:rPr>
              <w:t>Predloženie Strategického plánu rozvoja dopravnej infraštruktúry SR do roku 2030 (fáza II.) na rokovanie Hospodárskej a sociálnej rady SR za účelom jeho schválenia.</w:t>
            </w:r>
          </w:p>
        </w:tc>
        <w:tc>
          <w:tcPr>
            <w:tcW w:w="2836" w:type="dxa"/>
          </w:tcPr>
          <w:p w:rsidR="001A49CC" w:rsidRPr="00364ECC" w:rsidRDefault="001A49CC" w:rsidP="001A49CC">
            <w:pPr>
              <w:ind w:left="0"/>
              <w:jc w:val="center"/>
              <w:rPr>
                <w:sz w:val="20"/>
                <w:szCs w:val="20"/>
              </w:rPr>
            </w:pPr>
            <w:r w:rsidRPr="00364ECC">
              <w:rPr>
                <w:sz w:val="20"/>
                <w:szCs w:val="20"/>
              </w:rPr>
              <w:t>November 2016</w:t>
            </w:r>
          </w:p>
        </w:tc>
        <w:tc>
          <w:tcPr>
            <w:tcW w:w="2836" w:type="dxa"/>
          </w:tcPr>
          <w:p w:rsidR="001A49CC" w:rsidRPr="00364ECC" w:rsidRDefault="001A49CC" w:rsidP="001A49CC">
            <w:pPr>
              <w:ind w:left="0"/>
              <w:rPr>
                <w:sz w:val="20"/>
                <w:szCs w:val="20"/>
              </w:rPr>
            </w:pPr>
            <w:r w:rsidRPr="00364ECC">
              <w:rPr>
                <w:sz w:val="20"/>
                <w:szCs w:val="20"/>
              </w:rPr>
              <w:t>MDVRR SR (Inštitút stratégie v spolupráci so sekciou Operačného programu Doprava)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rPr>
                <w:sz w:val="20"/>
                <w:szCs w:val="20"/>
              </w:rPr>
            </w:pPr>
          </w:p>
        </w:tc>
        <w:tc>
          <w:tcPr>
            <w:tcW w:w="2836" w:type="dxa"/>
          </w:tcPr>
          <w:p w:rsidR="001A49CC" w:rsidRPr="00364ECC" w:rsidRDefault="001A49CC" w:rsidP="001A49CC">
            <w:pPr>
              <w:pStyle w:val="Odsekzoznamu"/>
              <w:ind w:left="0"/>
              <w:rPr>
                <w:sz w:val="20"/>
                <w:szCs w:val="20"/>
              </w:rPr>
            </w:pPr>
            <w:r w:rsidRPr="00364ECC">
              <w:rPr>
                <w:sz w:val="20"/>
                <w:szCs w:val="20"/>
              </w:rPr>
              <w:t>Predloženie Strategického plánu rozvoja dopravnej infraštruktúry SR do roku 2030 (fáza II.) na rokovanie vlády SR za účelom jeho schválenia</w:t>
            </w:r>
          </w:p>
        </w:tc>
        <w:tc>
          <w:tcPr>
            <w:tcW w:w="2836" w:type="dxa"/>
          </w:tcPr>
          <w:p w:rsidR="001A49CC" w:rsidRPr="00364ECC" w:rsidRDefault="001A49CC" w:rsidP="001A49CC">
            <w:pPr>
              <w:ind w:left="0"/>
              <w:jc w:val="center"/>
              <w:rPr>
                <w:sz w:val="20"/>
                <w:szCs w:val="20"/>
              </w:rPr>
            </w:pPr>
            <w:r w:rsidRPr="00364ECC">
              <w:rPr>
                <w:sz w:val="20"/>
                <w:szCs w:val="20"/>
              </w:rPr>
              <w:t>December 2016</w:t>
            </w:r>
          </w:p>
        </w:tc>
        <w:tc>
          <w:tcPr>
            <w:tcW w:w="2836" w:type="dxa"/>
          </w:tcPr>
          <w:p w:rsidR="001A49CC" w:rsidRPr="00364ECC" w:rsidRDefault="001A49CC" w:rsidP="001A49CC">
            <w:pPr>
              <w:ind w:left="0"/>
              <w:rPr>
                <w:sz w:val="20"/>
                <w:szCs w:val="20"/>
              </w:rPr>
            </w:pPr>
            <w:r w:rsidRPr="00364ECC">
              <w:rPr>
                <w:sz w:val="20"/>
                <w:szCs w:val="20"/>
              </w:rPr>
              <w:t>MDVRR SR (Inštitút stratégie v spolupráci so sekciou Operačného programu Doprava)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rPr>
                <w:sz w:val="20"/>
                <w:szCs w:val="20"/>
              </w:rPr>
            </w:pPr>
          </w:p>
        </w:tc>
        <w:tc>
          <w:tcPr>
            <w:tcW w:w="2836" w:type="dxa"/>
          </w:tcPr>
          <w:p w:rsidR="001A49CC" w:rsidRPr="00364ECC" w:rsidRDefault="001A49CC" w:rsidP="001A49CC">
            <w:pPr>
              <w:pStyle w:val="Odsekzoznamu"/>
              <w:ind w:left="0"/>
              <w:rPr>
                <w:sz w:val="20"/>
                <w:szCs w:val="20"/>
              </w:rPr>
            </w:pPr>
            <w:r w:rsidRPr="00364ECC">
              <w:rPr>
                <w:sz w:val="20"/>
                <w:szCs w:val="20"/>
              </w:rPr>
              <w:t xml:space="preserve">Predloženie Strategického plánu rozvoja dopravnej infraštruktúry SR do roku 2030 (fáza II.) EK za účelom posúdenia úplného </w:t>
            </w:r>
            <w:r w:rsidRPr="00364ECC">
              <w:rPr>
                <w:sz w:val="20"/>
                <w:szCs w:val="20"/>
              </w:rPr>
              <w:lastRenderedPageBreak/>
              <w:t xml:space="preserve">splnenia ex ante kondicionalít stanovených pre sektor dopravy </w:t>
            </w:r>
          </w:p>
        </w:tc>
        <w:tc>
          <w:tcPr>
            <w:tcW w:w="2836" w:type="dxa"/>
          </w:tcPr>
          <w:p w:rsidR="001A49CC" w:rsidRPr="00364ECC" w:rsidRDefault="001A49CC" w:rsidP="001A49CC">
            <w:pPr>
              <w:ind w:left="0"/>
              <w:jc w:val="center"/>
              <w:rPr>
                <w:sz w:val="20"/>
                <w:szCs w:val="20"/>
              </w:rPr>
            </w:pPr>
            <w:r w:rsidRPr="00364ECC">
              <w:rPr>
                <w:sz w:val="20"/>
                <w:szCs w:val="20"/>
              </w:rPr>
              <w:lastRenderedPageBreak/>
              <w:t>December 2016</w:t>
            </w:r>
          </w:p>
        </w:tc>
        <w:tc>
          <w:tcPr>
            <w:tcW w:w="2836" w:type="dxa"/>
          </w:tcPr>
          <w:p w:rsidR="001A49CC" w:rsidRPr="00364ECC" w:rsidRDefault="001A49CC" w:rsidP="001A49CC">
            <w:pPr>
              <w:ind w:left="0"/>
              <w:rPr>
                <w:sz w:val="20"/>
                <w:szCs w:val="20"/>
              </w:rPr>
            </w:pPr>
            <w:r w:rsidRPr="00364ECC">
              <w:rPr>
                <w:sz w:val="20"/>
                <w:szCs w:val="20"/>
              </w:rPr>
              <w:t>MDVRR SR (Inštitút stratégie v spolupráci so sekciou Operačného programu Doprava)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val="restart"/>
          </w:tcPr>
          <w:p w:rsidR="001A49CC" w:rsidRPr="00566720" w:rsidRDefault="001A49CC" w:rsidP="001A49CC">
            <w:pPr>
              <w:spacing w:before="20"/>
              <w:ind w:left="0"/>
              <w:rPr>
                <w:sz w:val="20"/>
                <w:szCs w:val="20"/>
              </w:rPr>
            </w:pPr>
            <w:r w:rsidRPr="00364ECC">
              <w:rPr>
                <w:sz w:val="20"/>
                <w:szCs w:val="20"/>
              </w:rPr>
              <w:t>Opatrenia na zabezpečenie kapacity sprostredkovateľských orgánov a prijímateľov pri vykonávaní naplánovaných projektov.</w:t>
            </w:r>
          </w:p>
        </w:tc>
        <w:tc>
          <w:tcPr>
            <w:tcW w:w="2836" w:type="dxa"/>
          </w:tcPr>
          <w:p w:rsidR="001A49CC" w:rsidRPr="00364ECC" w:rsidRDefault="001A49CC" w:rsidP="00197539">
            <w:pPr>
              <w:pStyle w:val="Odsekzoznamu"/>
              <w:ind w:left="0"/>
              <w:rPr>
                <w:sz w:val="20"/>
                <w:szCs w:val="20"/>
              </w:rPr>
            </w:pPr>
            <w:r w:rsidRPr="00364ECC">
              <w:rPr>
                <w:sz w:val="20"/>
                <w:szCs w:val="20"/>
              </w:rPr>
              <w:t>Vypracovanie analýzy kapacít sprostredkovateľských orgánov a prijímateľov. Analýza by mala identifikovať opatrenia, ktoré je potrebné prijať na posilnenie kapacít pri vykonávaní</w:t>
            </w:r>
            <w:r w:rsidR="00197539">
              <w:rPr>
                <w:sz w:val="20"/>
                <w:szCs w:val="20"/>
              </w:rPr>
              <w:t xml:space="preserve"> </w:t>
            </w:r>
            <w:r w:rsidRPr="00364ECC">
              <w:rPr>
                <w:sz w:val="20"/>
                <w:szCs w:val="20"/>
              </w:rPr>
              <w:t xml:space="preserve">naplánovaných projektov s cieľom predísť problémom, ktoré sa vyskytli pri implementácii v rámci súčasného programového obdobia. </w:t>
            </w:r>
          </w:p>
        </w:tc>
        <w:tc>
          <w:tcPr>
            <w:tcW w:w="2836" w:type="dxa"/>
          </w:tcPr>
          <w:p w:rsidR="001A49CC" w:rsidRPr="00364ECC" w:rsidRDefault="001A49CC" w:rsidP="001A49CC">
            <w:pPr>
              <w:ind w:left="0"/>
              <w:jc w:val="center"/>
              <w:rPr>
                <w:sz w:val="20"/>
                <w:szCs w:val="20"/>
              </w:rPr>
            </w:pPr>
            <w:r w:rsidRPr="00364ECC">
              <w:rPr>
                <w:sz w:val="20"/>
                <w:szCs w:val="20"/>
              </w:rPr>
              <w:t>Máj 2014</w:t>
            </w:r>
          </w:p>
        </w:tc>
        <w:tc>
          <w:tcPr>
            <w:tcW w:w="2836" w:type="dxa"/>
          </w:tcPr>
          <w:p w:rsidR="001A49CC" w:rsidRPr="00364ECC" w:rsidRDefault="001A49CC" w:rsidP="001A49CC">
            <w:pPr>
              <w:ind w:left="0"/>
              <w:rPr>
                <w:sz w:val="20"/>
                <w:szCs w:val="20"/>
              </w:rPr>
            </w:pPr>
            <w:r w:rsidRPr="00364ECC">
              <w:rPr>
                <w:sz w:val="20"/>
                <w:szCs w:val="20"/>
              </w:rPr>
              <w:t>MDVRR SR (sekcia Operačného programu Doprava)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rPr>
                <w:sz w:val="20"/>
                <w:szCs w:val="20"/>
              </w:rPr>
            </w:pPr>
          </w:p>
        </w:tc>
        <w:tc>
          <w:tcPr>
            <w:tcW w:w="2836" w:type="dxa"/>
          </w:tcPr>
          <w:p w:rsidR="001A49CC" w:rsidRPr="00364ECC" w:rsidRDefault="001A49CC" w:rsidP="001A49CC">
            <w:pPr>
              <w:pStyle w:val="Odsekzoznamu"/>
              <w:ind w:left="0"/>
              <w:rPr>
                <w:sz w:val="20"/>
                <w:szCs w:val="20"/>
              </w:rPr>
            </w:pPr>
            <w:r w:rsidRPr="00364ECC">
              <w:rPr>
                <w:sz w:val="20"/>
                <w:szCs w:val="20"/>
              </w:rPr>
              <w:t xml:space="preserve">Aplikácia opatrení identifikovaných analýzou, tzn. prijatie potrebných krokov na zavedenie opatrení do praxe. </w:t>
            </w:r>
          </w:p>
        </w:tc>
        <w:tc>
          <w:tcPr>
            <w:tcW w:w="2836" w:type="dxa"/>
          </w:tcPr>
          <w:p w:rsidR="001A49CC" w:rsidRPr="00364ECC" w:rsidRDefault="001A49CC" w:rsidP="001A49CC">
            <w:pPr>
              <w:ind w:left="0"/>
              <w:jc w:val="center"/>
              <w:rPr>
                <w:sz w:val="20"/>
                <w:szCs w:val="20"/>
              </w:rPr>
            </w:pPr>
            <w:r w:rsidRPr="00364ECC">
              <w:rPr>
                <w:sz w:val="20"/>
                <w:szCs w:val="20"/>
              </w:rPr>
              <w:t>Október  2014</w:t>
            </w:r>
          </w:p>
        </w:tc>
        <w:tc>
          <w:tcPr>
            <w:tcW w:w="2836" w:type="dxa"/>
          </w:tcPr>
          <w:p w:rsidR="001A49CC" w:rsidRPr="00364ECC" w:rsidRDefault="001A49CC" w:rsidP="001A49CC">
            <w:pPr>
              <w:ind w:left="0"/>
              <w:rPr>
                <w:sz w:val="20"/>
                <w:szCs w:val="20"/>
              </w:rPr>
            </w:pPr>
            <w:r w:rsidRPr="00364ECC">
              <w:rPr>
                <w:sz w:val="20"/>
                <w:szCs w:val="20"/>
              </w:rPr>
              <w:t xml:space="preserve">MDVRR SR (sekcia Operačného programu Doprava) v spolupráci s prijímateľmi </w:t>
            </w:r>
          </w:p>
        </w:tc>
      </w:tr>
      <w:tr w:rsidR="001A49CC" w:rsidTr="00A127CB">
        <w:trPr>
          <w:trHeight w:val="340"/>
        </w:trPr>
        <w:tc>
          <w:tcPr>
            <w:tcW w:w="2833" w:type="dxa"/>
            <w:vMerge w:val="restart"/>
          </w:tcPr>
          <w:p w:rsidR="001A49CC" w:rsidRPr="00566720" w:rsidRDefault="001A49CC" w:rsidP="001A49CC">
            <w:pPr>
              <w:spacing w:before="120" w:after="20"/>
              <w:ind w:left="0"/>
              <w:rPr>
                <w:sz w:val="20"/>
                <w:szCs w:val="20"/>
              </w:rPr>
            </w:pPr>
            <w:r w:rsidRPr="00364ECC">
              <w:rPr>
                <w:sz w:val="20"/>
                <w:szCs w:val="20"/>
              </w:rPr>
              <w:t xml:space="preserve">7.3. Iné druhy dopravy vrátane vnútrozemských vodných ciest a námornej prepravy, prístavov, multimodálnych spojení a letiskovej infraštruktúry: existencia komplexného plánu či plánov alebo rámca či rámcov dopravy s osobitnou časťou venovanou vnútrozemským vodným cestám a námornej preprave, prístavom, multimodálnym spojeniam a letiskovej infraštruktúre, ktoré prispievajú k zlepšovaniu prepojenia na úplnú a základnú sieť TEN-T a podporujú udržateľnú regionálnu a miestnu </w:t>
            </w:r>
            <w:r w:rsidRPr="00364ECC">
              <w:rPr>
                <w:sz w:val="20"/>
                <w:szCs w:val="20"/>
              </w:rPr>
              <w:lastRenderedPageBreak/>
              <w:t>mobilitu.</w:t>
            </w:r>
          </w:p>
        </w:tc>
        <w:tc>
          <w:tcPr>
            <w:tcW w:w="2834" w:type="dxa"/>
            <w:vMerge w:val="restart"/>
          </w:tcPr>
          <w:p w:rsidR="001A49CC" w:rsidRPr="00566720" w:rsidRDefault="001A49CC" w:rsidP="001A49CC">
            <w:pPr>
              <w:spacing w:before="20" w:after="20"/>
              <w:ind w:left="0"/>
              <w:rPr>
                <w:strike/>
                <w:sz w:val="20"/>
                <w:szCs w:val="20"/>
              </w:rPr>
            </w:pPr>
            <w:r w:rsidRPr="00364ECC">
              <w:rPr>
                <w:sz w:val="20"/>
                <w:szCs w:val="20"/>
              </w:rPr>
              <w:lastRenderedPageBreak/>
              <w:t>Existencia časti venovanej vnútrozemským vodným cestám a námornej preprave, prístavom, multimodálnym spojeniam a letiskovej infraštruktúre v rámci plánu či plánov alebo rámca či rámcov dopravy, ktorá:</w:t>
            </w:r>
          </w:p>
        </w:tc>
        <w:tc>
          <w:tcPr>
            <w:tcW w:w="2836" w:type="dxa"/>
          </w:tcPr>
          <w:p w:rsidR="001A49CC" w:rsidRPr="00364ECC" w:rsidRDefault="001A49CC" w:rsidP="00197539">
            <w:pPr>
              <w:pStyle w:val="Odsekzoznamu"/>
              <w:ind w:left="0"/>
              <w:rPr>
                <w:sz w:val="20"/>
                <w:szCs w:val="20"/>
              </w:rPr>
            </w:pPr>
            <w:r w:rsidRPr="00364ECC">
              <w:rPr>
                <w:sz w:val="20"/>
                <w:szCs w:val="20"/>
              </w:rPr>
              <w:t>Zabezpečenie dopravného modelu SR za účelom účinnejšieho posúdenia potrieb a efektívnejšieho plánovania ďalšieho rozvoja dopravnej infraštruktúry SR.</w:t>
            </w:r>
          </w:p>
        </w:tc>
        <w:tc>
          <w:tcPr>
            <w:tcW w:w="2836" w:type="dxa"/>
          </w:tcPr>
          <w:p w:rsidR="001A49CC" w:rsidRPr="00364ECC" w:rsidRDefault="001A49CC" w:rsidP="001A49CC">
            <w:pPr>
              <w:ind w:left="0"/>
              <w:jc w:val="center"/>
              <w:rPr>
                <w:sz w:val="20"/>
                <w:szCs w:val="20"/>
              </w:rPr>
            </w:pPr>
            <w:r w:rsidRPr="00364ECC">
              <w:rPr>
                <w:sz w:val="20"/>
                <w:szCs w:val="20"/>
              </w:rPr>
              <w:t>Október 2015</w:t>
            </w:r>
          </w:p>
        </w:tc>
        <w:tc>
          <w:tcPr>
            <w:tcW w:w="2836" w:type="dxa"/>
          </w:tcPr>
          <w:p w:rsidR="001A49CC" w:rsidRPr="00364ECC" w:rsidRDefault="001A49CC" w:rsidP="001A49CC">
            <w:pPr>
              <w:ind w:left="0"/>
              <w:rPr>
                <w:sz w:val="20"/>
                <w:szCs w:val="20"/>
              </w:rPr>
            </w:pPr>
            <w:r w:rsidRPr="00364ECC">
              <w:rPr>
                <w:sz w:val="20"/>
                <w:szCs w:val="20"/>
              </w:rPr>
              <w:t>MDVRR SR (sekcia záležitostí EÚ a zahraničných vzťahov v spolupráci so sekciou Operačného programu Doprava)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after="20"/>
              <w:ind w:left="0"/>
              <w:rPr>
                <w:strike/>
                <w:sz w:val="20"/>
                <w:szCs w:val="20"/>
              </w:rPr>
            </w:pPr>
          </w:p>
        </w:tc>
        <w:tc>
          <w:tcPr>
            <w:tcW w:w="2836" w:type="dxa"/>
          </w:tcPr>
          <w:p w:rsidR="001A49CC" w:rsidRPr="00364ECC" w:rsidRDefault="001A49CC" w:rsidP="001A49CC">
            <w:pPr>
              <w:pStyle w:val="Odsekzoznamu"/>
              <w:ind w:left="0"/>
              <w:rPr>
                <w:sz w:val="20"/>
                <w:szCs w:val="20"/>
              </w:rPr>
            </w:pPr>
            <w:r w:rsidRPr="00364ECC">
              <w:rPr>
                <w:sz w:val="20"/>
                <w:szCs w:val="20"/>
              </w:rPr>
              <w:t>Vypracovanie Strategického plánu rozvoja dopravnej infraštruktúry SR do roku 2030 (fáza II.) na základe výstupov z dopravného modelu SR.</w:t>
            </w:r>
          </w:p>
        </w:tc>
        <w:tc>
          <w:tcPr>
            <w:tcW w:w="2836" w:type="dxa"/>
          </w:tcPr>
          <w:p w:rsidR="001A49CC" w:rsidRPr="00364ECC" w:rsidRDefault="001A49CC" w:rsidP="001A49CC">
            <w:pPr>
              <w:ind w:left="0"/>
              <w:jc w:val="center"/>
              <w:rPr>
                <w:sz w:val="20"/>
                <w:szCs w:val="20"/>
              </w:rPr>
            </w:pPr>
            <w:r w:rsidRPr="00364ECC">
              <w:rPr>
                <w:sz w:val="20"/>
                <w:szCs w:val="20"/>
              </w:rPr>
              <w:t>Jún 2016</w:t>
            </w:r>
          </w:p>
        </w:tc>
        <w:tc>
          <w:tcPr>
            <w:tcW w:w="2836" w:type="dxa"/>
          </w:tcPr>
          <w:p w:rsidR="001A49CC" w:rsidRPr="00364ECC" w:rsidRDefault="001A49CC" w:rsidP="001A49CC">
            <w:pPr>
              <w:ind w:left="0"/>
              <w:rPr>
                <w:sz w:val="20"/>
                <w:szCs w:val="20"/>
              </w:rPr>
            </w:pPr>
            <w:r w:rsidRPr="00364ECC">
              <w:rPr>
                <w:sz w:val="20"/>
                <w:szCs w:val="20"/>
              </w:rPr>
              <w:t>MDVRR SR (Inštitút stratégie v spolupráci so sekciou Operačného programu Doprava a ostatnými odbornými útvarmi ministerstva)</w:t>
            </w:r>
          </w:p>
        </w:tc>
      </w:tr>
      <w:tr w:rsidR="009011DB" w:rsidTr="00A127CB">
        <w:trPr>
          <w:trHeight w:val="340"/>
        </w:trPr>
        <w:tc>
          <w:tcPr>
            <w:tcW w:w="2833" w:type="dxa"/>
            <w:vMerge/>
            <w:vAlign w:val="center"/>
          </w:tcPr>
          <w:p w:rsidR="009011DB" w:rsidRPr="00566720" w:rsidRDefault="009011DB" w:rsidP="001A49CC">
            <w:pPr>
              <w:rPr>
                <w:sz w:val="20"/>
                <w:szCs w:val="20"/>
              </w:rPr>
            </w:pPr>
          </w:p>
        </w:tc>
        <w:tc>
          <w:tcPr>
            <w:tcW w:w="2834" w:type="dxa"/>
            <w:vMerge/>
          </w:tcPr>
          <w:p w:rsidR="009011DB" w:rsidRPr="00566720" w:rsidRDefault="009011DB" w:rsidP="001A49CC">
            <w:pPr>
              <w:spacing w:before="20" w:after="20"/>
              <w:rPr>
                <w:strike/>
                <w:sz w:val="20"/>
                <w:szCs w:val="20"/>
              </w:rPr>
            </w:pPr>
          </w:p>
        </w:tc>
        <w:tc>
          <w:tcPr>
            <w:tcW w:w="2836" w:type="dxa"/>
          </w:tcPr>
          <w:p w:rsidR="009011DB" w:rsidRPr="00364ECC" w:rsidRDefault="006D737E" w:rsidP="001A49CC">
            <w:pPr>
              <w:pStyle w:val="Odsekzoznamu"/>
              <w:ind w:left="0"/>
              <w:rPr>
                <w:sz w:val="20"/>
                <w:szCs w:val="20"/>
              </w:rPr>
            </w:pPr>
            <w:r w:rsidRPr="00364ECC">
              <w:rPr>
                <w:sz w:val="20"/>
                <w:szCs w:val="20"/>
              </w:rPr>
              <w:t>Vykonanie strategického environmentálneho hodnotenia Strategického plánu rozvoja dopravnej infraštruktúry SR do roku 2030 (fáza II.)</w:t>
            </w:r>
          </w:p>
        </w:tc>
        <w:tc>
          <w:tcPr>
            <w:tcW w:w="2836" w:type="dxa"/>
          </w:tcPr>
          <w:p w:rsidR="009011DB" w:rsidRPr="00364ECC" w:rsidRDefault="006D737E" w:rsidP="006D737E">
            <w:pPr>
              <w:ind w:left="0"/>
              <w:jc w:val="center"/>
              <w:rPr>
                <w:sz w:val="20"/>
                <w:szCs w:val="20"/>
              </w:rPr>
            </w:pPr>
            <w:r w:rsidRPr="00364ECC">
              <w:rPr>
                <w:sz w:val="20"/>
                <w:szCs w:val="20"/>
              </w:rPr>
              <w:t>Október 2016</w:t>
            </w:r>
          </w:p>
        </w:tc>
        <w:tc>
          <w:tcPr>
            <w:tcW w:w="2836" w:type="dxa"/>
          </w:tcPr>
          <w:p w:rsidR="009011DB" w:rsidRPr="00364ECC" w:rsidRDefault="006D737E" w:rsidP="006D737E">
            <w:pPr>
              <w:ind w:left="0"/>
              <w:rPr>
                <w:sz w:val="20"/>
                <w:szCs w:val="20"/>
              </w:rPr>
            </w:pPr>
            <w:r w:rsidRPr="00364ECC">
              <w:rPr>
                <w:sz w:val="20"/>
                <w:szCs w:val="20"/>
              </w:rPr>
              <w:t>MDVRR SR (Inštitút stratégie v spolupráci so sekciou Operačného programu Doprava)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after="20"/>
              <w:ind w:left="0"/>
              <w:rPr>
                <w:strike/>
                <w:sz w:val="20"/>
                <w:szCs w:val="20"/>
              </w:rPr>
            </w:pPr>
          </w:p>
        </w:tc>
        <w:tc>
          <w:tcPr>
            <w:tcW w:w="2836" w:type="dxa"/>
          </w:tcPr>
          <w:p w:rsidR="001A49CC" w:rsidRPr="00364ECC" w:rsidRDefault="001A49CC" w:rsidP="00A3669F">
            <w:pPr>
              <w:pStyle w:val="Odsekzoznamu"/>
              <w:ind w:left="0"/>
              <w:rPr>
                <w:sz w:val="20"/>
                <w:szCs w:val="20"/>
              </w:rPr>
            </w:pPr>
            <w:r w:rsidRPr="00364ECC">
              <w:rPr>
                <w:sz w:val="20"/>
                <w:szCs w:val="20"/>
              </w:rPr>
              <w:t xml:space="preserve">Predloženie Strategického plánu rozvoja dopravnej infraštruktúry </w:t>
            </w:r>
            <w:r w:rsidRPr="00364ECC">
              <w:rPr>
                <w:sz w:val="20"/>
                <w:szCs w:val="20"/>
              </w:rPr>
              <w:lastRenderedPageBreak/>
              <w:t>SR do roku 2030 (fáza II.) na rokovanie Hospodárskej a sociálnej rady SR za účelom jeho schválenia.</w:t>
            </w:r>
          </w:p>
        </w:tc>
        <w:tc>
          <w:tcPr>
            <w:tcW w:w="2836" w:type="dxa"/>
          </w:tcPr>
          <w:p w:rsidR="001A49CC" w:rsidRPr="00364ECC" w:rsidRDefault="001A49CC" w:rsidP="001A49CC">
            <w:pPr>
              <w:ind w:left="0"/>
              <w:jc w:val="center"/>
              <w:rPr>
                <w:sz w:val="20"/>
                <w:szCs w:val="20"/>
              </w:rPr>
            </w:pPr>
            <w:r w:rsidRPr="00364ECC">
              <w:rPr>
                <w:sz w:val="20"/>
                <w:szCs w:val="20"/>
              </w:rPr>
              <w:lastRenderedPageBreak/>
              <w:t>November 2016</w:t>
            </w:r>
          </w:p>
        </w:tc>
        <w:tc>
          <w:tcPr>
            <w:tcW w:w="2836" w:type="dxa"/>
          </w:tcPr>
          <w:p w:rsidR="001A49CC" w:rsidRPr="00364ECC" w:rsidRDefault="001A49CC" w:rsidP="001A49CC">
            <w:pPr>
              <w:ind w:left="0"/>
              <w:rPr>
                <w:sz w:val="20"/>
                <w:szCs w:val="20"/>
              </w:rPr>
            </w:pPr>
            <w:r w:rsidRPr="00364ECC">
              <w:rPr>
                <w:sz w:val="20"/>
                <w:szCs w:val="20"/>
              </w:rPr>
              <w:t xml:space="preserve">MDVRR SR (Inštitút stratégie v spolupráci so sekciou </w:t>
            </w:r>
            <w:r w:rsidRPr="00364ECC">
              <w:rPr>
                <w:sz w:val="20"/>
                <w:szCs w:val="20"/>
              </w:rPr>
              <w:lastRenderedPageBreak/>
              <w:t>Operačného programu Doprava)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after="20"/>
              <w:rPr>
                <w:sz w:val="20"/>
                <w:szCs w:val="20"/>
              </w:rPr>
            </w:pPr>
          </w:p>
        </w:tc>
        <w:tc>
          <w:tcPr>
            <w:tcW w:w="2836" w:type="dxa"/>
          </w:tcPr>
          <w:p w:rsidR="001A49CC" w:rsidRPr="00364ECC" w:rsidRDefault="001A49CC" w:rsidP="001A49CC">
            <w:pPr>
              <w:pStyle w:val="Odsekzoznamu"/>
              <w:ind w:left="0"/>
              <w:rPr>
                <w:sz w:val="20"/>
                <w:szCs w:val="20"/>
              </w:rPr>
            </w:pPr>
            <w:r w:rsidRPr="00364ECC">
              <w:rPr>
                <w:sz w:val="20"/>
                <w:szCs w:val="20"/>
              </w:rPr>
              <w:t>Predloženie Strategického plánu rozvoja dopravnej infraštruktúry SR do roku 2030 (fáza II.) na rokovanie vlády SR za účelom jeho schválenia</w:t>
            </w:r>
          </w:p>
        </w:tc>
        <w:tc>
          <w:tcPr>
            <w:tcW w:w="2836" w:type="dxa"/>
          </w:tcPr>
          <w:p w:rsidR="001A49CC" w:rsidRPr="00364ECC" w:rsidRDefault="001A49CC" w:rsidP="001A49CC">
            <w:pPr>
              <w:ind w:left="0"/>
              <w:jc w:val="center"/>
              <w:rPr>
                <w:sz w:val="20"/>
                <w:szCs w:val="20"/>
              </w:rPr>
            </w:pPr>
            <w:r w:rsidRPr="00364ECC">
              <w:rPr>
                <w:sz w:val="20"/>
                <w:szCs w:val="20"/>
              </w:rPr>
              <w:t>December 2016</w:t>
            </w:r>
          </w:p>
        </w:tc>
        <w:tc>
          <w:tcPr>
            <w:tcW w:w="2836" w:type="dxa"/>
          </w:tcPr>
          <w:p w:rsidR="001A49CC" w:rsidRPr="00364ECC" w:rsidRDefault="001A49CC" w:rsidP="001A49CC">
            <w:pPr>
              <w:ind w:left="0"/>
              <w:rPr>
                <w:sz w:val="20"/>
                <w:szCs w:val="20"/>
              </w:rPr>
            </w:pPr>
            <w:r w:rsidRPr="00364ECC">
              <w:rPr>
                <w:sz w:val="20"/>
                <w:szCs w:val="20"/>
              </w:rPr>
              <w:t>MDVRR SR (Inštitút stratégie v spolupráci so sekciou Operačného programu Doprava)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after="20"/>
              <w:rPr>
                <w:sz w:val="20"/>
                <w:szCs w:val="20"/>
              </w:rPr>
            </w:pPr>
          </w:p>
        </w:tc>
        <w:tc>
          <w:tcPr>
            <w:tcW w:w="2836" w:type="dxa"/>
          </w:tcPr>
          <w:p w:rsidR="001A49CC" w:rsidRPr="00364ECC" w:rsidRDefault="001A49CC" w:rsidP="001A49CC">
            <w:pPr>
              <w:pStyle w:val="Odsekzoznamu"/>
              <w:ind w:left="0"/>
              <w:rPr>
                <w:sz w:val="20"/>
                <w:szCs w:val="20"/>
              </w:rPr>
            </w:pPr>
            <w:r w:rsidRPr="00364ECC">
              <w:rPr>
                <w:sz w:val="20"/>
                <w:szCs w:val="20"/>
              </w:rPr>
              <w:t xml:space="preserve">Predloženie Strategického plánu rozvoja dopravnej infraštruktúry SR do roku 2030 (fáza II.) EK za účelom posúdenia úplného splnenia ex ante kondicionalít stanovených pre sektor dopravy </w:t>
            </w:r>
          </w:p>
        </w:tc>
        <w:tc>
          <w:tcPr>
            <w:tcW w:w="2836" w:type="dxa"/>
          </w:tcPr>
          <w:p w:rsidR="001A49CC" w:rsidRPr="00364ECC" w:rsidRDefault="001A49CC" w:rsidP="001A49CC">
            <w:pPr>
              <w:ind w:left="0"/>
              <w:jc w:val="center"/>
              <w:rPr>
                <w:sz w:val="20"/>
                <w:szCs w:val="20"/>
              </w:rPr>
            </w:pPr>
            <w:r w:rsidRPr="00364ECC">
              <w:rPr>
                <w:sz w:val="20"/>
                <w:szCs w:val="20"/>
              </w:rPr>
              <w:t>December 2016</w:t>
            </w:r>
          </w:p>
        </w:tc>
        <w:tc>
          <w:tcPr>
            <w:tcW w:w="2836" w:type="dxa"/>
          </w:tcPr>
          <w:p w:rsidR="001A49CC" w:rsidRPr="00364ECC" w:rsidRDefault="001A49CC" w:rsidP="001A49CC">
            <w:pPr>
              <w:ind w:left="0"/>
              <w:rPr>
                <w:sz w:val="20"/>
                <w:szCs w:val="20"/>
              </w:rPr>
            </w:pPr>
            <w:r w:rsidRPr="00364ECC">
              <w:rPr>
                <w:sz w:val="20"/>
                <w:szCs w:val="20"/>
              </w:rPr>
              <w:t>MDVRR SR (Inštitút stratégie v spolupráci so sekciou Operačného programu Doprava)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val="restart"/>
          </w:tcPr>
          <w:p w:rsidR="001A49CC" w:rsidRPr="00566720" w:rsidRDefault="001A49CC" w:rsidP="001A49CC">
            <w:pPr>
              <w:spacing w:before="20" w:after="20"/>
              <w:ind w:left="0"/>
              <w:rPr>
                <w:sz w:val="20"/>
                <w:szCs w:val="20"/>
              </w:rPr>
            </w:pPr>
            <w:r w:rsidRPr="00364ECC">
              <w:rPr>
                <w:sz w:val="20"/>
                <w:szCs w:val="20"/>
              </w:rPr>
              <w:t>Je v súlade s právnymi požiadavkami na strategické environmentálne posúdenie.</w:t>
            </w:r>
          </w:p>
        </w:tc>
        <w:tc>
          <w:tcPr>
            <w:tcW w:w="2836" w:type="dxa"/>
          </w:tcPr>
          <w:p w:rsidR="001A49CC" w:rsidRPr="00364ECC" w:rsidRDefault="001A49CC" w:rsidP="001A49CC">
            <w:pPr>
              <w:pStyle w:val="Odsekzoznamu"/>
              <w:ind w:left="0"/>
              <w:rPr>
                <w:sz w:val="20"/>
                <w:szCs w:val="20"/>
              </w:rPr>
            </w:pPr>
            <w:r>
              <w:rPr>
                <w:sz w:val="20"/>
                <w:szCs w:val="20"/>
              </w:rPr>
              <w:t>Ukončenie procesu SEA</w:t>
            </w:r>
            <w:r w:rsidRPr="00364ECC">
              <w:rPr>
                <w:sz w:val="20"/>
                <w:szCs w:val="20"/>
              </w:rPr>
              <w:t xml:space="preserve"> Strategického plánu rozvoja dopravnej infraštruktúry SR do roku 2020 (fáza I.), vrátane Stratégie rozvoja verejnej osobnej a nemotorovej dopravy SR do roku 2020, ktorá tvorí jeho prílohu.</w:t>
            </w:r>
          </w:p>
        </w:tc>
        <w:tc>
          <w:tcPr>
            <w:tcW w:w="2836" w:type="dxa"/>
          </w:tcPr>
          <w:p w:rsidR="001A49CC" w:rsidRPr="00364ECC" w:rsidRDefault="001A49CC" w:rsidP="001A49CC">
            <w:pPr>
              <w:ind w:left="0"/>
              <w:jc w:val="center"/>
              <w:rPr>
                <w:sz w:val="20"/>
                <w:szCs w:val="20"/>
              </w:rPr>
            </w:pPr>
            <w:r w:rsidRPr="00364ECC">
              <w:rPr>
                <w:sz w:val="20"/>
                <w:szCs w:val="20"/>
              </w:rPr>
              <w:t>Apríl 2014</w:t>
            </w:r>
          </w:p>
        </w:tc>
        <w:tc>
          <w:tcPr>
            <w:tcW w:w="2836" w:type="dxa"/>
          </w:tcPr>
          <w:p w:rsidR="001A49CC" w:rsidRPr="00364ECC" w:rsidRDefault="001A49CC" w:rsidP="001A49CC">
            <w:pPr>
              <w:ind w:left="0"/>
              <w:rPr>
                <w:sz w:val="20"/>
                <w:szCs w:val="20"/>
              </w:rPr>
            </w:pPr>
            <w:r w:rsidRPr="00364ECC">
              <w:rPr>
                <w:sz w:val="20"/>
                <w:szCs w:val="20"/>
              </w:rPr>
              <w:t xml:space="preserve">MDVRR SR (sekcia Operačného programu Doprava) </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after="20"/>
              <w:rPr>
                <w:sz w:val="20"/>
                <w:szCs w:val="20"/>
              </w:rPr>
            </w:pPr>
          </w:p>
        </w:tc>
        <w:tc>
          <w:tcPr>
            <w:tcW w:w="2836" w:type="dxa"/>
          </w:tcPr>
          <w:p w:rsidR="001A49CC" w:rsidRPr="00364ECC" w:rsidRDefault="001A49CC" w:rsidP="00A3669F">
            <w:pPr>
              <w:pStyle w:val="Odsekzoznamu"/>
              <w:ind w:left="0"/>
              <w:rPr>
                <w:sz w:val="20"/>
                <w:szCs w:val="20"/>
              </w:rPr>
            </w:pPr>
            <w:r w:rsidRPr="00364ECC">
              <w:rPr>
                <w:sz w:val="20"/>
                <w:szCs w:val="20"/>
              </w:rPr>
              <w:t>Vykonanie strategického environmentálneho hodnotenia Strategického plánu rozvoja dopravnej infraštruktúry SR do roku 2030 (fáza II.)</w:t>
            </w:r>
          </w:p>
        </w:tc>
        <w:tc>
          <w:tcPr>
            <w:tcW w:w="2836" w:type="dxa"/>
          </w:tcPr>
          <w:p w:rsidR="001A49CC" w:rsidRPr="00364ECC" w:rsidRDefault="001A49CC" w:rsidP="001A49CC">
            <w:pPr>
              <w:ind w:left="0"/>
              <w:jc w:val="center"/>
              <w:rPr>
                <w:sz w:val="20"/>
                <w:szCs w:val="20"/>
              </w:rPr>
            </w:pPr>
            <w:r w:rsidRPr="00364ECC">
              <w:rPr>
                <w:sz w:val="20"/>
                <w:szCs w:val="20"/>
              </w:rPr>
              <w:t>Október 2016</w:t>
            </w:r>
          </w:p>
        </w:tc>
        <w:tc>
          <w:tcPr>
            <w:tcW w:w="2836" w:type="dxa"/>
          </w:tcPr>
          <w:p w:rsidR="001A49CC" w:rsidRPr="00364ECC" w:rsidRDefault="001A49CC" w:rsidP="001A49CC">
            <w:pPr>
              <w:ind w:left="0"/>
              <w:rPr>
                <w:sz w:val="20"/>
                <w:szCs w:val="20"/>
              </w:rPr>
            </w:pPr>
            <w:r w:rsidRPr="00364ECC">
              <w:rPr>
                <w:sz w:val="20"/>
                <w:szCs w:val="20"/>
              </w:rPr>
              <w:t>MDVRR SR (Inštitút stratégie v spolupráci so sekciou Operačného programu Doprava)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tcPr>
          <w:p w:rsidR="001A49CC" w:rsidRPr="00364ECC" w:rsidRDefault="001A49CC" w:rsidP="001A49CC">
            <w:pPr>
              <w:ind w:left="0"/>
              <w:rPr>
                <w:sz w:val="20"/>
                <w:szCs w:val="20"/>
              </w:rPr>
            </w:pPr>
            <w:r w:rsidRPr="00364ECC">
              <w:rPr>
                <w:sz w:val="20"/>
                <w:szCs w:val="20"/>
              </w:rPr>
              <w:t>Stanovuje realisticky a kvalitne vypracovaný plán realizácie projektov (vrátane časového plánu a rozpočtového rámca).</w:t>
            </w:r>
          </w:p>
        </w:tc>
        <w:tc>
          <w:tcPr>
            <w:tcW w:w="2836" w:type="dxa"/>
          </w:tcPr>
          <w:p w:rsidR="001A49CC" w:rsidRPr="00364ECC" w:rsidRDefault="001A49CC" w:rsidP="001A49CC">
            <w:pPr>
              <w:pStyle w:val="Odsekzoznamu"/>
              <w:ind w:left="0"/>
              <w:rPr>
                <w:sz w:val="20"/>
                <w:szCs w:val="20"/>
              </w:rPr>
            </w:pPr>
            <w:r w:rsidRPr="00364ECC">
              <w:rPr>
                <w:sz w:val="20"/>
                <w:szCs w:val="20"/>
              </w:rPr>
              <w:t>Vypracovanie implementačného plánu projektov financovaných z KF, ERDF a CEF (názov projektu, náklady, EIA proces, stupeň projektovej prípravy, termín realizácie, predpokladaný f</w:t>
            </w:r>
            <w:r>
              <w:rPr>
                <w:sz w:val="20"/>
                <w:szCs w:val="20"/>
              </w:rPr>
              <w:t xml:space="preserve">inančný plán, plánovaný termín </w:t>
            </w:r>
            <w:r w:rsidRPr="00364ECC">
              <w:rPr>
                <w:sz w:val="20"/>
                <w:szCs w:val="20"/>
              </w:rPr>
              <w:t xml:space="preserve">schválenia </w:t>
            </w:r>
            <w:r w:rsidRPr="00364ECC">
              <w:rPr>
                <w:sz w:val="20"/>
                <w:szCs w:val="20"/>
              </w:rPr>
              <w:lastRenderedPageBreak/>
              <w:t>projektu RO, predlož</w:t>
            </w:r>
            <w:r>
              <w:rPr>
                <w:sz w:val="20"/>
                <w:szCs w:val="20"/>
              </w:rPr>
              <w:t>enia</w:t>
            </w:r>
            <w:r w:rsidRPr="00364ECC">
              <w:rPr>
                <w:sz w:val="20"/>
                <w:szCs w:val="20"/>
              </w:rPr>
              <w:t xml:space="preserve"> na EK atď.). Súčasťou implementačného plánu bude opis každého navrhovaného projektu, ktorý bude poskytovať súhrnné informácie o projekte (lokalizácia, súčasná dopravná situácia, technické parametre projektu, výstupové/výsledkové ukazovatele projektu atď.).</w:t>
            </w:r>
          </w:p>
        </w:tc>
        <w:tc>
          <w:tcPr>
            <w:tcW w:w="2836" w:type="dxa"/>
          </w:tcPr>
          <w:p w:rsidR="001A49CC" w:rsidRPr="00364ECC" w:rsidRDefault="001A49CC" w:rsidP="001A49CC">
            <w:pPr>
              <w:ind w:left="0"/>
              <w:jc w:val="center"/>
              <w:rPr>
                <w:sz w:val="20"/>
                <w:szCs w:val="20"/>
              </w:rPr>
            </w:pPr>
            <w:r w:rsidRPr="00364ECC">
              <w:rPr>
                <w:sz w:val="20"/>
                <w:szCs w:val="20"/>
              </w:rPr>
              <w:lastRenderedPageBreak/>
              <w:t>Máj 2014</w:t>
            </w:r>
          </w:p>
        </w:tc>
        <w:tc>
          <w:tcPr>
            <w:tcW w:w="2836" w:type="dxa"/>
          </w:tcPr>
          <w:p w:rsidR="001A49CC" w:rsidRPr="00364ECC" w:rsidRDefault="001A49CC" w:rsidP="001A49CC">
            <w:pPr>
              <w:ind w:left="0"/>
              <w:rPr>
                <w:sz w:val="20"/>
                <w:szCs w:val="20"/>
              </w:rPr>
            </w:pPr>
            <w:r w:rsidRPr="00364ECC">
              <w:rPr>
                <w:sz w:val="20"/>
                <w:szCs w:val="20"/>
              </w:rPr>
              <w:t>MDVRR SR (sekcia Operačného programu Doprava) v spolupráci s prijímateľmi</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val="restart"/>
          </w:tcPr>
          <w:p w:rsidR="001A49CC" w:rsidRPr="00566720" w:rsidRDefault="001A49CC" w:rsidP="001A49CC">
            <w:pPr>
              <w:spacing w:before="20" w:after="20"/>
              <w:ind w:left="0"/>
              <w:rPr>
                <w:sz w:val="20"/>
                <w:szCs w:val="20"/>
              </w:rPr>
            </w:pPr>
            <w:r w:rsidRPr="00364ECC">
              <w:rPr>
                <w:sz w:val="20"/>
                <w:szCs w:val="20"/>
              </w:rPr>
              <w:t>Opatrenia na zabezpečenie kapacity sprostredkovateľských orgánov a prijímateľov pri vykonávaní naplánovaných projektov.</w:t>
            </w:r>
          </w:p>
        </w:tc>
        <w:tc>
          <w:tcPr>
            <w:tcW w:w="2836" w:type="dxa"/>
          </w:tcPr>
          <w:p w:rsidR="001A49CC" w:rsidRPr="00364ECC" w:rsidRDefault="001A49CC" w:rsidP="001A49CC">
            <w:pPr>
              <w:pStyle w:val="Odsekzoznamu"/>
              <w:ind w:left="0"/>
              <w:rPr>
                <w:sz w:val="20"/>
                <w:szCs w:val="20"/>
              </w:rPr>
            </w:pPr>
            <w:r w:rsidRPr="00364ECC">
              <w:rPr>
                <w:sz w:val="20"/>
                <w:szCs w:val="20"/>
              </w:rPr>
              <w:t>Vypracovanie analýzy kapacít sprostredkovateľských orgánov a prijímateľov. Analýza by mala identifikovať opatrenia, ktoré je potrebné prijať na pos</w:t>
            </w:r>
            <w:r w:rsidR="002D4DB4">
              <w:rPr>
                <w:sz w:val="20"/>
                <w:szCs w:val="20"/>
              </w:rPr>
              <w:t xml:space="preserve">ilnenie kapacít pri vykonávaní </w:t>
            </w:r>
            <w:r w:rsidRPr="00364ECC">
              <w:rPr>
                <w:sz w:val="20"/>
                <w:szCs w:val="20"/>
              </w:rPr>
              <w:t xml:space="preserve">naplánovaných projektov s cieľom predísť problémom, ktoré sa vyskytli pri implementácii v rámci súčasného programového obdobia. </w:t>
            </w:r>
          </w:p>
        </w:tc>
        <w:tc>
          <w:tcPr>
            <w:tcW w:w="2836" w:type="dxa"/>
          </w:tcPr>
          <w:p w:rsidR="001A49CC" w:rsidRPr="00364ECC" w:rsidRDefault="001A49CC" w:rsidP="001A49CC">
            <w:pPr>
              <w:ind w:left="0"/>
              <w:jc w:val="center"/>
              <w:rPr>
                <w:sz w:val="20"/>
                <w:szCs w:val="20"/>
              </w:rPr>
            </w:pPr>
            <w:r w:rsidRPr="00364ECC">
              <w:rPr>
                <w:sz w:val="20"/>
                <w:szCs w:val="20"/>
              </w:rPr>
              <w:t>Máj 2014</w:t>
            </w:r>
          </w:p>
        </w:tc>
        <w:tc>
          <w:tcPr>
            <w:tcW w:w="2836" w:type="dxa"/>
          </w:tcPr>
          <w:p w:rsidR="001A49CC" w:rsidRPr="00364ECC" w:rsidRDefault="001A49CC" w:rsidP="001A49CC">
            <w:pPr>
              <w:ind w:left="0"/>
              <w:rPr>
                <w:sz w:val="20"/>
                <w:szCs w:val="20"/>
              </w:rPr>
            </w:pPr>
            <w:r w:rsidRPr="00364ECC">
              <w:rPr>
                <w:sz w:val="20"/>
                <w:szCs w:val="20"/>
              </w:rPr>
              <w:t>MDVRR SR (sekcia Operačného programu Doprava)</w:t>
            </w:r>
          </w:p>
        </w:tc>
      </w:tr>
      <w:tr w:rsidR="001A49CC" w:rsidTr="00A127CB">
        <w:trPr>
          <w:trHeight w:val="340"/>
        </w:trPr>
        <w:tc>
          <w:tcPr>
            <w:tcW w:w="2833" w:type="dxa"/>
            <w:vMerge/>
            <w:vAlign w:val="center"/>
          </w:tcPr>
          <w:p w:rsidR="001A49CC" w:rsidRPr="00566720" w:rsidRDefault="001A49CC" w:rsidP="001A49CC">
            <w:pPr>
              <w:rPr>
                <w:sz w:val="20"/>
                <w:szCs w:val="20"/>
              </w:rPr>
            </w:pPr>
          </w:p>
        </w:tc>
        <w:tc>
          <w:tcPr>
            <w:tcW w:w="2834" w:type="dxa"/>
            <w:vMerge/>
          </w:tcPr>
          <w:p w:rsidR="001A49CC" w:rsidRPr="00566720" w:rsidRDefault="001A49CC" w:rsidP="001A49CC">
            <w:pPr>
              <w:spacing w:before="20" w:after="20"/>
              <w:rPr>
                <w:sz w:val="20"/>
                <w:szCs w:val="20"/>
              </w:rPr>
            </w:pPr>
          </w:p>
        </w:tc>
        <w:tc>
          <w:tcPr>
            <w:tcW w:w="2836" w:type="dxa"/>
          </w:tcPr>
          <w:p w:rsidR="001A49CC" w:rsidRPr="00364ECC" w:rsidRDefault="001A49CC" w:rsidP="001A49CC">
            <w:pPr>
              <w:pStyle w:val="Odsekzoznamu"/>
              <w:ind w:left="0"/>
              <w:rPr>
                <w:sz w:val="20"/>
                <w:szCs w:val="20"/>
              </w:rPr>
            </w:pPr>
            <w:r w:rsidRPr="00364ECC">
              <w:rPr>
                <w:sz w:val="20"/>
                <w:szCs w:val="20"/>
              </w:rPr>
              <w:t xml:space="preserve">Aplikácia opatrení identifikovaných analýzou, tzn. prijatie potrebných krokov na zavedenie opatrení do praxe. </w:t>
            </w:r>
          </w:p>
        </w:tc>
        <w:tc>
          <w:tcPr>
            <w:tcW w:w="2836" w:type="dxa"/>
          </w:tcPr>
          <w:p w:rsidR="001A49CC" w:rsidRPr="00364ECC" w:rsidRDefault="00197539" w:rsidP="001A49CC">
            <w:pPr>
              <w:ind w:left="0"/>
              <w:jc w:val="center"/>
              <w:rPr>
                <w:sz w:val="20"/>
                <w:szCs w:val="20"/>
              </w:rPr>
            </w:pPr>
            <w:r>
              <w:rPr>
                <w:sz w:val="20"/>
                <w:szCs w:val="20"/>
              </w:rPr>
              <w:t xml:space="preserve">Október </w:t>
            </w:r>
            <w:r w:rsidR="001A49CC" w:rsidRPr="00364ECC">
              <w:rPr>
                <w:sz w:val="20"/>
                <w:szCs w:val="20"/>
              </w:rPr>
              <w:t>2014</w:t>
            </w:r>
          </w:p>
        </w:tc>
        <w:tc>
          <w:tcPr>
            <w:tcW w:w="2836" w:type="dxa"/>
          </w:tcPr>
          <w:p w:rsidR="001A49CC" w:rsidRPr="00364ECC" w:rsidRDefault="001A49CC" w:rsidP="001A49CC">
            <w:pPr>
              <w:ind w:left="0"/>
              <w:rPr>
                <w:sz w:val="20"/>
                <w:szCs w:val="20"/>
              </w:rPr>
            </w:pPr>
            <w:r w:rsidRPr="00364ECC">
              <w:rPr>
                <w:sz w:val="20"/>
                <w:szCs w:val="20"/>
              </w:rPr>
              <w:t>MDVRR SR (sek</w:t>
            </w:r>
            <w:r>
              <w:rPr>
                <w:sz w:val="20"/>
                <w:szCs w:val="20"/>
              </w:rPr>
              <w:t>cia Operačného programu Doprava</w:t>
            </w:r>
            <w:r w:rsidRPr="00364ECC">
              <w:rPr>
                <w:sz w:val="20"/>
                <w:szCs w:val="20"/>
              </w:rPr>
              <w:t xml:space="preserve"> v spolupráci s prijímateľm</w:t>
            </w:r>
            <w:r>
              <w:rPr>
                <w:sz w:val="20"/>
                <w:szCs w:val="20"/>
              </w:rPr>
              <w:t>i</w:t>
            </w:r>
          </w:p>
        </w:tc>
      </w:tr>
    </w:tbl>
    <w:p w:rsidR="001A49CC" w:rsidRDefault="001A49CC" w:rsidP="001A49CC"/>
    <w:p w:rsidR="002A4DF8" w:rsidRDefault="002A4DF8" w:rsidP="001A49CC"/>
    <w:p w:rsidR="002A4DF8" w:rsidRDefault="002A4DF8" w:rsidP="001A49CC"/>
    <w:p w:rsidR="002A4DF8" w:rsidRDefault="002A4DF8" w:rsidP="001A49CC"/>
    <w:p w:rsidR="002A4DF8" w:rsidRDefault="002A4DF8" w:rsidP="001A49CC"/>
    <w:p w:rsidR="002A4DF8" w:rsidRDefault="002A4DF8" w:rsidP="001A49CC"/>
    <w:p w:rsidR="002A4DF8" w:rsidRDefault="002A4DF8" w:rsidP="001A49CC"/>
    <w:p w:rsidR="002A4DF8" w:rsidRPr="001A49CC" w:rsidRDefault="002A4DF8" w:rsidP="001A49CC">
      <w:pPr>
        <w:rPr>
          <w:lang w:eastAsia="cs-CZ"/>
        </w:rPr>
      </w:pPr>
    </w:p>
    <w:p w:rsidR="002A4DF8" w:rsidRPr="00CE2E2C" w:rsidRDefault="002A4DF8" w:rsidP="002A4DF8">
      <w:pPr>
        <w:pStyle w:val="Tab"/>
      </w:pPr>
      <w:r w:rsidRPr="00CE2E2C">
        <w:lastRenderedPageBreak/>
        <w:t>Aktivity, ktoré budú v</w:t>
      </w:r>
      <w:r>
        <w:t>ykonané pre splnenie všeobecných</w:t>
      </w:r>
      <w:r w:rsidRPr="00CE2E2C">
        <w:t xml:space="preserve"> ex ante kondicionalít</w:t>
      </w:r>
    </w:p>
    <w:tbl>
      <w:tblPr>
        <w:tblStyle w:val="Mriekatabuky"/>
        <w:tblW w:w="1417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2833"/>
        <w:gridCol w:w="2834"/>
        <w:gridCol w:w="2836"/>
        <w:gridCol w:w="2836"/>
        <w:gridCol w:w="2836"/>
      </w:tblGrid>
      <w:tr w:rsidR="002A4DF8" w:rsidRPr="00C35F2A" w:rsidTr="00A127CB">
        <w:trPr>
          <w:trHeight w:val="340"/>
        </w:trPr>
        <w:tc>
          <w:tcPr>
            <w:tcW w:w="2833" w:type="dxa"/>
            <w:shd w:val="clear" w:color="auto" w:fill="C6D9F1" w:themeFill="text2" w:themeFillTint="33"/>
            <w:vAlign w:val="center"/>
          </w:tcPr>
          <w:p w:rsidR="002A4DF8" w:rsidRPr="003F7110" w:rsidRDefault="002A4DF8" w:rsidP="002A4DF8">
            <w:pPr>
              <w:ind w:left="0"/>
              <w:jc w:val="center"/>
              <w:rPr>
                <w:sz w:val="20"/>
                <w:szCs w:val="20"/>
              </w:rPr>
            </w:pPr>
            <w:r w:rsidRPr="003F7110">
              <w:rPr>
                <w:sz w:val="20"/>
                <w:szCs w:val="20"/>
              </w:rPr>
              <w:t>Tematické ex ante kondicionality, ktoré sú nesplnené alebo splnené len čiastočne</w:t>
            </w:r>
          </w:p>
        </w:tc>
        <w:tc>
          <w:tcPr>
            <w:tcW w:w="2834" w:type="dxa"/>
            <w:shd w:val="clear" w:color="auto" w:fill="C6D9F1" w:themeFill="text2" w:themeFillTint="33"/>
            <w:vAlign w:val="center"/>
          </w:tcPr>
          <w:p w:rsidR="002A4DF8" w:rsidRPr="003F7110" w:rsidRDefault="002A4DF8" w:rsidP="002A4DF8">
            <w:pPr>
              <w:ind w:left="0"/>
              <w:jc w:val="center"/>
              <w:rPr>
                <w:sz w:val="20"/>
                <w:szCs w:val="20"/>
              </w:rPr>
            </w:pPr>
            <w:r w:rsidRPr="003F7110">
              <w:rPr>
                <w:sz w:val="20"/>
                <w:szCs w:val="20"/>
              </w:rPr>
              <w:t>Nesplnené kritériá</w:t>
            </w:r>
          </w:p>
        </w:tc>
        <w:tc>
          <w:tcPr>
            <w:tcW w:w="2836" w:type="dxa"/>
            <w:shd w:val="clear" w:color="auto" w:fill="C6D9F1" w:themeFill="text2" w:themeFillTint="33"/>
            <w:vAlign w:val="center"/>
          </w:tcPr>
          <w:p w:rsidR="002A4DF8" w:rsidRPr="003F7110" w:rsidRDefault="002A4DF8" w:rsidP="002A4DF8">
            <w:pPr>
              <w:ind w:left="0"/>
              <w:jc w:val="center"/>
              <w:rPr>
                <w:sz w:val="20"/>
                <w:szCs w:val="20"/>
              </w:rPr>
            </w:pPr>
            <w:r w:rsidRPr="003F7110">
              <w:rPr>
                <w:sz w:val="20"/>
                <w:szCs w:val="20"/>
              </w:rPr>
              <w:t>Plánované opatrenie</w:t>
            </w:r>
          </w:p>
        </w:tc>
        <w:tc>
          <w:tcPr>
            <w:tcW w:w="2836" w:type="dxa"/>
            <w:shd w:val="clear" w:color="auto" w:fill="C6D9F1" w:themeFill="text2" w:themeFillTint="33"/>
            <w:vAlign w:val="center"/>
          </w:tcPr>
          <w:p w:rsidR="002A4DF8" w:rsidRPr="003F7110" w:rsidRDefault="002A4DF8" w:rsidP="002A4DF8">
            <w:pPr>
              <w:ind w:left="0"/>
              <w:jc w:val="center"/>
              <w:rPr>
                <w:sz w:val="20"/>
                <w:szCs w:val="20"/>
              </w:rPr>
            </w:pPr>
            <w:r>
              <w:rPr>
                <w:sz w:val="20"/>
                <w:szCs w:val="20"/>
              </w:rPr>
              <w:t>Konečný t</w:t>
            </w:r>
            <w:r w:rsidRPr="003F7110">
              <w:rPr>
                <w:sz w:val="20"/>
                <w:szCs w:val="20"/>
              </w:rPr>
              <w:t>ermín (dátum)</w:t>
            </w:r>
          </w:p>
        </w:tc>
        <w:tc>
          <w:tcPr>
            <w:tcW w:w="2836" w:type="dxa"/>
            <w:shd w:val="clear" w:color="auto" w:fill="C6D9F1" w:themeFill="text2" w:themeFillTint="33"/>
            <w:vAlign w:val="center"/>
          </w:tcPr>
          <w:p w:rsidR="002A4DF8" w:rsidRPr="003F7110" w:rsidRDefault="002A4DF8" w:rsidP="002A4DF8">
            <w:pPr>
              <w:ind w:left="0"/>
              <w:jc w:val="center"/>
              <w:rPr>
                <w:sz w:val="20"/>
                <w:szCs w:val="20"/>
              </w:rPr>
            </w:pPr>
            <w:r w:rsidRPr="003F7110">
              <w:rPr>
                <w:sz w:val="20"/>
                <w:szCs w:val="20"/>
              </w:rPr>
              <w:t>Orgány zodpovedné za splnenie</w:t>
            </w:r>
          </w:p>
        </w:tc>
      </w:tr>
      <w:tr w:rsidR="002A4DF8" w:rsidTr="00A127CB">
        <w:trPr>
          <w:trHeight w:val="1496"/>
        </w:trPr>
        <w:tc>
          <w:tcPr>
            <w:tcW w:w="2833" w:type="dxa"/>
          </w:tcPr>
          <w:p w:rsidR="002A4DF8" w:rsidRPr="00237788" w:rsidRDefault="002A4DF8" w:rsidP="00AD7294">
            <w:pPr>
              <w:ind w:left="0"/>
              <w:rPr>
                <w:color w:val="FF0000"/>
                <w:sz w:val="20"/>
                <w:szCs w:val="20"/>
              </w:rPr>
            </w:pPr>
            <w:r>
              <w:rPr>
                <w:sz w:val="20"/>
                <w:szCs w:val="20"/>
              </w:rPr>
              <w:t>Existencia pravidiel na efektívne uplatňovanie práva Únie o štátnej pomoci v oblasti EŠIF.</w:t>
            </w:r>
          </w:p>
        </w:tc>
        <w:tc>
          <w:tcPr>
            <w:tcW w:w="2834" w:type="dxa"/>
          </w:tcPr>
          <w:p w:rsidR="002A4DF8" w:rsidRPr="00566720" w:rsidRDefault="002A4DF8" w:rsidP="002A4DF8">
            <w:pPr>
              <w:spacing w:before="20" w:after="20"/>
              <w:ind w:left="0"/>
              <w:rPr>
                <w:sz w:val="20"/>
                <w:szCs w:val="20"/>
              </w:rPr>
            </w:pPr>
            <w:r>
              <w:rPr>
                <w:sz w:val="20"/>
                <w:szCs w:val="20"/>
              </w:rPr>
              <w:t xml:space="preserve">Opatrenia na zabezpečenie administratívnej kapacity </w:t>
            </w:r>
            <w:r w:rsidR="00A45055">
              <w:rPr>
                <w:sz w:val="20"/>
                <w:szCs w:val="20"/>
              </w:rPr>
              <w:t>na vykonávanie a uplatňovanie pravidiel Únie o štátnej pomoci.</w:t>
            </w:r>
          </w:p>
        </w:tc>
        <w:tc>
          <w:tcPr>
            <w:tcW w:w="2836" w:type="dxa"/>
          </w:tcPr>
          <w:p w:rsidR="002A4DF8" w:rsidRPr="00566720" w:rsidRDefault="00A45055" w:rsidP="002A4DF8">
            <w:pPr>
              <w:ind w:left="0"/>
              <w:rPr>
                <w:sz w:val="20"/>
                <w:szCs w:val="20"/>
              </w:rPr>
            </w:pPr>
            <w:r>
              <w:rPr>
                <w:sz w:val="20"/>
                <w:szCs w:val="20"/>
              </w:rPr>
              <w:t>Vyhlásenie výberového konania na obsadenie pozície zamestnanca, ktorý sa bude v rámci svojej pracovnej náplne zaoberať problematikou štátnej pomoci.</w:t>
            </w:r>
          </w:p>
        </w:tc>
        <w:tc>
          <w:tcPr>
            <w:tcW w:w="2836" w:type="dxa"/>
          </w:tcPr>
          <w:p w:rsidR="002A4DF8" w:rsidRPr="00566720" w:rsidRDefault="00A45055" w:rsidP="002A4DF8">
            <w:pPr>
              <w:ind w:left="0"/>
              <w:jc w:val="center"/>
              <w:rPr>
                <w:sz w:val="20"/>
                <w:szCs w:val="20"/>
              </w:rPr>
            </w:pPr>
            <w:r>
              <w:rPr>
                <w:sz w:val="20"/>
                <w:szCs w:val="20"/>
              </w:rPr>
              <w:t>Jún</w:t>
            </w:r>
            <w:r w:rsidR="002A4DF8">
              <w:rPr>
                <w:sz w:val="20"/>
                <w:szCs w:val="20"/>
              </w:rPr>
              <w:t xml:space="preserve"> 2014</w:t>
            </w:r>
          </w:p>
        </w:tc>
        <w:tc>
          <w:tcPr>
            <w:tcW w:w="2836" w:type="dxa"/>
          </w:tcPr>
          <w:p w:rsidR="002A4DF8" w:rsidRPr="00566720" w:rsidRDefault="002A4DF8" w:rsidP="002A4DF8">
            <w:pPr>
              <w:spacing w:before="20"/>
              <w:ind w:left="0"/>
              <w:rPr>
                <w:sz w:val="20"/>
                <w:szCs w:val="20"/>
              </w:rPr>
            </w:pPr>
            <w:r w:rsidRPr="00566720">
              <w:rPr>
                <w:sz w:val="20"/>
                <w:szCs w:val="20"/>
              </w:rPr>
              <w:t>MDVRR SR</w:t>
            </w:r>
            <w:r>
              <w:rPr>
                <w:sz w:val="20"/>
                <w:szCs w:val="20"/>
              </w:rPr>
              <w:t xml:space="preserve"> (sekcia Operačného programu Doprava)</w:t>
            </w:r>
          </w:p>
        </w:tc>
      </w:tr>
    </w:tbl>
    <w:p w:rsidR="003E67A7" w:rsidRDefault="003E67A7" w:rsidP="003E67A7">
      <w:pPr>
        <w:sectPr w:rsidR="003E67A7" w:rsidSect="001A49CC">
          <w:headerReference w:type="default" r:id="rId54"/>
          <w:footerReference w:type="default" r:id="rId55"/>
          <w:pgSz w:w="16838" w:h="11906" w:orient="landscape" w:code="9"/>
          <w:pgMar w:top="2041" w:right="1304" w:bottom="1418" w:left="1304" w:header="1474" w:footer="709" w:gutter="0"/>
          <w:cols w:space="708"/>
          <w:docGrid w:linePitch="360"/>
        </w:sectPr>
      </w:pPr>
    </w:p>
    <w:p w:rsidR="003E67A7" w:rsidRPr="003E67A7" w:rsidRDefault="003E67A7" w:rsidP="00772736">
      <w:pPr>
        <w:pStyle w:val="Nadpis1"/>
      </w:pPr>
      <w:bookmarkStart w:id="165" w:name="_Toc385310768"/>
      <w:r>
        <w:lastRenderedPageBreak/>
        <w:t>Zníženie administratívnej záťaže pre prijímateľov</w:t>
      </w:r>
      <w:bookmarkEnd w:id="165"/>
    </w:p>
    <w:tbl>
      <w:tblPr>
        <w:tblStyle w:val="Mriekatabuky1"/>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020"/>
        <w:gridCol w:w="2995"/>
        <w:gridCol w:w="3057"/>
      </w:tblGrid>
      <w:tr w:rsidR="003E67A7" w:rsidRPr="00CE2E2C" w:rsidTr="00A127CB">
        <w:trPr>
          <w:trHeight w:val="340"/>
          <w:jc w:val="center"/>
        </w:trPr>
        <w:tc>
          <w:tcPr>
            <w:tcW w:w="3020" w:type="dxa"/>
            <w:shd w:val="clear" w:color="auto" w:fill="C6D9F1" w:themeFill="text2" w:themeFillTint="33"/>
            <w:vAlign w:val="center"/>
          </w:tcPr>
          <w:p w:rsidR="003E67A7" w:rsidRPr="003F7110" w:rsidRDefault="003E67A7" w:rsidP="009553A0">
            <w:pPr>
              <w:jc w:val="center"/>
              <w:rPr>
                <w:rFonts w:ascii="Times New Roman" w:hAnsi="Times New Roman"/>
                <w:iCs/>
                <w:sz w:val="20"/>
                <w:szCs w:val="20"/>
                <w:lang w:eastAsia="sk-SK"/>
              </w:rPr>
            </w:pPr>
            <w:r>
              <w:rPr>
                <w:rFonts w:ascii="Times New Roman" w:hAnsi="Times New Roman"/>
                <w:iCs/>
                <w:sz w:val="20"/>
                <w:szCs w:val="20"/>
                <w:lang w:eastAsia="sk-SK"/>
              </w:rPr>
              <w:t>Plánované opatrenia</w:t>
            </w:r>
          </w:p>
        </w:tc>
        <w:tc>
          <w:tcPr>
            <w:tcW w:w="2995" w:type="dxa"/>
            <w:shd w:val="clear" w:color="auto" w:fill="C6D9F1" w:themeFill="text2" w:themeFillTint="33"/>
            <w:vAlign w:val="center"/>
          </w:tcPr>
          <w:p w:rsidR="003E67A7" w:rsidRPr="003F7110" w:rsidRDefault="003E67A7" w:rsidP="009553A0">
            <w:pPr>
              <w:jc w:val="center"/>
              <w:rPr>
                <w:rFonts w:ascii="Times New Roman" w:hAnsi="Times New Roman"/>
                <w:iCs/>
                <w:sz w:val="20"/>
                <w:szCs w:val="20"/>
                <w:lang w:eastAsia="sk-SK"/>
              </w:rPr>
            </w:pPr>
            <w:r w:rsidRPr="003F7110">
              <w:rPr>
                <w:rFonts w:ascii="Times New Roman" w:hAnsi="Times New Roman"/>
                <w:iCs/>
                <w:sz w:val="20"/>
                <w:szCs w:val="20"/>
                <w:lang w:eastAsia="sk-SK"/>
              </w:rPr>
              <w:t>Začiatok realizácie opatrenia</w:t>
            </w:r>
          </w:p>
        </w:tc>
        <w:tc>
          <w:tcPr>
            <w:tcW w:w="3057" w:type="dxa"/>
            <w:shd w:val="clear" w:color="auto" w:fill="C6D9F1" w:themeFill="text2" w:themeFillTint="33"/>
            <w:vAlign w:val="center"/>
          </w:tcPr>
          <w:p w:rsidR="003E67A7" w:rsidRPr="003F7110" w:rsidRDefault="003E67A7" w:rsidP="009553A0">
            <w:pPr>
              <w:jc w:val="center"/>
              <w:rPr>
                <w:rFonts w:ascii="Times New Roman" w:hAnsi="Times New Roman"/>
                <w:iCs/>
                <w:sz w:val="20"/>
                <w:szCs w:val="20"/>
                <w:lang w:eastAsia="sk-SK"/>
              </w:rPr>
            </w:pPr>
            <w:r w:rsidRPr="003F7110">
              <w:rPr>
                <w:rFonts w:ascii="Times New Roman" w:hAnsi="Times New Roman"/>
                <w:iCs/>
                <w:sz w:val="20"/>
                <w:szCs w:val="20"/>
                <w:lang w:eastAsia="sk-SK"/>
              </w:rPr>
              <w:t>Plná realizácia opatrenia</w:t>
            </w:r>
          </w:p>
        </w:tc>
      </w:tr>
      <w:tr w:rsidR="003E67A7" w:rsidRPr="00CE2E2C" w:rsidTr="00A127CB">
        <w:trPr>
          <w:jc w:val="center"/>
        </w:trPr>
        <w:tc>
          <w:tcPr>
            <w:tcW w:w="3020" w:type="dxa"/>
            <w:shd w:val="clear" w:color="auto" w:fill="auto"/>
          </w:tcPr>
          <w:p w:rsidR="003E67A7" w:rsidRPr="00CE2E2C" w:rsidRDefault="003E67A7" w:rsidP="009553A0">
            <w:pPr>
              <w:rPr>
                <w:rFonts w:ascii="Times New Roman" w:hAnsi="Times New Roman"/>
                <w:sz w:val="20"/>
                <w:szCs w:val="20"/>
                <w:lang w:eastAsia="sk-SK"/>
              </w:rPr>
            </w:pPr>
            <w:r w:rsidRPr="00B20C71">
              <w:rPr>
                <w:rFonts w:ascii="Times New Roman" w:hAnsi="Times New Roman"/>
                <w:sz w:val="20"/>
                <w:szCs w:val="20"/>
                <w:lang w:eastAsia="sk-SK"/>
              </w:rPr>
              <w:t>Zapojenie zamestnancov do systému nepretržitého vzdelávania subjektov zapojených do implementácie EŠIF, s dopadom na zefektívnenie procesov implementácie a priame zníženie administratívnej záťaže prijímateľov</w:t>
            </w:r>
          </w:p>
        </w:tc>
        <w:tc>
          <w:tcPr>
            <w:tcW w:w="2995" w:type="dxa"/>
            <w:shd w:val="clear" w:color="auto" w:fill="auto"/>
            <w:vAlign w:val="center"/>
          </w:tcPr>
          <w:p w:rsidR="003E67A7" w:rsidRPr="00177B9B" w:rsidRDefault="003E67A7" w:rsidP="009553A0">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w:t>
            </w:r>
            <w:r>
              <w:rPr>
                <w:rFonts w:ascii="Times New Roman" w:hAnsi="Times New Roman"/>
                <w:sz w:val="20"/>
                <w:szCs w:val="20"/>
                <w:lang w:eastAsia="sk-SK"/>
              </w:rPr>
              <w:t>0</w:t>
            </w:r>
            <w:r w:rsidRPr="00B20C71">
              <w:rPr>
                <w:rFonts w:ascii="Times New Roman" w:hAnsi="Times New Roman"/>
                <w:sz w:val="20"/>
                <w:szCs w:val="20"/>
                <w:lang w:eastAsia="sk-SK"/>
              </w:rPr>
              <w:t>1.2014</w:t>
            </w:r>
          </w:p>
        </w:tc>
        <w:tc>
          <w:tcPr>
            <w:tcW w:w="3057" w:type="dxa"/>
            <w:shd w:val="clear" w:color="auto" w:fill="auto"/>
            <w:vAlign w:val="center"/>
          </w:tcPr>
          <w:p w:rsidR="003E67A7" w:rsidRDefault="003E67A7" w:rsidP="009553A0">
            <w:pPr>
              <w:tabs>
                <w:tab w:val="left" w:pos="709"/>
                <w:tab w:val="left" w:pos="9072"/>
              </w:tabs>
              <w:ind w:right="318"/>
              <w:jc w:val="center"/>
              <w:rPr>
                <w:rFonts w:ascii="Times New Roman" w:hAnsi="Times New Roman"/>
                <w:sz w:val="20"/>
                <w:szCs w:val="20"/>
              </w:rPr>
            </w:pPr>
            <w:r w:rsidRPr="00B20C71">
              <w:rPr>
                <w:rFonts w:ascii="Times New Roman" w:hAnsi="Times New Roman"/>
                <w:sz w:val="20"/>
                <w:szCs w:val="20"/>
              </w:rPr>
              <w:t>31.12.2014 a následne priebežne počas cel</w:t>
            </w:r>
            <w:r>
              <w:rPr>
                <w:rFonts w:ascii="Times New Roman" w:hAnsi="Times New Roman"/>
                <w:sz w:val="20"/>
                <w:szCs w:val="20"/>
              </w:rPr>
              <w:t xml:space="preserve">ého programového obdobia </w:t>
            </w:r>
          </w:p>
          <w:p w:rsidR="003E67A7" w:rsidRPr="00B20C71" w:rsidRDefault="003E67A7" w:rsidP="009553A0">
            <w:pPr>
              <w:tabs>
                <w:tab w:val="left" w:pos="709"/>
                <w:tab w:val="left" w:pos="9072"/>
              </w:tabs>
              <w:ind w:right="318"/>
              <w:jc w:val="center"/>
              <w:rPr>
                <w:rFonts w:ascii="Times New Roman" w:hAnsi="Times New Roman"/>
                <w:sz w:val="20"/>
                <w:szCs w:val="20"/>
              </w:rPr>
            </w:pPr>
            <w:r>
              <w:rPr>
                <w:rFonts w:ascii="Times New Roman" w:hAnsi="Times New Roman"/>
                <w:sz w:val="20"/>
                <w:szCs w:val="20"/>
              </w:rPr>
              <w:t xml:space="preserve">2014 - </w:t>
            </w:r>
            <w:r w:rsidRPr="00B20C71">
              <w:rPr>
                <w:rFonts w:ascii="Times New Roman" w:hAnsi="Times New Roman"/>
                <w:sz w:val="20"/>
                <w:szCs w:val="20"/>
              </w:rPr>
              <w:t>2020</w:t>
            </w:r>
          </w:p>
        </w:tc>
      </w:tr>
      <w:tr w:rsidR="003E67A7" w:rsidRPr="00CE2E2C" w:rsidTr="00A127CB">
        <w:trPr>
          <w:trHeight w:val="1478"/>
          <w:jc w:val="center"/>
        </w:trPr>
        <w:tc>
          <w:tcPr>
            <w:tcW w:w="3020" w:type="dxa"/>
          </w:tcPr>
          <w:p w:rsidR="003E67A7" w:rsidRPr="00B20C71" w:rsidRDefault="003E67A7" w:rsidP="009553A0">
            <w:pPr>
              <w:rPr>
                <w:rFonts w:ascii="Times New Roman" w:hAnsi="Times New Roman"/>
                <w:sz w:val="20"/>
                <w:szCs w:val="20"/>
                <w:lang w:eastAsia="sk-SK"/>
              </w:rPr>
            </w:pPr>
            <w:r w:rsidRPr="00B20C71">
              <w:rPr>
                <w:rFonts w:ascii="Times New Roman" w:hAnsi="Times New Roman"/>
                <w:sz w:val="20"/>
                <w:szCs w:val="20"/>
                <w:lang w:eastAsia="sk-SK"/>
              </w:rPr>
              <w:t xml:space="preserve">Pre EŠIF okrem EPFRV - prebudovanie súčasného </w:t>
            </w:r>
            <w:r>
              <w:rPr>
                <w:rFonts w:ascii="Times New Roman" w:hAnsi="Times New Roman"/>
                <w:sz w:val="20"/>
                <w:szCs w:val="20"/>
                <w:lang w:eastAsia="sk-SK"/>
              </w:rPr>
              <w:t>informačného systému ITMS II na </w:t>
            </w:r>
            <w:r w:rsidRPr="00B20C71">
              <w:rPr>
                <w:rFonts w:ascii="Times New Roman" w:hAnsi="Times New Roman"/>
                <w:sz w:val="20"/>
                <w:szCs w:val="20"/>
                <w:lang w:eastAsia="sk-SK"/>
              </w:rPr>
              <w:t>systém plne zohľadňujúci požiadavky e-kohézie, ktorého dizajn a funkcionality budú zodpovedať súčasným svetovým štandardom inteligentných otvorených informačných systémov. Pre PRV 2014 – 2020 Pôdohospodárska platobná agentúra plánuje zavedenie elektronickej komunikácie v rovnakom termíne plnej realizácie opatrenia.</w:t>
            </w:r>
          </w:p>
        </w:tc>
        <w:tc>
          <w:tcPr>
            <w:tcW w:w="2995" w:type="dxa"/>
            <w:vAlign w:val="center"/>
          </w:tcPr>
          <w:p w:rsidR="003E67A7" w:rsidRPr="00177B9B" w:rsidRDefault="003E67A7" w:rsidP="009553A0">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w:t>
            </w:r>
            <w:r>
              <w:rPr>
                <w:rFonts w:ascii="Times New Roman" w:hAnsi="Times New Roman"/>
                <w:sz w:val="20"/>
                <w:szCs w:val="20"/>
                <w:lang w:eastAsia="sk-SK"/>
              </w:rPr>
              <w:t>0</w:t>
            </w:r>
            <w:r w:rsidRPr="00B20C71">
              <w:rPr>
                <w:rFonts w:ascii="Times New Roman" w:hAnsi="Times New Roman"/>
                <w:sz w:val="20"/>
                <w:szCs w:val="20"/>
                <w:lang w:eastAsia="sk-SK"/>
              </w:rPr>
              <w:t>1.2014</w:t>
            </w:r>
          </w:p>
        </w:tc>
        <w:tc>
          <w:tcPr>
            <w:tcW w:w="3057" w:type="dxa"/>
            <w:vAlign w:val="center"/>
          </w:tcPr>
          <w:p w:rsidR="003E67A7" w:rsidRPr="00B20C71" w:rsidRDefault="003E67A7" w:rsidP="009553A0">
            <w:pPr>
              <w:tabs>
                <w:tab w:val="left" w:pos="709"/>
                <w:tab w:val="left" w:pos="9072"/>
              </w:tabs>
              <w:spacing w:after="200"/>
              <w:ind w:right="317"/>
              <w:jc w:val="center"/>
              <w:rPr>
                <w:rFonts w:ascii="Times New Roman" w:hAnsi="Times New Roman"/>
                <w:sz w:val="20"/>
                <w:szCs w:val="20"/>
              </w:rPr>
            </w:pPr>
            <w:r w:rsidRPr="00B20C71">
              <w:rPr>
                <w:rFonts w:ascii="Times New Roman" w:hAnsi="Times New Roman"/>
                <w:sz w:val="20"/>
                <w:szCs w:val="20"/>
              </w:rPr>
              <w:t>31.12.2015</w:t>
            </w:r>
          </w:p>
        </w:tc>
      </w:tr>
      <w:tr w:rsidR="003E67A7" w:rsidRPr="00CE2E2C" w:rsidTr="00A127CB">
        <w:trPr>
          <w:jc w:val="center"/>
        </w:trPr>
        <w:tc>
          <w:tcPr>
            <w:tcW w:w="3020" w:type="dxa"/>
          </w:tcPr>
          <w:p w:rsidR="003E67A7" w:rsidRPr="00B20C71" w:rsidRDefault="003E67A7" w:rsidP="009553A0">
            <w:pPr>
              <w:rPr>
                <w:rFonts w:ascii="Times New Roman" w:hAnsi="Times New Roman"/>
                <w:sz w:val="20"/>
                <w:szCs w:val="20"/>
                <w:lang w:eastAsia="sk-SK"/>
              </w:rPr>
            </w:pPr>
            <w:r w:rsidRPr="00B20C71">
              <w:rPr>
                <w:rFonts w:ascii="Times New Roman" w:hAnsi="Times New Roman"/>
                <w:sz w:val="20"/>
                <w:szCs w:val="20"/>
                <w:lang w:eastAsia="sk-SK"/>
              </w:rPr>
              <w:t>Z</w:t>
            </w:r>
            <w:r w:rsidR="002D4DB4">
              <w:rPr>
                <w:rFonts w:ascii="Times New Roman" w:hAnsi="Times New Roman"/>
                <w:sz w:val="20"/>
                <w:szCs w:val="20"/>
                <w:lang w:eastAsia="sk-SK"/>
              </w:rPr>
              <w:t xml:space="preserve">avedenie </w:t>
            </w:r>
            <w:r>
              <w:rPr>
                <w:rFonts w:ascii="Times New Roman" w:hAnsi="Times New Roman"/>
                <w:sz w:val="20"/>
                <w:szCs w:val="20"/>
                <w:lang w:eastAsia="sk-SK"/>
              </w:rPr>
              <w:t>jednotných, jasných a </w:t>
            </w:r>
            <w:r w:rsidRPr="00B20C71">
              <w:rPr>
                <w:rFonts w:ascii="Times New Roman" w:hAnsi="Times New Roman"/>
                <w:sz w:val="20"/>
                <w:szCs w:val="20"/>
                <w:lang w:eastAsia="sk-SK"/>
              </w:rPr>
              <w:t>efektívnych pravidiel zmenového konania umožňujúceho optimálne reagovať na zmenené podmienky realizácie projektu</w:t>
            </w:r>
          </w:p>
        </w:tc>
        <w:tc>
          <w:tcPr>
            <w:tcW w:w="2995" w:type="dxa"/>
            <w:vAlign w:val="center"/>
          </w:tcPr>
          <w:p w:rsidR="003E67A7" w:rsidRPr="00177B9B" w:rsidRDefault="003E67A7" w:rsidP="009553A0">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w:t>
            </w:r>
            <w:r>
              <w:rPr>
                <w:rFonts w:ascii="Times New Roman" w:hAnsi="Times New Roman"/>
                <w:sz w:val="20"/>
                <w:szCs w:val="20"/>
                <w:lang w:eastAsia="sk-SK"/>
              </w:rPr>
              <w:t>0</w:t>
            </w:r>
            <w:r w:rsidRPr="00B20C71">
              <w:rPr>
                <w:rFonts w:ascii="Times New Roman" w:hAnsi="Times New Roman"/>
                <w:sz w:val="20"/>
                <w:szCs w:val="20"/>
                <w:lang w:eastAsia="sk-SK"/>
              </w:rPr>
              <w:t>1.2014</w:t>
            </w:r>
          </w:p>
        </w:tc>
        <w:tc>
          <w:tcPr>
            <w:tcW w:w="3057" w:type="dxa"/>
            <w:vAlign w:val="center"/>
          </w:tcPr>
          <w:p w:rsidR="003E67A7" w:rsidRPr="00B20C71" w:rsidRDefault="003E67A7" w:rsidP="009553A0">
            <w:pPr>
              <w:tabs>
                <w:tab w:val="left" w:pos="709"/>
                <w:tab w:val="left" w:pos="9072"/>
              </w:tabs>
              <w:spacing w:after="200"/>
              <w:ind w:right="317"/>
              <w:jc w:val="center"/>
              <w:rPr>
                <w:rFonts w:ascii="Times New Roman" w:hAnsi="Times New Roman"/>
                <w:sz w:val="20"/>
                <w:szCs w:val="20"/>
              </w:rPr>
            </w:pPr>
            <w:r w:rsidRPr="00B20C71">
              <w:rPr>
                <w:rFonts w:ascii="Times New Roman" w:hAnsi="Times New Roman"/>
                <w:sz w:val="20"/>
                <w:szCs w:val="20"/>
              </w:rPr>
              <w:t>31.12.2014</w:t>
            </w:r>
          </w:p>
        </w:tc>
      </w:tr>
      <w:tr w:rsidR="003E67A7" w:rsidRPr="00CE2E2C" w:rsidTr="00A127CB">
        <w:trPr>
          <w:jc w:val="center"/>
        </w:trPr>
        <w:tc>
          <w:tcPr>
            <w:tcW w:w="3020" w:type="dxa"/>
          </w:tcPr>
          <w:p w:rsidR="003E67A7" w:rsidRPr="00B20C71" w:rsidRDefault="003E67A7" w:rsidP="009553A0">
            <w:pPr>
              <w:rPr>
                <w:rFonts w:ascii="Times New Roman" w:hAnsi="Times New Roman"/>
                <w:sz w:val="20"/>
                <w:szCs w:val="20"/>
                <w:lang w:eastAsia="sk-SK"/>
              </w:rPr>
            </w:pPr>
            <w:r w:rsidRPr="00B20C71">
              <w:rPr>
                <w:rFonts w:ascii="Times New Roman" w:hAnsi="Times New Roman"/>
                <w:sz w:val="20"/>
                <w:szCs w:val="20"/>
                <w:lang w:eastAsia="sk-SK"/>
              </w:rPr>
              <w:t xml:space="preserve">Zverejňovanie modelových vzorov dokumentácie k VO na úrovni ÚVO v užívateľsky jednoduchom online prostredí s cieľom šírenia príkladov dobrej praxe v oblasti VO </w:t>
            </w:r>
          </w:p>
        </w:tc>
        <w:tc>
          <w:tcPr>
            <w:tcW w:w="2995" w:type="dxa"/>
            <w:vAlign w:val="center"/>
          </w:tcPr>
          <w:p w:rsidR="003E67A7" w:rsidRPr="00177B9B" w:rsidRDefault="003E67A7" w:rsidP="009553A0">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1.11.2013</w:t>
            </w:r>
          </w:p>
        </w:tc>
        <w:tc>
          <w:tcPr>
            <w:tcW w:w="3057" w:type="dxa"/>
            <w:vAlign w:val="center"/>
          </w:tcPr>
          <w:p w:rsidR="003E67A7" w:rsidRPr="00B20C71" w:rsidRDefault="003E67A7" w:rsidP="009553A0">
            <w:pPr>
              <w:tabs>
                <w:tab w:val="left" w:pos="709"/>
                <w:tab w:val="left" w:pos="9072"/>
              </w:tabs>
              <w:spacing w:after="200"/>
              <w:ind w:right="317"/>
              <w:jc w:val="center"/>
              <w:rPr>
                <w:rFonts w:ascii="Times New Roman" w:hAnsi="Times New Roman"/>
                <w:sz w:val="20"/>
                <w:szCs w:val="20"/>
              </w:rPr>
            </w:pPr>
            <w:r>
              <w:rPr>
                <w:rFonts w:ascii="Times New Roman" w:hAnsi="Times New Roman"/>
                <w:sz w:val="20"/>
                <w:szCs w:val="20"/>
              </w:rPr>
              <w:t>0</w:t>
            </w:r>
            <w:r w:rsidRPr="00B20C71">
              <w:rPr>
                <w:rFonts w:ascii="Times New Roman" w:hAnsi="Times New Roman"/>
                <w:sz w:val="20"/>
                <w:szCs w:val="20"/>
              </w:rPr>
              <w:t>1.</w:t>
            </w:r>
            <w:r>
              <w:rPr>
                <w:rFonts w:ascii="Times New Roman" w:hAnsi="Times New Roman"/>
                <w:sz w:val="20"/>
                <w:szCs w:val="20"/>
              </w:rPr>
              <w:t>0</w:t>
            </w:r>
            <w:r w:rsidRPr="00B20C71">
              <w:rPr>
                <w:rFonts w:ascii="Times New Roman" w:hAnsi="Times New Roman"/>
                <w:sz w:val="20"/>
                <w:szCs w:val="20"/>
              </w:rPr>
              <w:t>7.2015</w:t>
            </w:r>
          </w:p>
        </w:tc>
      </w:tr>
    </w:tbl>
    <w:p w:rsidR="00BF142C" w:rsidRDefault="00BF142C" w:rsidP="00BF142C">
      <w:pPr>
        <w:spacing w:before="240"/>
        <w:jc w:val="both"/>
        <w:rPr>
          <w:sz w:val="22"/>
          <w:szCs w:val="22"/>
        </w:rPr>
      </w:pPr>
      <w:r w:rsidRPr="00406A31">
        <w:rPr>
          <w:sz w:val="22"/>
          <w:szCs w:val="22"/>
        </w:rPr>
        <w:t>Súhrn plánovaných opatrení v programoch vrátane orientačného harmonogramu na dosiahnutie zníženia administratívnej záťaže prijímateľov</w:t>
      </w:r>
      <w:r>
        <w:rPr>
          <w:sz w:val="22"/>
          <w:szCs w:val="22"/>
        </w:rPr>
        <w:t xml:space="preserve"> a identifikácie </w:t>
      </w:r>
      <w:r w:rsidRPr="00406A31">
        <w:rPr>
          <w:sz w:val="22"/>
          <w:szCs w:val="22"/>
        </w:rPr>
        <w:t>oblast</w:t>
      </w:r>
      <w:r>
        <w:rPr>
          <w:sz w:val="22"/>
          <w:szCs w:val="22"/>
        </w:rPr>
        <w:t>í</w:t>
      </w:r>
      <w:r w:rsidRPr="00406A31">
        <w:rPr>
          <w:sz w:val="22"/>
          <w:szCs w:val="22"/>
        </w:rPr>
        <w:t xml:space="preserve"> s významným potenciálom ďalšieho znižovania administratívnej záťaže prijímateľov a</w:t>
      </w:r>
      <w:r>
        <w:rPr>
          <w:sz w:val="22"/>
          <w:szCs w:val="22"/>
        </w:rPr>
        <w:t> </w:t>
      </w:r>
      <w:r w:rsidRPr="00406A31">
        <w:rPr>
          <w:sz w:val="22"/>
          <w:szCs w:val="22"/>
        </w:rPr>
        <w:t>poskytovateľov</w:t>
      </w:r>
      <w:r>
        <w:rPr>
          <w:sz w:val="22"/>
          <w:szCs w:val="22"/>
        </w:rPr>
        <w:t xml:space="preserve"> je uvedený v kapitole 2.6 Partnerskej dohody SR na roky 2014 – 2020.</w:t>
      </w:r>
    </w:p>
    <w:p w:rsidR="00BF142C" w:rsidRPr="00406A31" w:rsidRDefault="00BF142C" w:rsidP="00BF142C">
      <w:pPr>
        <w:spacing w:before="240"/>
        <w:jc w:val="both"/>
        <w:rPr>
          <w:sz w:val="22"/>
          <w:szCs w:val="22"/>
        </w:rPr>
      </w:pPr>
    </w:p>
    <w:p w:rsidR="00772736" w:rsidRDefault="00772736" w:rsidP="00772736">
      <w:pPr>
        <w:pStyle w:val="Nadpis1"/>
        <w:sectPr w:rsidR="00772736" w:rsidSect="00D1658B">
          <w:headerReference w:type="default" r:id="rId56"/>
          <w:footerReference w:type="default" r:id="rId57"/>
          <w:pgSz w:w="11906" w:h="16838"/>
          <w:pgMar w:top="1418" w:right="1361" w:bottom="1304" w:left="1474" w:header="709" w:footer="709" w:gutter="0"/>
          <w:cols w:space="708"/>
          <w:docGrid w:linePitch="360"/>
        </w:sectPr>
      </w:pPr>
    </w:p>
    <w:p w:rsidR="003E67A7" w:rsidRDefault="00772736" w:rsidP="00772736">
      <w:pPr>
        <w:pStyle w:val="Nadpis1"/>
      </w:pPr>
      <w:bookmarkStart w:id="166" w:name="_Toc385310769"/>
      <w:r>
        <w:lastRenderedPageBreak/>
        <w:t>Horizontálne princípy</w:t>
      </w:r>
      <w:bookmarkEnd w:id="166"/>
    </w:p>
    <w:p w:rsidR="00772736" w:rsidRDefault="00772736" w:rsidP="00772736">
      <w:pPr>
        <w:pStyle w:val="Nadpis2"/>
        <w:tabs>
          <w:tab w:val="num" w:pos="851"/>
        </w:tabs>
        <w:spacing w:before="240"/>
      </w:pPr>
      <w:bookmarkStart w:id="167" w:name="_Toc383209162"/>
      <w:bookmarkStart w:id="168" w:name="_Toc383236576"/>
      <w:bookmarkStart w:id="169" w:name="_Toc385310770"/>
      <w:r>
        <w:t>Udržateľný rozvoj</w:t>
      </w:r>
      <w:bookmarkEnd w:id="167"/>
      <w:bookmarkEnd w:id="168"/>
      <w:bookmarkEnd w:id="169"/>
    </w:p>
    <w:p w:rsidR="00EA5B5E" w:rsidRDefault="00EA5B5E" w:rsidP="00EA5B5E">
      <w:pPr>
        <w:pStyle w:val="Vchodzie"/>
        <w:spacing w:before="240" w:line="240" w:lineRule="auto"/>
        <w:rPr>
          <w:rFonts w:ascii="Times New Roman" w:hAnsi="Times New Roman" w:cs="Times New Roman"/>
        </w:rPr>
      </w:pPr>
      <w:r w:rsidRPr="00E16436">
        <w:rPr>
          <w:rFonts w:ascii="Times New Roman" w:hAnsi="Times New Roman" w:cs="Times New Roman"/>
          <w:color w:val="auto"/>
          <w:szCs w:val="22"/>
        </w:rPr>
        <w:t>Programy spolufinancované z EŠIF musia dodržiavať aj horizontálny princíp udržateľného rozvoja. Základom udržateľného rozvoja sú tri piliere, a to environmentálny, ekonomický a sociálny. Hlavným cieľom horizontálneho princípu udržateľný rozvoj bude zabezpečenie environmentálnej, sociálnej a ekonomickej udržateľnosti sociálneho a ekonomického rastu s osobitným dôrazom na ochranu a zlepšenie životného prostredia pri zohľadnení zásady „znečisťovateľ platí“</w:t>
      </w:r>
      <w:r w:rsidRPr="00E16436">
        <w:rPr>
          <w:rStyle w:val="Odkaznapoznmkupodiarou"/>
          <w:rFonts w:ascii="Times New Roman" w:hAnsi="Times New Roman" w:cs="Times New Roman"/>
          <w:color w:val="auto"/>
          <w:szCs w:val="22"/>
        </w:rPr>
        <w:footnoteReference w:id="34"/>
      </w:r>
      <w:r w:rsidRPr="00E16436">
        <w:rPr>
          <w:rFonts w:ascii="Times New Roman" w:hAnsi="Times New Roman" w:cs="Times New Roman"/>
          <w:color w:val="auto"/>
          <w:szCs w:val="22"/>
        </w:rPr>
        <w:t xml:space="preserve">. Uvedené tri piliere udržateľného rozvoja budú špecifickými cieľmi horizontálneho princípu udržateľný rozvoj. Tie sa budú ďalej členiť na čiastkové ciele, ktoré budú zahŕňať vecne príslušné tematické ciele stanovené pre EŠIF 2014 – 2020. </w:t>
      </w:r>
    </w:p>
    <w:p w:rsidR="00EA5B5E" w:rsidRDefault="00EA5B5E" w:rsidP="00EA5B5E">
      <w:pPr>
        <w:pStyle w:val="Vchodzie"/>
        <w:spacing w:before="180" w:line="240" w:lineRule="auto"/>
        <w:rPr>
          <w:rFonts w:ascii="Times New Roman" w:hAnsi="Times New Roman" w:cs="Times New Roman"/>
          <w:color w:val="auto"/>
          <w:szCs w:val="22"/>
        </w:rPr>
      </w:pPr>
      <w:r w:rsidRPr="00E16436">
        <w:rPr>
          <w:rFonts w:ascii="Times New Roman" w:hAnsi="Times New Roman" w:cs="Times New Roman"/>
          <w:bCs/>
          <w:iCs/>
          <w:color w:val="auto"/>
          <w:szCs w:val="22"/>
        </w:rPr>
        <w:t xml:space="preserve">V rámci uplatňovania zásady „znečisťovateľ platí“ </w:t>
      </w:r>
      <w:r w:rsidRPr="00E16436">
        <w:rPr>
          <w:rFonts w:ascii="Times New Roman" w:hAnsi="Times New Roman" w:cs="Times New Roman"/>
          <w:color w:val="auto"/>
          <w:szCs w:val="22"/>
        </w:rPr>
        <w:t>sa</w:t>
      </w:r>
      <w:r w:rsidRPr="00E16436">
        <w:rPr>
          <w:rFonts w:ascii="Times New Roman" w:hAnsi="Times New Roman" w:cs="Times New Roman"/>
          <w:b/>
          <w:bCs/>
          <w:i/>
          <w:iCs/>
          <w:color w:val="auto"/>
          <w:szCs w:val="22"/>
        </w:rPr>
        <w:t xml:space="preserve"> </w:t>
      </w:r>
      <w:r w:rsidRPr="00E16436">
        <w:rPr>
          <w:rFonts w:ascii="Times New Roman" w:hAnsi="Times New Roman" w:cs="Times New Roman"/>
          <w:bCs/>
          <w:iCs/>
          <w:color w:val="auto"/>
          <w:szCs w:val="22"/>
        </w:rPr>
        <w:t>v SR</w:t>
      </w:r>
      <w:r w:rsidRPr="00E16436">
        <w:rPr>
          <w:rFonts w:ascii="Times New Roman" w:hAnsi="Times New Roman" w:cs="Times New Roman"/>
          <w:color w:val="auto"/>
          <w:szCs w:val="22"/>
        </w:rPr>
        <w:t xml:space="preserve"> využívajú predovšetkým dva horizontálne nástroje – integrovaná prevencia a kontrola znečisťovania (IPKZ) a posudzovanie vplyvov na životné prostredie (EIA). Uvedené horizontálne nástroje budú uplatňované aj v rámci poskytovania podpory z EŠIF.</w:t>
      </w:r>
    </w:p>
    <w:p w:rsidR="00EA5B5E" w:rsidRPr="00EA5B5E" w:rsidRDefault="00EA5B5E" w:rsidP="00EA5B5E">
      <w:pPr>
        <w:jc w:val="both"/>
        <w:rPr>
          <w:rFonts w:eastAsiaTheme="minorEastAsia"/>
          <w:sz w:val="22"/>
          <w:szCs w:val="22"/>
          <w:lang w:eastAsia="en-US"/>
        </w:rPr>
      </w:pPr>
      <w:r w:rsidRPr="00EA5B5E">
        <w:rPr>
          <w:rFonts w:eastAsiaTheme="minorEastAsia"/>
          <w:sz w:val="22"/>
          <w:szCs w:val="22"/>
          <w:lang w:eastAsia="en-US"/>
        </w:rPr>
        <w:t>Zásada „znečisťovateľ platí“ je obsiahnutá v legislatíve SR, pričom legislatívnym základom uplatňovania jej prevenčnej a nápravnej zložky v slovenskom právnom poriadku je zákon č. 17/1992 Zb. o životnom prostredí v znení neskorších predpisov. V nadväznosti naň sa obidve z uvedených zložiek zásady „znečisťovateľ platí“ následne premietajú v tzv. zložkových zákonoch chrániacich určitú zložku životného prostredia (zákon č. 364/2004 Z. z. o vodách a o zmene zákona SNR č. 372/1990 Zb. o priestupkoch v znení neskorších predpisov (vodný zákon), zákon č. 223/2001 Z. z. o odpadoch a zmene a doplnení niektorých zákonov v znení neskorších predpisov, zákon č. 401/ 1998 Z. z. o poplatkoch za znečisťovanie ovzdušia v znení neskorších prepisov, zákon č. 409/2011 Z. z. o niektorých opatreniach na úseku environmentálnej záťaže a o zmene a doplnení niektorých zákonov a pod.) a v tzv. prierezových zákonoch, ktoré zasahujú do viacerých oblastí životného prostredia (zákon č. 359/2007 Z. z. o prevencii a náprave environmentálnych škôd a o zmene a doplnení niektorých zákonov, zákon č. 24/2006 Z. z. o posudzovaní vplyvov na životné prostredie a o zmene a doplnení niektorých zákonov v znení neskorších predpisov, zákon č. 39/2013 Z. z. o integrovanej prevencii a kontrole znečisťovania životného prostredia a o zmene a doplnení niektorých zákonov a pod.). V prostredí SR je zásada „znečisťovateľ platí“ implementovaná prostredníctvom právnych a ekonomických nástrojov tak, aby boli povinné osoby motivované k znižovaniu znečistenia a dotýkala sa všetkých znečisťovateľov. Ekonomické nástroje tvoria dôležitú súčasť environmentálnej politiky SR, pričom k nim patria dane, poplatky, odvody, pokuty a úhrady. Takto získané finančné prostriedky, spolu s výnosmi z pokút za porušenie povinností vo vzťahu k životnému prostrediu, tvoria</w:t>
      </w:r>
      <w:r>
        <w:rPr>
          <w:rFonts w:eastAsiaTheme="minorEastAsia"/>
          <w:sz w:val="22"/>
          <w:szCs w:val="22"/>
          <w:lang w:eastAsia="en-US"/>
        </w:rPr>
        <w:t xml:space="preserve"> </w:t>
      </w:r>
      <w:r w:rsidRPr="00EA5B5E">
        <w:rPr>
          <w:szCs w:val="22"/>
        </w:rPr>
        <w:lastRenderedPageBreak/>
        <w:t>príjem Environmentálneho fondu, a tie sa opätovne využívajú na nápravné opatrenia v danom sektore hospodárstva.</w:t>
      </w:r>
    </w:p>
    <w:p w:rsidR="00EA5B5E" w:rsidRPr="00EA5B5E" w:rsidRDefault="00EA5B5E" w:rsidP="00EA5B5E">
      <w:pPr>
        <w:pStyle w:val="Vchodzie"/>
        <w:spacing w:before="180" w:line="240" w:lineRule="auto"/>
        <w:rPr>
          <w:rFonts w:ascii="Times New Roman" w:hAnsi="Times New Roman" w:cs="Times New Roman"/>
          <w:color w:val="auto"/>
          <w:szCs w:val="22"/>
        </w:rPr>
      </w:pPr>
      <w:r w:rsidRPr="00E16436">
        <w:rPr>
          <w:rFonts w:ascii="Times New Roman" w:hAnsi="Times New Roman" w:cs="Times New Roman"/>
          <w:color w:val="auto"/>
          <w:szCs w:val="22"/>
        </w:rPr>
        <w:t>Princíp udržateľného rozvoja bude integrovaný do OPII prostredníctvom jeho príslušnej riadiacej dokumentácie. Pre identifikáciu prioritných oblastí a cieľov na uplatňovanie princípu udržateľného rozvoja bude základným rámcom národný strategický dokument, prostredníctvom ktorého sa zabezpečí jeho aplikácia v OPII. Pre účinné uplatňovanie horizontálneho princípu udržateľný rozvoj bude jeho hlavný cieľ stanovený v hodnotiacom a výberovom procese žiadostí o </w:t>
      </w:r>
      <w:r w:rsidRPr="00EA5B5E">
        <w:rPr>
          <w:rFonts w:ascii="Times New Roman" w:hAnsi="Times New Roman" w:cs="Times New Roman"/>
          <w:color w:val="auto"/>
          <w:szCs w:val="22"/>
        </w:rPr>
        <w:t xml:space="preserve">podporu </w:t>
      </w:r>
      <w:r w:rsidRPr="00E16436">
        <w:rPr>
          <w:rFonts w:ascii="Times New Roman" w:hAnsi="Times New Roman" w:cs="Times New Roman"/>
          <w:color w:val="auto"/>
          <w:szCs w:val="22"/>
        </w:rPr>
        <w:t xml:space="preserve">ako diskvalifikačné kritérium v rámci prioritných osí OPII. </w:t>
      </w:r>
      <w:r w:rsidRPr="00EA5B5E">
        <w:rPr>
          <w:rFonts w:ascii="Times New Roman" w:hAnsi="Times New Roman" w:cs="Times New Roman"/>
          <w:color w:val="auto"/>
          <w:szCs w:val="22"/>
        </w:rPr>
        <w:t xml:space="preserve">Investície z EŠIF by nemali zvyšovať zaťaženie životného prostredia. </w:t>
      </w:r>
      <w:r w:rsidRPr="00E16436">
        <w:rPr>
          <w:rFonts w:ascii="Times New Roman" w:hAnsi="Times New Roman" w:cs="Times New Roman"/>
          <w:color w:val="auto"/>
          <w:szCs w:val="22"/>
        </w:rPr>
        <w:t>S cieľom posúdiť úroveň zaťaženia životného prostredia, žiadateľ o</w:t>
      </w:r>
      <w:r w:rsidR="00A77C61">
        <w:rPr>
          <w:rFonts w:ascii="Times New Roman" w:hAnsi="Times New Roman" w:cs="Times New Roman"/>
          <w:color w:val="auto"/>
          <w:szCs w:val="22"/>
        </w:rPr>
        <w:t> </w:t>
      </w:r>
      <w:r w:rsidRPr="00E16436">
        <w:rPr>
          <w:rFonts w:ascii="Times New Roman" w:hAnsi="Times New Roman" w:cs="Times New Roman"/>
          <w:color w:val="auto"/>
          <w:szCs w:val="22"/>
        </w:rPr>
        <w:t>podporu</w:t>
      </w:r>
      <w:r w:rsidR="00A77C61">
        <w:rPr>
          <w:rFonts w:ascii="Times New Roman" w:hAnsi="Times New Roman" w:cs="Times New Roman"/>
          <w:color w:val="auto"/>
          <w:szCs w:val="22"/>
        </w:rPr>
        <w:t xml:space="preserve"> v relevantných prípadoch</w:t>
      </w:r>
      <w:r w:rsidRPr="00E16436">
        <w:rPr>
          <w:rFonts w:ascii="Times New Roman" w:hAnsi="Times New Roman" w:cs="Times New Roman"/>
          <w:color w:val="auto"/>
          <w:szCs w:val="22"/>
        </w:rPr>
        <w:t xml:space="preserve"> povinne predloží najneskôr pred uzatvorením zmluvy o poskytnutí podpory výsledný dokument z procesu posudzovania navrhovanej činnosti z hľadiska jej predpokladaných vplyvov na životné prostredie, v zmysle platnej práv</w:t>
      </w:r>
      <w:r w:rsidR="00A77C61">
        <w:rPr>
          <w:rFonts w:ascii="Times New Roman" w:hAnsi="Times New Roman" w:cs="Times New Roman"/>
          <w:color w:val="auto"/>
          <w:szCs w:val="22"/>
        </w:rPr>
        <w:t>nej úpravy (t.j. rozhodnutie zo </w:t>
      </w:r>
      <w:r w:rsidRPr="00E16436">
        <w:rPr>
          <w:rFonts w:ascii="Times New Roman" w:hAnsi="Times New Roman" w:cs="Times New Roman"/>
          <w:color w:val="auto"/>
          <w:szCs w:val="22"/>
        </w:rPr>
        <w:t xml:space="preserve">zisťovacieho konania alebo záverečné stanovisko), alebo vyjadrenie príslušného orgánu o tom, že navrhovaná činnosť, resp. zmena navrhovanej činnosti, nepodlieha posudzovaniu z hľadiska vplyvov na životné prostredie. Podobne, žiadateľ o podporu povinne predloží najneskôr pred uzatvorením zmluvy o poskytnutí podpory, aj integrované povolenie v prípadoch činností, na ktoré sa povinnosť  jeho vydania vzťahuje. </w:t>
      </w:r>
      <w:r w:rsidRPr="00EA5B5E">
        <w:rPr>
          <w:rFonts w:ascii="Times New Roman" w:hAnsi="Times New Roman" w:cs="Times New Roman"/>
          <w:color w:val="auto"/>
          <w:szCs w:val="22"/>
        </w:rPr>
        <w:t xml:space="preserve">V súvislosti s uplatnením zásady </w:t>
      </w:r>
      <w:r w:rsidRPr="00E16436">
        <w:rPr>
          <w:rFonts w:ascii="Times New Roman" w:hAnsi="Times New Roman" w:cs="Times New Roman"/>
          <w:color w:val="auto"/>
          <w:szCs w:val="22"/>
        </w:rPr>
        <w:t xml:space="preserve">„znečisťovateľ platí“ budú </w:t>
      </w:r>
      <w:r w:rsidRPr="00EA5B5E">
        <w:rPr>
          <w:rFonts w:ascii="Times New Roman" w:hAnsi="Times New Roman" w:cs="Times New Roman"/>
          <w:color w:val="auto"/>
          <w:szCs w:val="22"/>
        </w:rPr>
        <w:t>za neoprávnené výdavky považované výdavky na aktivity, ktoré sa týkajú pl</w:t>
      </w:r>
      <w:r w:rsidR="00A77C61">
        <w:rPr>
          <w:rFonts w:ascii="Times New Roman" w:hAnsi="Times New Roman" w:cs="Times New Roman"/>
          <w:color w:val="auto"/>
          <w:szCs w:val="22"/>
        </w:rPr>
        <w:t>nenia povinností stanovených vo </w:t>
      </w:r>
      <w:r w:rsidRPr="00EA5B5E">
        <w:rPr>
          <w:rFonts w:ascii="Times New Roman" w:hAnsi="Times New Roman" w:cs="Times New Roman"/>
          <w:color w:val="auto"/>
          <w:szCs w:val="22"/>
        </w:rPr>
        <w:t xml:space="preserve">všeobecne záväzných právnych predpisoch v súvislosti so zásadou </w:t>
      </w:r>
      <w:r w:rsidRPr="00E16436">
        <w:rPr>
          <w:rFonts w:ascii="Times New Roman" w:hAnsi="Times New Roman" w:cs="Times New Roman"/>
          <w:color w:val="auto"/>
          <w:szCs w:val="22"/>
        </w:rPr>
        <w:t>„znečisťovateľ platí“</w:t>
      </w:r>
      <w:r w:rsidRPr="00EA5B5E">
        <w:rPr>
          <w:rFonts w:ascii="Times New Roman" w:hAnsi="Times New Roman" w:cs="Times New Roman"/>
          <w:color w:val="auto"/>
          <w:szCs w:val="22"/>
        </w:rPr>
        <w:t>. Táto zásada bude zohľadnená v podmienkach poskytnutia pomoci.</w:t>
      </w:r>
    </w:p>
    <w:p w:rsidR="00EA5B5E" w:rsidRPr="00EA5B5E" w:rsidRDefault="00EA5B5E" w:rsidP="00EA5B5E">
      <w:pPr>
        <w:pStyle w:val="Vchodzie"/>
        <w:spacing w:before="180" w:line="240" w:lineRule="auto"/>
        <w:rPr>
          <w:rFonts w:ascii="Times New Roman" w:hAnsi="Times New Roman" w:cs="Times New Roman"/>
          <w:color w:val="auto"/>
          <w:szCs w:val="22"/>
        </w:rPr>
      </w:pPr>
      <w:r w:rsidRPr="00E16436">
        <w:rPr>
          <w:rFonts w:ascii="Times New Roman" w:hAnsi="Times New Roman" w:cs="Times New Roman"/>
          <w:color w:val="auto"/>
          <w:szCs w:val="22"/>
        </w:rPr>
        <w:t>Proces monitorovania plnenia princípu udržateľného rozvoja bude na projektovej úrovni sledovaný prostredn</w:t>
      </w:r>
      <w:r w:rsidR="00E267CA">
        <w:rPr>
          <w:rFonts w:ascii="Times New Roman" w:hAnsi="Times New Roman" w:cs="Times New Roman"/>
          <w:color w:val="auto"/>
          <w:szCs w:val="22"/>
        </w:rPr>
        <w:t>íctvom monitorovacích správ (t.</w:t>
      </w:r>
      <w:r w:rsidRPr="00E16436">
        <w:rPr>
          <w:rFonts w:ascii="Times New Roman" w:hAnsi="Times New Roman" w:cs="Times New Roman"/>
          <w:color w:val="auto"/>
          <w:szCs w:val="22"/>
        </w:rPr>
        <w:t>j. popisom vykonaných aktivít, ich výsledkov a vyhodnotením ich príspevku k dosahovaniu stanovených cieľov horizontálneho princípu), ako aj kontrolou na mieste realizácie projektov a následne hodnotením príspevku k cieľom horizontálneho princípu. Samostatný výstup obsahujúci informácie o uplatňovaní horizontálneho princípu bude podkladom pre proces hodnotenia príspevku EŠIF k plneniu cieľov identifikovaných v národnom strategickom dokumente. Odpočet plnenia dosiahnutej úrovne stanovených cieľov v národnom strategickom dokumente, vrátane návrhu nápravných opatrení a odporúčaní k ich dosiahnutiu, bude každoročne predkladaný do vlády SR.</w:t>
      </w:r>
    </w:p>
    <w:p w:rsidR="00EA5B5E" w:rsidRPr="00EA5B5E" w:rsidRDefault="00EA5B5E" w:rsidP="00EA5B5E">
      <w:pPr>
        <w:pStyle w:val="Vchodzie"/>
        <w:spacing w:before="180" w:line="240" w:lineRule="auto"/>
        <w:rPr>
          <w:rFonts w:ascii="Times New Roman" w:hAnsi="Times New Roman" w:cs="Times New Roman"/>
          <w:color w:val="auto"/>
          <w:szCs w:val="22"/>
        </w:rPr>
      </w:pPr>
      <w:r w:rsidRPr="00EA5B5E">
        <w:rPr>
          <w:rFonts w:ascii="Times New Roman" w:hAnsi="Times New Roman" w:cs="Times New Roman"/>
          <w:color w:val="auto"/>
          <w:szCs w:val="22"/>
        </w:rPr>
        <w:t>Analytickú, hodnotiacu, strategickú a metodickú činnosť pre uplatňovanie horizontálneho princípu udržateľný rozvoj bude na národnej úrovni zabezpečovať Úrad vlády SR. RO OPII bude predkladať orgánu zodpovednému za uplatňovanie horizontálneho princípu udržateľný rozvoj pravidelnú informáciu o jeho plnení, a to vyhodnotením monitorovacích správ, ako aj  kontrol na mieste v pravidelných časových intervaloch. Zástupca orgánu zodpovedného za uplatňovanie horizontálneho princípu udržateľný rozvoj bude zodpovedný za definovanie podmienky poskytnutia pomoci súvisiacej so</w:t>
      </w:r>
      <w:r w:rsidRPr="00E16436">
        <w:rPr>
          <w:rFonts w:ascii="Times New Roman" w:hAnsi="Times New Roman" w:cs="Times New Roman"/>
          <w:color w:val="auto"/>
          <w:szCs w:val="22"/>
        </w:rPr>
        <w:t> </w:t>
      </w:r>
      <w:r w:rsidRPr="00EA5B5E">
        <w:rPr>
          <w:rFonts w:ascii="Times New Roman" w:hAnsi="Times New Roman" w:cs="Times New Roman"/>
          <w:color w:val="auto"/>
          <w:szCs w:val="22"/>
        </w:rPr>
        <w:t>zabezpečením aplikovania horizontálneho princípu udržateľný rozvoj a spôsobu jej overovania, ktorý bude pre RO OPII záväzný. Rovnako bude zabezpečovať vzdelávacie a školiace aktivity pre</w:t>
      </w:r>
      <w:r w:rsidRPr="00E16436">
        <w:rPr>
          <w:rFonts w:ascii="Times New Roman" w:hAnsi="Times New Roman" w:cs="Times New Roman"/>
          <w:color w:val="auto"/>
          <w:szCs w:val="22"/>
        </w:rPr>
        <w:t> </w:t>
      </w:r>
      <w:r w:rsidRPr="00EA5B5E">
        <w:rPr>
          <w:rFonts w:ascii="Times New Roman" w:hAnsi="Times New Roman" w:cs="Times New Roman"/>
          <w:color w:val="auto"/>
          <w:szCs w:val="22"/>
        </w:rPr>
        <w:t>uplatňovanie udržateľného rozvoja subjektom zapojeným do implementácie EŠIF, relevantným sociálno-ekonomickým partnerom, ako aj hodnotiteľom žiadostí o podporu. Vecne príslušní zástupcovia ÚV SR zodpovední za uplatňovanie horizontálneho princípu udržateľný rozvoj budú mať zabezpečené zastúpenie v monitorovacom výbore pre OPII a pracovných skupinách pre prípravu a implementáciu OPII. Za účelom znižovania negatívnych vplyvov na klímu, znižovania znečistenia ovzdušia a ostatných zložiek životného prostredia, ako aj s ohľadom na energetickú efektívnosť sa bude pri projektoch financovaných z EŠIF uplatňovať zelené verejné obstarávanie</w:t>
      </w:r>
      <w:r w:rsidRPr="00EA5B5E">
        <w:footnoteReference w:id="35"/>
      </w:r>
      <w:r w:rsidRPr="00EA5B5E">
        <w:rPr>
          <w:rFonts w:ascii="Times New Roman" w:hAnsi="Times New Roman" w:cs="Times New Roman"/>
          <w:color w:val="auto"/>
          <w:szCs w:val="22"/>
        </w:rPr>
        <w:t>.</w:t>
      </w:r>
    </w:p>
    <w:p w:rsidR="00EA5B5E" w:rsidRPr="00EA5B5E" w:rsidRDefault="00EA5B5E" w:rsidP="00EA5B5E">
      <w:pPr>
        <w:pStyle w:val="Vchodzie"/>
        <w:spacing w:before="180" w:line="240" w:lineRule="auto"/>
        <w:rPr>
          <w:rFonts w:ascii="Times New Roman" w:hAnsi="Times New Roman" w:cs="Times New Roman"/>
          <w:color w:val="auto"/>
          <w:szCs w:val="22"/>
        </w:rPr>
      </w:pPr>
      <w:r w:rsidRPr="00EA5B5E">
        <w:rPr>
          <w:rFonts w:ascii="Times New Roman" w:hAnsi="Times New Roman" w:cs="Times New Roman"/>
          <w:color w:val="auto"/>
          <w:szCs w:val="22"/>
        </w:rPr>
        <w:t>V oblasti ochrany ovzdušia je potrebné podporovať nové BAT technológie a systémové opatrenia, ktoré umožnia znížiť emisie a zabezpečiť okrem iného i súlad so smernicou o priemyselných emisiách a zároveň prispejú k plneniu požiadaviek vyplývajúcich zo smernice o národných emisných stropoch a smernice o kvalite okolitého ovzdušia a čistejšom ovzduší v Európe.</w:t>
      </w:r>
    </w:p>
    <w:p w:rsidR="00EA5B5E" w:rsidRPr="00EA5B5E" w:rsidRDefault="00EA5B5E" w:rsidP="00EA5B5E">
      <w:pPr>
        <w:pStyle w:val="Vchodzie"/>
        <w:tabs>
          <w:tab w:val="left" w:pos="708"/>
        </w:tabs>
        <w:spacing w:after="0" w:line="240" w:lineRule="auto"/>
        <w:rPr>
          <w:rFonts w:ascii="Times New Roman" w:hAnsi="Times New Roman" w:cs="Times New Roman"/>
          <w:color w:val="auto"/>
          <w:szCs w:val="22"/>
        </w:rPr>
      </w:pPr>
      <w:r w:rsidRPr="00EA5B5E">
        <w:rPr>
          <w:rFonts w:ascii="Times New Roman" w:hAnsi="Times New Roman" w:cs="Times New Roman"/>
          <w:color w:val="auto"/>
          <w:szCs w:val="22"/>
        </w:rPr>
        <w:t xml:space="preserve">V rámci aktívnej adaptácie na dôsledky zmeny klímy bola pripravená komplexná Stratégia adaptácie SR na nepriaznivé dôsledky zmeny klímy, ktorá bola schválená UV SR č. 148/2014. Táto stratégia </w:t>
      </w:r>
      <w:r w:rsidRPr="00EA5B5E">
        <w:rPr>
          <w:rFonts w:ascii="Times New Roman" w:hAnsi="Times New Roman" w:cs="Times New Roman"/>
          <w:color w:val="auto"/>
          <w:szCs w:val="22"/>
        </w:rPr>
        <w:lastRenderedPageBreak/>
        <w:t xml:space="preserve">navrhuje princípy, ktorými by sa adaptačné procesy mali riadiť, kritériá pre výber prioritných opatrení a súbor adaptačných opatrení, ktoré by mali viesť k zníženiu negatívnych sociálnych a ekonomických nákladov. V súlade so závermi Rady EÚ z februára 2013 boli aktivity </w:t>
      </w:r>
      <w:r w:rsidR="00E267CA">
        <w:rPr>
          <w:rFonts w:ascii="Times New Roman" w:hAnsi="Times New Roman" w:cs="Times New Roman"/>
          <w:color w:val="auto"/>
          <w:szCs w:val="22"/>
        </w:rPr>
        <w:t>v oblasti zmeny klímy (zmierňovanie</w:t>
      </w:r>
      <w:r w:rsidRPr="00EA5B5E">
        <w:rPr>
          <w:rFonts w:ascii="Times New Roman" w:hAnsi="Times New Roman" w:cs="Times New Roman"/>
          <w:color w:val="auto"/>
          <w:szCs w:val="22"/>
        </w:rPr>
        <w:t xml:space="preserve"> a adaptácia) priamo začlenené aj do relevantných OP s vyčlenením indikatívnej alokácie na identifikované opatrenia. Pre systematické sledovanie vplyvu OP na zmenu klímy je možné použiť existujúce modely, ktoré umožňujú stanoviť uhlíkovú intenzitu jednotlivých aktivít v rámci OP (napríklad model CO2MPARE).</w:t>
      </w:r>
    </w:p>
    <w:p w:rsidR="00EA5B5E" w:rsidRPr="00EA5B5E" w:rsidRDefault="00EA5B5E" w:rsidP="00EA5B5E">
      <w:pPr>
        <w:jc w:val="both"/>
        <w:rPr>
          <w:rFonts w:eastAsiaTheme="minorEastAsia"/>
          <w:sz w:val="22"/>
          <w:szCs w:val="22"/>
          <w:lang w:eastAsia="en-US"/>
        </w:rPr>
      </w:pPr>
    </w:p>
    <w:p w:rsidR="00772736" w:rsidRDefault="00772736" w:rsidP="00772736">
      <w:pPr>
        <w:pStyle w:val="Nadpis2"/>
        <w:tabs>
          <w:tab w:val="num" w:pos="851"/>
        </w:tabs>
        <w:spacing w:before="240"/>
      </w:pPr>
      <w:bookmarkStart w:id="170" w:name="_Toc383209163"/>
      <w:bookmarkStart w:id="171" w:name="_Toc383236577"/>
      <w:bookmarkStart w:id="172" w:name="_Toc385310771"/>
      <w:r>
        <w:t>Rovnosť príležitostí a</w:t>
      </w:r>
      <w:r w:rsidR="00EA5B5E">
        <w:t> </w:t>
      </w:r>
      <w:r>
        <w:t>nediskriminácia</w:t>
      </w:r>
      <w:bookmarkEnd w:id="170"/>
      <w:bookmarkEnd w:id="171"/>
      <w:bookmarkEnd w:id="172"/>
    </w:p>
    <w:p w:rsidR="00EA5B5E" w:rsidRDefault="00EA5B5E" w:rsidP="00EA5B5E">
      <w:pPr>
        <w:autoSpaceDE w:val="0"/>
        <w:autoSpaceDN w:val="0"/>
        <w:adjustRightInd w:val="0"/>
        <w:jc w:val="both"/>
        <w:rPr>
          <w:b/>
          <w:sz w:val="22"/>
          <w:szCs w:val="22"/>
        </w:rPr>
      </w:pPr>
      <w:r w:rsidRPr="009D5596">
        <w:rPr>
          <w:sz w:val="22"/>
          <w:szCs w:val="22"/>
        </w:rPr>
        <w:t>Podpora základných práv, nediskriminácie a</w:t>
      </w:r>
      <w:r>
        <w:rPr>
          <w:sz w:val="22"/>
          <w:szCs w:val="22"/>
        </w:rPr>
        <w:t> </w:t>
      </w:r>
      <w:r w:rsidRPr="009D5596">
        <w:rPr>
          <w:sz w:val="22"/>
          <w:szCs w:val="22"/>
        </w:rPr>
        <w:t>rovnosti príležitostí je jedným zo základných princípov uplatňovaných v</w:t>
      </w:r>
      <w:r>
        <w:rPr>
          <w:sz w:val="22"/>
          <w:szCs w:val="22"/>
        </w:rPr>
        <w:t> </w:t>
      </w:r>
      <w:r w:rsidRPr="009D5596">
        <w:rPr>
          <w:sz w:val="22"/>
          <w:szCs w:val="22"/>
        </w:rPr>
        <w:t>EÚ. Rovnosť príležitostí je súčasťou pilierov Európskej stratégie zamestnanosti a</w:t>
      </w:r>
      <w:r>
        <w:rPr>
          <w:sz w:val="22"/>
          <w:szCs w:val="22"/>
        </w:rPr>
        <w:t> </w:t>
      </w:r>
      <w:r w:rsidRPr="009D5596">
        <w:rPr>
          <w:sz w:val="22"/>
          <w:szCs w:val="22"/>
        </w:rPr>
        <w:t>Európskej rámcovej stratégie nediskriminácie a</w:t>
      </w:r>
      <w:r>
        <w:rPr>
          <w:sz w:val="22"/>
          <w:szCs w:val="22"/>
        </w:rPr>
        <w:t> </w:t>
      </w:r>
      <w:r w:rsidRPr="009D5596">
        <w:rPr>
          <w:sz w:val="22"/>
          <w:szCs w:val="22"/>
        </w:rPr>
        <w:t>rovnakých príležitosti pre všetkých, v</w:t>
      </w:r>
      <w:r>
        <w:rPr>
          <w:sz w:val="22"/>
          <w:szCs w:val="22"/>
        </w:rPr>
        <w:t> </w:t>
      </w:r>
      <w:r w:rsidRPr="009D5596">
        <w:rPr>
          <w:sz w:val="22"/>
          <w:szCs w:val="22"/>
        </w:rPr>
        <w:t xml:space="preserve">zmysle ktorých bude </w:t>
      </w:r>
      <w:r>
        <w:rPr>
          <w:sz w:val="22"/>
          <w:szCs w:val="22"/>
        </w:rPr>
        <w:t xml:space="preserve">tento </w:t>
      </w:r>
      <w:r w:rsidRPr="009D5596">
        <w:rPr>
          <w:sz w:val="22"/>
          <w:szCs w:val="22"/>
        </w:rPr>
        <w:t>horizontáln</w:t>
      </w:r>
      <w:r>
        <w:rPr>
          <w:sz w:val="22"/>
          <w:szCs w:val="22"/>
        </w:rPr>
        <w:t>y princíp</w:t>
      </w:r>
      <w:r w:rsidRPr="009D5596">
        <w:rPr>
          <w:sz w:val="22"/>
          <w:szCs w:val="22"/>
        </w:rPr>
        <w:t xml:space="preserve"> </w:t>
      </w:r>
      <w:r w:rsidRPr="009D5596">
        <w:rPr>
          <w:b/>
          <w:sz w:val="22"/>
          <w:szCs w:val="22"/>
        </w:rPr>
        <w:t xml:space="preserve">podporovať boj proti diskriminácii na základe pohlavia, rasy, etnického pôvodu, náboženského vyznania, viery, zdravotného postihnutia, veku </w:t>
      </w:r>
      <w:r>
        <w:rPr>
          <w:b/>
          <w:sz w:val="22"/>
          <w:szCs w:val="22"/>
        </w:rPr>
        <w:t>alebo</w:t>
      </w:r>
      <w:r w:rsidRPr="009D5596">
        <w:rPr>
          <w:b/>
          <w:sz w:val="22"/>
          <w:szCs w:val="22"/>
        </w:rPr>
        <w:t xml:space="preserve"> sexuálnej orientácie.</w:t>
      </w:r>
    </w:p>
    <w:p w:rsidR="00EA5B5E" w:rsidRPr="00E65CD1" w:rsidRDefault="00EA5B5E" w:rsidP="00EA5B5E">
      <w:pPr>
        <w:autoSpaceDE w:val="0"/>
        <w:autoSpaceDN w:val="0"/>
        <w:adjustRightInd w:val="0"/>
        <w:spacing w:before="180"/>
        <w:jc w:val="both"/>
        <w:rPr>
          <w:sz w:val="22"/>
          <w:szCs w:val="22"/>
        </w:rPr>
      </w:pPr>
      <w:r>
        <w:rPr>
          <w:sz w:val="22"/>
          <w:szCs w:val="22"/>
        </w:rPr>
        <w:t xml:space="preserve">Hlavným cieľom horizontálneho princípu nediskriminácia je zabezpečiť rovnosť príležitostí v prístupe a využívaní infraštruktúry a služieb. </w:t>
      </w:r>
      <w:r w:rsidRPr="00E96E29">
        <w:rPr>
          <w:sz w:val="22"/>
          <w:szCs w:val="22"/>
        </w:rPr>
        <w:t>Osobitný prístup si vyžadujú osoby so zdravotným postihnutím, pre ktoré je potrebné vytvorenie mimoriadnych podmienok prístupnosti (napr. bezbariérové architektonické prostredie, prístupné informácie a pod.). Bez takto vytvorených podmienok nie je možné osoby so zdravotným postihnutím začleniť do spoločnosti a do pracovného procesu</w:t>
      </w:r>
      <w:r>
        <w:rPr>
          <w:sz w:val="22"/>
          <w:szCs w:val="22"/>
        </w:rPr>
        <w:t xml:space="preserve"> v zmysle Dohovoru OSN o právach osôb so zdravotným postihnutím, ktorý pre SR nadobudol platnosť 25. júna 2010. </w:t>
      </w:r>
    </w:p>
    <w:p w:rsidR="00EA5B5E" w:rsidRDefault="00EA5B5E" w:rsidP="00EA5B5E">
      <w:pPr>
        <w:autoSpaceDE w:val="0"/>
        <w:autoSpaceDN w:val="0"/>
        <w:adjustRightInd w:val="0"/>
        <w:spacing w:before="180"/>
        <w:jc w:val="both"/>
        <w:rPr>
          <w:sz w:val="22"/>
          <w:szCs w:val="22"/>
        </w:rPr>
      </w:pPr>
      <w:r w:rsidRPr="00DE169F">
        <w:rPr>
          <w:sz w:val="22"/>
          <w:szCs w:val="22"/>
        </w:rPr>
        <w:t>Za účelom predchádzania diskriminácie</w:t>
      </w:r>
      <w:r>
        <w:rPr>
          <w:sz w:val="22"/>
          <w:szCs w:val="22"/>
        </w:rPr>
        <w:t xml:space="preserve"> a podpory rovnosti príležitostí sa tieto</w:t>
      </w:r>
      <w:r w:rsidRPr="00DE169F">
        <w:rPr>
          <w:sz w:val="22"/>
          <w:szCs w:val="22"/>
        </w:rPr>
        <w:t xml:space="preserve"> pr</w:t>
      </w:r>
      <w:r>
        <w:rPr>
          <w:sz w:val="22"/>
          <w:szCs w:val="22"/>
        </w:rPr>
        <w:t xml:space="preserve">incípy budú uplatňovať aj v rámci OPII, a to prostredníctvom zavádzania vyrovnávacích opatrení a aktivít cielených na podporu znevýhodnených skupín. Uplatňovanie tohto princípu v podmienkach OPII spočíva najmä v zabezpečení podmienok prístupnosti fyzického prostredia, dopravy a verejných služieb pre obyvateľov s obmedzenou mobilitou a schopnosťou orientácie. </w:t>
      </w:r>
      <w:r w:rsidRPr="009D5596">
        <w:rPr>
          <w:b/>
          <w:sz w:val="22"/>
          <w:szCs w:val="22"/>
        </w:rPr>
        <w:t>Stratégiou ro</w:t>
      </w:r>
      <w:r>
        <w:rPr>
          <w:b/>
          <w:sz w:val="22"/>
          <w:szCs w:val="22"/>
        </w:rPr>
        <w:t xml:space="preserve">zvoja dopravnej infraštruktúry, </w:t>
      </w:r>
      <w:r w:rsidRPr="009D5596">
        <w:rPr>
          <w:b/>
          <w:sz w:val="22"/>
          <w:szCs w:val="22"/>
        </w:rPr>
        <w:t>podporou trvaloudržateľnej mestskej mobility</w:t>
      </w:r>
      <w:r>
        <w:rPr>
          <w:b/>
          <w:sz w:val="22"/>
          <w:szCs w:val="22"/>
        </w:rPr>
        <w:t xml:space="preserve"> a informačnej spoločnosti</w:t>
      </w:r>
      <w:r w:rsidRPr="009D5596">
        <w:rPr>
          <w:b/>
          <w:sz w:val="22"/>
          <w:szCs w:val="22"/>
        </w:rPr>
        <w:t xml:space="preserve"> nie sú dotknuté zásady rovnakého zaobchádzania. Naopak, všetky výsledky realizácie projektov </w:t>
      </w:r>
      <w:r>
        <w:rPr>
          <w:b/>
          <w:sz w:val="22"/>
          <w:szCs w:val="22"/>
        </w:rPr>
        <w:t>OPII</w:t>
      </w:r>
      <w:r w:rsidRPr="009D5596">
        <w:rPr>
          <w:b/>
          <w:sz w:val="22"/>
          <w:szCs w:val="22"/>
        </w:rPr>
        <w:t xml:space="preserve"> sú určené pre širokú verejnosť a</w:t>
      </w:r>
      <w:r>
        <w:rPr>
          <w:b/>
          <w:sz w:val="22"/>
          <w:szCs w:val="22"/>
        </w:rPr>
        <w:t> </w:t>
      </w:r>
      <w:r w:rsidRPr="009D5596">
        <w:rPr>
          <w:b/>
          <w:sz w:val="22"/>
          <w:szCs w:val="22"/>
        </w:rPr>
        <w:t>sú nediskriminačného charakteru.</w:t>
      </w:r>
      <w:r w:rsidRPr="009D5596">
        <w:rPr>
          <w:sz w:val="22"/>
          <w:szCs w:val="22"/>
        </w:rPr>
        <w:t xml:space="preserve"> Aktivity pri implementácii projektov budú zabezpečované v</w:t>
      </w:r>
      <w:r>
        <w:rPr>
          <w:sz w:val="22"/>
          <w:szCs w:val="22"/>
        </w:rPr>
        <w:t> </w:t>
      </w:r>
      <w:r w:rsidRPr="009D5596">
        <w:rPr>
          <w:sz w:val="22"/>
          <w:szCs w:val="22"/>
        </w:rPr>
        <w:t>súlade s</w:t>
      </w:r>
      <w:r>
        <w:rPr>
          <w:sz w:val="22"/>
          <w:szCs w:val="22"/>
        </w:rPr>
        <w:t> </w:t>
      </w:r>
      <w:r w:rsidRPr="009D5596">
        <w:rPr>
          <w:sz w:val="22"/>
          <w:szCs w:val="22"/>
        </w:rPr>
        <w:t>legislatívou ES v</w:t>
      </w:r>
      <w:r>
        <w:rPr>
          <w:sz w:val="22"/>
          <w:szCs w:val="22"/>
        </w:rPr>
        <w:t> </w:t>
      </w:r>
      <w:r w:rsidRPr="009D5596">
        <w:rPr>
          <w:sz w:val="22"/>
          <w:szCs w:val="22"/>
        </w:rPr>
        <w:t>oblasti dodržiavania pravidiel rovnosti príležitostí.</w:t>
      </w:r>
    </w:p>
    <w:p w:rsidR="00EA5B5E" w:rsidRDefault="00EA5B5E" w:rsidP="00EA5B5E">
      <w:pPr>
        <w:spacing w:before="180"/>
        <w:jc w:val="both"/>
        <w:rPr>
          <w:sz w:val="22"/>
          <w:szCs w:val="22"/>
        </w:rPr>
      </w:pPr>
      <w:r w:rsidRPr="00627A34">
        <w:rPr>
          <w:sz w:val="22"/>
          <w:szCs w:val="22"/>
        </w:rPr>
        <w:t>Popis aktivít zameraných na zavádzanie dočasných vyrovnávacích opatrení, dodržiavanie zásad nediskriminácie</w:t>
      </w:r>
      <w:r>
        <w:rPr>
          <w:sz w:val="22"/>
          <w:szCs w:val="22"/>
        </w:rPr>
        <w:t xml:space="preserve"> a podpory prístupnosti,</w:t>
      </w:r>
      <w:r w:rsidRPr="00627A34">
        <w:rPr>
          <w:sz w:val="22"/>
          <w:szCs w:val="22"/>
        </w:rPr>
        <w:t xml:space="preserve"> ako aj výsledný dokument z procesu posudzovania (v prípade prístupnosti) alebo vyjadrenie príslušného orgánu o tom, že navrhovaná činnosť, resp. zmena navrhovanej činnosti, dodržiava princíp prístupnosti, budú povinnou prílohou žiadosti o finančný príspevok. Tento prístup bude integrovaný do </w:t>
      </w:r>
      <w:r>
        <w:rPr>
          <w:sz w:val="22"/>
          <w:szCs w:val="22"/>
        </w:rPr>
        <w:t>OPII prostredníctvom jeho príslušnej</w:t>
      </w:r>
      <w:r w:rsidRPr="00627A34">
        <w:rPr>
          <w:sz w:val="22"/>
          <w:szCs w:val="22"/>
        </w:rPr>
        <w:t xml:space="preserve"> riadiacej </w:t>
      </w:r>
      <w:r>
        <w:rPr>
          <w:sz w:val="22"/>
          <w:szCs w:val="22"/>
        </w:rPr>
        <w:t>dokumentácie</w:t>
      </w:r>
      <w:r w:rsidRPr="00627A34">
        <w:rPr>
          <w:sz w:val="22"/>
          <w:szCs w:val="22"/>
        </w:rPr>
        <w:t>. Pre identifikáciu prioritných oblastí a cieľov na uplatňovanie princípu predchádzania diskriminácie</w:t>
      </w:r>
      <w:r>
        <w:rPr>
          <w:sz w:val="22"/>
          <w:szCs w:val="22"/>
        </w:rPr>
        <w:t xml:space="preserve"> a</w:t>
      </w:r>
      <w:r w:rsidRPr="00627A34">
        <w:rPr>
          <w:sz w:val="22"/>
          <w:szCs w:val="22"/>
        </w:rPr>
        <w:t xml:space="preserve"> podpory </w:t>
      </w:r>
      <w:r>
        <w:rPr>
          <w:sz w:val="22"/>
          <w:szCs w:val="22"/>
        </w:rPr>
        <w:t xml:space="preserve">prístupnosti </w:t>
      </w:r>
      <w:r w:rsidRPr="00627A34">
        <w:rPr>
          <w:sz w:val="22"/>
          <w:szCs w:val="22"/>
        </w:rPr>
        <w:t>bude základným rámcom národný strategický dokument, prostredníctvom ktorého sa zabezpečí jeho aplikácia v OP</w:t>
      </w:r>
      <w:r>
        <w:rPr>
          <w:sz w:val="22"/>
          <w:szCs w:val="22"/>
        </w:rPr>
        <w:t>II</w:t>
      </w:r>
      <w:r w:rsidRPr="00627A34">
        <w:rPr>
          <w:sz w:val="22"/>
          <w:szCs w:val="22"/>
        </w:rPr>
        <w:t>. Pre účinné uplatňovanie horizont</w:t>
      </w:r>
      <w:r>
        <w:rPr>
          <w:sz w:val="22"/>
          <w:szCs w:val="22"/>
        </w:rPr>
        <w:t xml:space="preserve">álneho princípu </w:t>
      </w:r>
      <w:r w:rsidRPr="00627A34">
        <w:rPr>
          <w:sz w:val="22"/>
          <w:szCs w:val="22"/>
        </w:rPr>
        <w:t>nediskriminácia a prístupnosť bude v hodnotiacom a výberovom procese žiadostí o finančný príspevok stanovené diskvalifikačné kritérium v rámci prioritných osí OP</w:t>
      </w:r>
      <w:r>
        <w:rPr>
          <w:sz w:val="22"/>
          <w:szCs w:val="22"/>
        </w:rPr>
        <w:t>II</w:t>
      </w:r>
      <w:r w:rsidRPr="00627A34">
        <w:rPr>
          <w:sz w:val="22"/>
          <w:szCs w:val="22"/>
        </w:rPr>
        <w:t>. Zároveň bude povinnou prílohou o príspevok z EŠIF aj povolenie v prípadoch činností, na ktoré sa povinnosť jeho vydania vzťahuje.</w:t>
      </w:r>
    </w:p>
    <w:p w:rsidR="00EA5B5E" w:rsidRPr="00A82BE7" w:rsidRDefault="00EA5B5E" w:rsidP="00EA5B5E">
      <w:pPr>
        <w:spacing w:before="180"/>
        <w:jc w:val="both"/>
        <w:rPr>
          <w:sz w:val="22"/>
          <w:szCs w:val="22"/>
        </w:rPr>
      </w:pPr>
      <w:r w:rsidRPr="00A82BE7">
        <w:rPr>
          <w:sz w:val="22"/>
          <w:szCs w:val="22"/>
        </w:rPr>
        <w:t>Proces monitorovania plnenia horizontálnych princípov bude na projektovej úrovni sledovaný prostredníctvom monitorovacích správ, ktorých súčasťou bude samostatný výstup obsahujúci informácie o horizont</w:t>
      </w:r>
      <w:r>
        <w:rPr>
          <w:sz w:val="22"/>
          <w:szCs w:val="22"/>
        </w:rPr>
        <w:t>álnych princípoch (t. j. popis</w:t>
      </w:r>
      <w:r w:rsidRPr="00A82BE7">
        <w:rPr>
          <w:sz w:val="22"/>
          <w:szCs w:val="22"/>
        </w:rPr>
        <w:t xml:space="preserve"> v</w:t>
      </w:r>
      <w:r>
        <w:rPr>
          <w:sz w:val="22"/>
          <w:szCs w:val="22"/>
        </w:rPr>
        <w:t>ykonaných aktivít, ich výsledky a vyhodnotenie</w:t>
      </w:r>
      <w:r w:rsidRPr="00A82BE7">
        <w:rPr>
          <w:sz w:val="22"/>
          <w:szCs w:val="22"/>
        </w:rPr>
        <w:t xml:space="preserve"> ich príspevku k dosahovaniu stanovených cieľov horizontálnych princípov), ako aj kontrolou na mieste realizácie projektov a následne hodnotením príspevku k cieľom horizontálnych princípov. Samostatný výstup obsahujúci informácie o uplatňovaní horizontálnych princípov bude podkladom pre proces hodnotenia príspevku EŠIF k plneniu cieľov identifikovaných v národnom strategickom </w:t>
      </w:r>
      <w:r w:rsidRPr="00A82BE7">
        <w:rPr>
          <w:sz w:val="22"/>
          <w:szCs w:val="22"/>
        </w:rPr>
        <w:lastRenderedPageBreak/>
        <w:t>dokumente. Odpočet plnenia dosiahnutej úrovne stanovených cieľov v národnom strategickom dokumente, vrátane návrhu nápravných opatrení a odporúčaní k ich dosiahnutiu, bude každoročne predkladaný do vlády SR.</w:t>
      </w:r>
    </w:p>
    <w:p w:rsidR="00EA5B5E" w:rsidRPr="00E05141" w:rsidRDefault="00EA5B5E" w:rsidP="00EA5B5E">
      <w:pPr>
        <w:spacing w:before="180"/>
        <w:jc w:val="both"/>
        <w:rPr>
          <w:sz w:val="22"/>
          <w:szCs w:val="22"/>
        </w:rPr>
      </w:pPr>
      <w:r w:rsidRPr="00E05141">
        <w:rPr>
          <w:sz w:val="22"/>
          <w:szCs w:val="22"/>
        </w:rPr>
        <w:t>RO</w:t>
      </w:r>
      <w:r>
        <w:rPr>
          <w:sz w:val="22"/>
          <w:szCs w:val="22"/>
        </w:rPr>
        <w:t xml:space="preserve"> OPII bude</w:t>
      </w:r>
      <w:r w:rsidRPr="00E05141">
        <w:rPr>
          <w:sz w:val="22"/>
          <w:szCs w:val="22"/>
        </w:rPr>
        <w:t xml:space="preserve"> predkladať orgánu zodpovednému za uplatň</w:t>
      </w:r>
      <w:r>
        <w:rPr>
          <w:sz w:val="22"/>
          <w:szCs w:val="22"/>
        </w:rPr>
        <w:t xml:space="preserve">ovanie horizontálneho princípu rovnosť príležitostí a nediskriminácia pravidelnú informáciu o jej </w:t>
      </w:r>
      <w:r w:rsidRPr="00E05141">
        <w:rPr>
          <w:sz w:val="22"/>
          <w:szCs w:val="22"/>
        </w:rPr>
        <w:t>plnení, a to vyhodnotením monitorovacích správ a kontrol na mieste v pravidelných časových intervaloch. Analytickú, hodnotiacu, strategickú a legislatívnu činnosť</w:t>
      </w:r>
      <w:r>
        <w:rPr>
          <w:sz w:val="22"/>
          <w:szCs w:val="22"/>
        </w:rPr>
        <w:t xml:space="preserve"> pre uplatňovanie horizontálneho  princípu</w:t>
      </w:r>
      <w:r w:rsidRPr="00E05141">
        <w:rPr>
          <w:sz w:val="22"/>
          <w:szCs w:val="22"/>
        </w:rPr>
        <w:t xml:space="preserve"> </w:t>
      </w:r>
      <w:r>
        <w:rPr>
          <w:sz w:val="22"/>
          <w:szCs w:val="22"/>
        </w:rPr>
        <w:t>rovnosť príležitostí a nediskriminácia  bude na národnej úrovni zabezpečovať</w:t>
      </w:r>
      <w:r w:rsidRPr="00E05141">
        <w:rPr>
          <w:sz w:val="22"/>
          <w:szCs w:val="22"/>
        </w:rPr>
        <w:t xml:space="preserve"> Ministerstvo práce, sociálnych vecí a rodiny SR (ďalej len „MPSVR SR“), ktoré je zodpovedné za štátnu politiku v týchto oblastiach</w:t>
      </w:r>
      <w:r>
        <w:rPr>
          <w:sz w:val="22"/>
          <w:szCs w:val="22"/>
        </w:rPr>
        <w:t xml:space="preserve"> a ktoré bude zodpovedné</w:t>
      </w:r>
      <w:r w:rsidRPr="00E05141">
        <w:rPr>
          <w:sz w:val="22"/>
          <w:szCs w:val="22"/>
        </w:rPr>
        <w:t xml:space="preserve"> za definovanie podmienok poskytnutia pomoci súvisiacej so zabezpečením aplikovania týchto horizontálnych princípov a spôsobu ich </w:t>
      </w:r>
      <w:r>
        <w:rPr>
          <w:sz w:val="22"/>
          <w:szCs w:val="22"/>
        </w:rPr>
        <w:t>overovania, ktorý je</w:t>
      </w:r>
      <w:r w:rsidRPr="00E05141">
        <w:rPr>
          <w:sz w:val="22"/>
          <w:szCs w:val="22"/>
        </w:rPr>
        <w:t xml:space="preserve"> pre RO</w:t>
      </w:r>
      <w:r>
        <w:rPr>
          <w:sz w:val="22"/>
          <w:szCs w:val="22"/>
        </w:rPr>
        <w:t xml:space="preserve"> OPII</w:t>
      </w:r>
      <w:r w:rsidRPr="00E05141">
        <w:rPr>
          <w:sz w:val="22"/>
          <w:szCs w:val="22"/>
        </w:rPr>
        <w:t xml:space="preserve"> záväzný. Rovnak</w:t>
      </w:r>
      <w:r>
        <w:rPr>
          <w:sz w:val="22"/>
          <w:szCs w:val="22"/>
        </w:rPr>
        <w:t>o bude zabezpečovať</w:t>
      </w:r>
      <w:r w:rsidRPr="00E05141">
        <w:rPr>
          <w:sz w:val="22"/>
          <w:szCs w:val="22"/>
        </w:rPr>
        <w:t xml:space="preserve"> vzdelávacie a školiace ak</w:t>
      </w:r>
      <w:r>
        <w:rPr>
          <w:sz w:val="22"/>
          <w:szCs w:val="22"/>
        </w:rPr>
        <w:t xml:space="preserve">tivity pre uplatňovanie </w:t>
      </w:r>
      <w:r w:rsidRPr="00E05141">
        <w:rPr>
          <w:sz w:val="22"/>
          <w:szCs w:val="22"/>
        </w:rPr>
        <w:t>nediskriminácie a prístupnosti subjektom zapojeným do implementácie EŠIF, relevantným sociálno-ekonomickým partnerom</w:t>
      </w:r>
      <w:r>
        <w:rPr>
          <w:sz w:val="22"/>
          <w:szCs w:val="22"/>
        </w:rPr>
        <w:t>,</w:t>
      </w:r>
      <w:r w:rsidRPr="00E05141">
        <w:rPr>
          <w:sz w:val="22"/>
          <w:szCs w:val="22"/>
        </w:rPr>
        <w:t xml:space="preserve"> ako aj hod</w:t>
      </w:r>
      <w:r>
        <w:rPr>
          <w:sz w:val="22"/>
          <w:szCs w:val="22"/>
        </w:rPr>
        <w:t xml:space="preserve">notiteľom. Zásady prístupnosti a </w:t>
      </w:r>
      <w:r w:rsidRPr="00E05141">
        <w:rPr>
          <w:sz w:val="22"/>
          <w:szCs w:val="22"/>
        </w:rPr>
        <w:t>nedi</w:t>
      </w:r>
      <w:r>
        <w:rPr>
          <w:sz w:val="22"/>
          <w:szCs w:val="22"/>
        </w:rPr>
        <w:t>skriminácie</w:t>
      </w:r>
      <w:r w:rsidRPr="00E05141">
        <w:rPr>
          <w:sz w:val="22"/>
          <w:szCs w:val="22"/>
        </w:rPr>
        <w:t xml:space="preserve"> budú týmto zabezpečené nie len diskvalifikáciou pri nedodržaní podmienok, ale aj pri hodnotiacom a výberovom procese, kde sa počíta so zapojením relevantných partnerov.</w:t>
      </w:r>
    </w:p>
    <w:p w:rsidR="00EA5B5E" w:rsidRDefault="00EA5B5E" w:rsidP="00EA5B5E">
      <w:pPr>
        <w:autoSpaceDE w:val="0"/>
        <w:autoSpaceDN w:val="0"/>
        <w:adjustRightInd w:val="0"/>
        <w:spacing w:before="180"/>
        <w:jc w:val="both"/>
        <w:rPr>
          <w:sz w:val="22"/>
          <w:szCs w:val="22"/>
        </w:rPr>
      </w:pPr>
      <w:r w:rsidRPr="00DD1353">
        <w:rPr>
          <w:sz w:val="22"/>
          <w:szCs w:val="22"/>
        </w:rPr>
        <w:t xml:space="preserve">Vecne príslušní zástupcovia MPSVR SR zodpovední za uplatňovanie horizontálnych princípov v oblasti </w:t>
      </w:r>
      <w:r>
        <w:rPr>
          <w:sz w:val="22"/>
          <w:szCs w:val="22"/>
        </w:rPr>
        <w:t>rovnosti príležitostí a nediskriminácie</w:t>
      </w:r>
      <w:r w:rsidRPr="00DD1353">
        <w:rPr>
          <w:sz w:val="22"/>
          <w:szCs w:val="22"/>
        </w:rPr>
        <w:t xml:space="preserve"> budú mať za</w:t>
      </w:r>
      <w:r>
        <w:rPr>
          <w:sz w:val="22"/>
          <w:szCs w:val="22"/>
        </w:rPr>
        <w:t>bezpečené zastúpenie v monitorovacom výbore pre OPII</w:t>
      </w:r>
      <w:r w:rsidRPr="00DD1353">
        <w:rPr>
          <w:sz w:val="22"/>
          <w:szCs w:val="22"/>
        </w:rPr>
        <w:t xml:space="preserve"> a pracovných skupinách na prípravu a implementáciu </w:t>
      </w:r>
      <w:r>
        <w:rPr>
          <w:sz w:val="22"/>
          <w:szCs w:val="22"/>
        </w:rPr>
        <w:t>OPII</w:t>
      </w:r>
      <w:r w:rsidRPr="00DD1353">
        <w:rPr>
          <w:sz w:val="22"/>
          <w:szCs w:val="22"/>
        </w:rPr>
        <w:t>.</w:t>
      </w:r>
    </w:p>
    <w:p w:rsidR="00772736" w:rsidRDefault="00772736" w:rsidP="00772736">
      <w:pPr>
        <w:pStyle w:val="Nadpis2"/>
        <w:tabs>
          <w:tab w:val="num" w:pos="851"/>
        </w:tabs>
        <w:spacing w:before="240"/>
      </w:pPr>
      <w:bookmarkStart w:id="173" w:name="_Toc383209164"/>
      <w:bookmarkStart w:id="174" w:name="_Toc383236578"/>
      <w:bookmarkStart w:id="175" w:name="_Toc385310772"/>
      <w:r>
        <w:t>Rovnosť medzi mužmi</w:t>
      </w:r>
      <w:bookmarkEnd w:id="173"/>
      <w:bookmarkEnd w:id="174"/>
      <w:r w:rsidR="00B476FF">
        <w:t xml:space="preserve"> a ženami</w:t>
      </w:r>
      <w:bookmarkEnd w:id="175"/>
    </w:p>
    <w:p w:rsidR="00EA5B5E" w:rsidRDefault="00EA5B5E" w:rsidP="00EA5B5E">
      <w:pPr>
        <w:jc w:val="both"/>
        <w:rPr>
          <w:sz w:val="22"/>
          <w:szCs w:val="22"/>
        </w:rPr>
      </w:pPr>
      <w:r w:rsidRPr="009D5596">
        <w:rPr>
          <w:sz w:val="22"/>
          <w:szCs w:val="22"/>
        </w:rPr>
        <w:t>Stratégiou ro</w:t>
      </w:r>
      <w:r>
        <w:rPr>
          <w:sz w:val="22"/>
          <w:szCs w:val="22"/>
        </w:rPr>
        <w:t xml:space="preserve">zvoja dopravnej infraštruktúry, </w:t>
      </w:r>
      <w:r w:rsidRPr="009D5596">
        <w:rPr>
          <w:sz w:val="22"/>
          <w:szCs w:val="22"/>
        </w:rPr>
        <w:t>podporou trvaloudržateľnej mestskej mobility</w:t>
      </w:r>
      <w:r>
        <w:rPr>
          <w:sz w:val="22"/>
          <w:szCs w:val="22"/>
        </w:rPr>
        <w:t xml:space="preserve"> a informačnej spoločnosti</w:t>
      </w:r>
      <w:r w:rsidRPr="009D5596">
        <w:rPr>
          <w:sz w:val="22"/>
          <w:szCs w:val="22"/>
        </w:rPr>
        <w:t xml:space="preserve"> nie sú dotknuté zásady rovnakého zaobchádzania z</w:t>
      </w:r>
      <w:r>
        <w:rPr>
          <w:sz w:val="22"/>
          <w:szCs w:val="22"/>
        </w:rPr>
        <w:t> </w:t>
      </w:r>
      <w:r w:rsidRPr="009D5596">
        <w:rPr>
          <w:sz w:val="22"/>
          <w:szCs w:val="22"/>
        </w:rPr>
        <w:t>hľadiska rodovej rovnosti.</w:t>
      </w:r>
    </w:p>
    <w:p w:rsidR="00EA5B5E" w:rsidRDefault="00EA5B5E" w:rsidP="00EA5B5E">
      <w:pPr>
        <w:spacing w:before="180"/>
        <w:jc w:val="both"/>
        <w:rPr>
          <w:sz w:val="22"/>
          <w:szCs w:val="22"/>
        </w:rPr>
      </w:pPr>
      <w:r>
        <w:rPr>
          <w:sz w:val="22"/>
          <w:szCs w:val="22"/>
        </w:rPr>
        <w:t>Hlavným cieľom horizontálneho princípu rovnosť medzi mužmi a ženami je zníženie horizontálnej a vertikálnej rodovej segregácie v jednotlivých odvetviach hospodárstva.</w:t>
      </w:r>
    </w:p>
    <w:p w:rsidR="00EA5B5E" w:rsidRPr="0017751B" w:rsidRDefault="00EA5B5E" w:rsidP="00EA5B5E">
      <w:pPr>
        <w:spacing w:before="180"/>
        <w:jc w:val="both"/>
        <w:rPr>
          <w:sz w:val="22"/>
          <w:szCs w:val="22"/>
        </w:rPr>
      </w:pPr>
      <w:r w:rsidRPr="0017751B">
        <w:rPr>
          <w:sz w:val="22"/>
          <w:szCs w:val="22"/>
        </w:rPr>
        <w:t>Za účelom podpory</w:t>
      </w:r>
      <w:r>
        <w:rPr>
          <w:sz w:val="22"/>
          <w:szCs w:val="22"/>
        </w:rPr>
        <w:t xml:space="preserve"> </w:t>
      </w:r>
      <w:r w:rsidRPr="0017751B">
        <w:rPr>
          <w:sz w:val="22"/>
          <w:szCs w:val="22"/>
        </w:rPr>
        <w:t>rovnosti mužov a žien</w:t>
      </w:r>
      <w:r>
        <w:rPr>
          <w:sz w:val="22"/>
          <w:szCs w:val="22"/>
        </w:rPr>
        <w:t xml:space="preserve"> sa bude tento princíp uplatňovať aj v rámci OPII napriek tomu, že aktivity programu nie sú priamo cielené na podporu vyrovnávacích opatrení. </w:t>
      </w:r>
      <w:r w:rsidRPr="0017751B">
        <w:rPr>
          <w:sz w:val="22"/>
          <w:szCs w:val="22"/>
        </w:rPr>
        <w:t>Popis aktivít zameraných na</w:t>
      </w:r>
      <w:r>
        <w:rPr>
          <w:sz w:val="22"/>
          <w:szCs w:val="22"/>
        </w:rPr>
        <w:t xml:space="preserve"> dodržiavanie zásad </w:t>
      </w:r>
      <w:r w:rsidRPr="0017751B">
        <w:rPr>
          <w:sz w:val="22"/>
          <w:szCs w:val="22"/>
        </w:rPr>
        <w:t xml:space="preserve">rovnosti medzi mužmi a ženami </w:t>
      </w:r>
      <w:r>
        <w:rPr>
          <w:sz w:val="22"/>
          <w:szCs w:val="22"/>
        </w:rPr>
        <w:t>bude</w:t>
      </w:r>
      <w:r w:rsidRPr="0017751B">
        <w:rPr>
          <w:sz w:val="22"/>
          <w:szCs w:val="22"/>
        </w:rPr>
        <w:t xml:space="preserve"> povinnou prílohou žiadosti o finančný príspevok. Tento prístup bude integrovaný do </w:t>
      </w:r>
      <w:r>
        <w:rPr>
          <w:sz w:val="22"/>
          <w:szCs w:val="22"/>
        </w:rPr>
        <w:t>OPII prostredníctvom príslušnej</w:t>
      </w:r>
      <w:r w:rsidRPr="0017751B">
        <w:rPr>
          <w:sz w:val="22"/>
          <w:szCs w:val="22"/>
        </w:rPr>
        <w:t xml:space="preserve"> ri</w:t>
      </w:r>
      <w:r>
        <w:rPr>
          <w:sz w:val="22"/>
          <w:szCs w:val="22"/>
        </w:rPr>
        <w:t>adiacej dokumentácie</w:t>
      </w:r>
      <w:r w:rsidRPr="0017751B">
        <w:rPr>
          <w:sz w:val="22"/>
          <w:szCs w:val="22"/>
        </w:rPr>
        <w:t xml:space="preserve">. Pre identifikáciu prioritných oblastí a cieľov na uplatňovanie princípu rodovej rovnosti bude základným rámcom národný strategický dokument, prostredníctvom ktorého sa zabezpečí </w:t>
      </w:r>
      <w:r>
        <w:rPr>
          <w:sz w:val="22"/>
          <w:szCs w:val="22"/>
        </w:rPr>
        <w:t>jeho aplikácia v OPII</w:t>
      </w:r>
      <w:r w:rsidRPr="0017751B">
        <w:rPr>
          <w:sz w:val="22"/>
          <w:szCs w:val="22"/>
        </w:rPr>
        <w:t>. Pre účinné uplatňovanie horizontálneho princípu rodová rovnosť bude v hodnotiacom a výberovom procese žiadostí o finančný príspevok stanovené diskvalifikačné kritérium v rámci prioritných osí OP</w:t>
      </w:r>
      <w:r>
        <w:rPr>
          <w:sz w:val="22"/>
          <w:szCs w:val="22"/>
        </w:rPr>
        <w:t>II</w:t>
      </w:r>
      <w:r w:rsidRPr="0017751B">
        <w:rPr>
          <w:sz w:val="22"/>
          <w:szCs w:val="22"/>
        </w:rPr>
        <w:t>. Zároveň bude povinnou prílohou</w:t>
      </w:r>
      <w:r>
        <w:rPr>
          <w:sz w:val="22"/>
          <w:szCs w:val="22"/>
        </w:rPr>
        <w:t xml:space="preserve"> žiadosti</w:t>
      </w:r>
      <w:r w:rsidRPr="0017751B">
        <w:rPr>
          <w:sz w:val="22"/>
          <w:szCs w:val="22"/>
        </w:rPr>
        <w:t xml:space="preserve"> o príspevok z EŠIF aj povolenie v prípadoch činností, na ktoré sa povinnosť jeho vydania vzťahuje.</w:t>
      </w:r>
    </w:p>
    <w:p w:rsidR="00EA5B5E" w:rsidRPr="00A82BE7" w:rsidRDefault="00EA5B5E" w:rsidP="00EA5B5E">
      <w:pPr>
        <w:spacing w:before="180"/>
        <w:jc w:val="both"/>
        <w:rPr>
          <w:sz w:val="22"/>
          <w:szCs w:val="22"/>
        </w:rPr>
      </w:pPr>
      <w:r w:rsidRPr="00A82BE7">
        <w:rPr>
          <w:sz w:val="22"/>
          <w:szCs w:val="22"/>
        </w:rPr>
        <w:t>Proces monitorovania plnenia horizontálnych princípov bude na projektovej úrovni sledovaný prostredníctvom monitorovacích správ, ktorých súčasťou bude samostatný výstup obsahujúci informácie o horizont</w:t>
      </w:r>
      <w:r>
        <w:rPr>
          <w:sz w:val="22"/>
          <w:szCs w:val="22"/>
        </w:rPr>
        <w:t>álnych princípoch (t. j. popis</w:t>
      </w:r>
      <w:r w:rsidRPr="00A82BE7">
        <w:rPr>
          <w:sz w:val="22"/>
          <w:szCs w:val="22"/>
        </w:rPr>
        <w:t xml:space="preserve"> v</w:t>
      </w:r>
      <w:r>
        <w:rPr>
          <w:sz w:val="22"/>
          <w:szCs w:val="22"/>
        </w:rPr>
        <w:t>ykonaných aktivít, ich výsledky a vyhodnotenie</w:t>
      </w:r>
      <w:r w:rsidRPr="00A82BE7">
        <w:rPr>
          <w:sz w:val="22"/>
          <w:szCs w:val="22"/>
        </w:rPr>
        <w:t xml:space="preserve"> ich príspevku k dosahovaniu stanovených cieľov horizontálnych princípov), ako aj kontrolou na mieste realizácie projektov a následne hodnotením príspevku k cieľom horizontálnych princípov. Samostatný výstup obsahujúci informácie o uplatňovaní horizontálnych princípov bude podkladom pre proces hodnotenia príspevku EŠIF k plneniu cieľov identifikovaných v národnom strategickom dokumente. Odpočet plnenia dosiahnutej úrovne stanovených cieľov v národnom strategickom dokumente, vrátane návrhu nápravných opatrení a odporúčaní k ich dosiahnutiu, bude každoročne predkladaný do vlády SR.</w:t>
      </w:r>
    </w:p>
    <w:p w:rsidR="00EA5B5E" w:rsidRDefault="00EA5B5E" w:rsidP="00EA5B5E">
      <w:pPr>
        <w:spacing w:before="180"/>
        <w:jc w:val="both"/>
        <w:rPr>
          <w:sz w:val="22"/>
          <w:szCs w:val="22"/>
        </w:rPr>
      </w:pPr>
      <w:r w:rsidRPr="00E05141">
        <w:rPr>
          <w:sz w:val="22"/>
          <w:szCs w:val="22"/>
        </w:rPr>
        <w:t>RO</w:t>
      </w:r>
      <w:r>
        <w:rPr>
          <w:sz w:val="22"/>
          <w:szCs w:val="22"/>
        </w:rPr>
        <w:t xml:space="preserve"> OPII bude</w:t>
      </w:r>
      <w:r w:rsidRPr="00E05141">
        <w:rPr>
          <w:sz w:val="22"/>
          <w:szCs w:val="22"/>
        </w:rPr>
        <w:t xml:space="preserve"> predkladať orgánu zodpovednému za uplatň</w:t>
      </w:r>
      <w:r>
        <w:rPr>
          <w:sz w:val="22"/>
          <w:szCs w:val="22"/>
        </w:rPr>
        <w:t xml:space="preserve">ovanie horizontálneho princípu rodová rovnosť pravidelnú informáciu o jej </w:t>
      </w:r>
      <w:r w:rsidRPr="00E05141">
        <w:rPr>
          <w:sz w:val="22"/>
          <w:szCs w:val="22"/>
        </w:rPr>
        <w:t>plnení, a to vyhodnotením monitorovacích správ a kontrol na mieste v pravidelných časových intervaloch. Analytickú, hodnotiacu, strategickú a legislatívnu činnosť</w:t>
      </w:r>
      <w:r>
        <w:rPr>
          <w:sz w:val="22"/>
          <w:szCs w:val="22"/>
        </w:rPr>
        <w:t xml:space="preserve"> pre uplatňovanie horizontálneho  princípu podpory rovnosti mužov a žien bude na národnej úrovni </w:t>
      </w:r>
      <w:r>
        <w:rPr>
          <w:sz w:val="22"/>
          <w:szCs w:val="22"/>
        </w:rPr>
        <w:lastRenderedPageBreak/>
        <w:t>zabezpečovať</w:t>
      </w:r>
      <w:r w:rsidRPr="00E05141">
        <w:rPr>
          <w:sz w:val="22"/>
          <w:szCs w:val="22"/>
        </w:rPr>
        <w:t xml:space="preserve"> Ministerstvo práce, sociálnych vecí a rodiny SR (ďalej len „MPSVR SR“), ktoré je zodpovedné za štátnu politiku v</w:t>
      </w:r>
      <w:r>
        <w:rPr>
          <w:sz w:val="22"/>
          <w:szCs w:val="22"/>
        </w:rPr>
        <w:t> tejto oblasti a ktoré bude zodpovedné</w:t>
      </w:r>
      <w:r w:rsidRPr="00E05141">
        <w:rPr>
          <w:sz w:val="22"/>
          <w:szCs w:val="22"/>
        </w:rPr>
        <w:t xml:space="preserve"> za definovanie podmienok poskytnutia pomoci súvisiacej </w:t>
      </w:r>
      <w:r>
        <w:rPr>
          <w:sz w:val="22"/>
          <w:szCs w:val="22"/>
        </w:rPr>
        <w:t>so zabezpečením aplikovania tohto horizontálneho princípu a spôsobu jeho</w:t>
      </w:r>
      <w:r w:rsidRPr="00E05141">
        <w:rPr>
          <w:sz w:val="22"/>
          <w:szCs w:val="22"/>
        </w:rPr>
        <w:t xml:space="preserve"> </w:t>
      </w:r>
      <w:r>
        <w:rPr>
          <w:sz w:val="22"/>
          <w:szCs w:val="22"/>
        </w:rPr>
        <w:t>overovania, ktorý bude</w:t>
      </w:r>
      <w:r w:rsidRPr="00E05141">
        <w:rPr>
          <w:sz w:val="22"/>
          <w:szCs w:val="22"/>
        </w:rPr>
        <w:t xml:space="preserve"> pre RO</w:t>
      </w:r>
      <w:r>
        <w:rPr>
          <w:sz w:val="22"/>
          <w:szCs w:val="22"/>
        </w:rPr>
        <w:t xml:space="preserve"> OPII</w:t>
      </w:r>
      <w:r w:rsidRPr="00E05141">
        <w:rPr>
          <w:sz w:val="22"/>
          <w:szCs w:val="22"/>
        </w:rPr>
        <w:t xml:space="preserve"> záväzný. Rovnak</w:t>
      </w:r>
      <w:r>
        <w:rPr>
          <w:sz w:val="22"/>
          <w:szCs w:val="22"/>
        </w:rPr>
        <w:t>o bude zabezpečovať</w:t>
      </w:r>
      <w:r w:rsidRPr="00E05141">
        <w:rPr>
          <w:sz w:val="22"/>
          <w:szCs w:val="22"/>
        </w:rPr>
        <w:t xml:space="preserve"> vzdelávacie a školiace ak</w:t>
      </w:r>
      <w:r>
        <w:rPr>
          <w:sz w:val="22"/>
          <w:szCs w:val="22"/>
        </w:rPr>
        <w:t>tivity pre uplatňovanie rodovej rovnosti</w:t>
      </w:r>
      <w:r w:rsidRPr="00E05141">
        <w:rPr>
          <w:sz w:val="22"/>
          <w:szCs w:val="22"/>
        </w:rPr>
        <w:t xml:space="preserve"> subjektom zapojeným do implementácie EŠIF, relevantným sociálno-ekonomickým partnerom</w:t>
      </w:r>
      <w:r>
        <w:rPr>
          <w:sz w:val="22"/>
          <w:szCs w:val="22"/>
        </w:rPr>
        <w:t>,</w:t>
      </w:r>
      <w:r w:rsidRPr="00E05141">
        <w:rPr>
          <w:sz w:val="22"/>
          <w:szCs w:val="22"/>
        </w:rPr>
        <w:t xml:space="preserve"> ako aj hod</w:t>
      </w:r>
      <w:r>
        <w:rPr>
          <w:sz w:val="22"/>
          <w:szCs w:val="22"/>
        </w:rPr>
        <w:t xml:space="preserve">notiteľom. Zásady rodovej rovnosti </w:t>
      </w:r>
      <w:r w:rsidRPr="00E05141">
        <w:rPr>
          <w:sz w:val="22"/>
          <w:szCs w:val="22"/>
        </w:rPr>
        <w:t>budú týmto zabezpečené nie len diskvalifikáciou pri nedodržaní podm</w:t>
      </w:r>
      <w:r w:rsidR="00A127CB">
        <w:rPr>
          <w:sz w:val="22"/>
          <w:szCs w:val="22"/>
        </w:rPr>
        <w:t>ienok, ale aj pri hodnotiacom a </w:t>
      </w:r>
      <w:r w:rsidRPr="00E05141">
        <w:rPr>
          <w:sz w:val="22"/>
          <w:szCs w:val="22"/>
        </w:rPr>
        <w:t>výberovom procese, kde sa počíta so zapojením relevantných partnerov.</w:t>
      </w:r>
    </w:p>
    <w:p w:rsidR="00EA5B5E" w:rsidRPr="009D5596" w:rsidRDefault="00EA5B5E" w:rsidP="00EA5B5E">
      <w:pPr>
        <w:spacing w:before="180"/>
        <w:jc w:val="both"/>
        <w:rPr>
          <w:sz w:val="22"/>
          <w:szCs w:val="22"/>
        </w:rPr>
      </w:pPr>
      <w:r w:rsidRPr="00DD1353">
        <w:rPr>
          <w:sz w:val="22"/>
          <w:szCs w:val="22"/>
        </w:rPr>
        <w:t>Vecne príslušní zástupcovia MPSVR SR zodpovedn</w:t>
      </w:r>
      <w:r>
        <w:rPr>
          <w:sz w:val="22"/>
          <w:szCs w:val="22"/>
        </w:rPr>
        <w:t>í za uplatňovanie horizontálneho princípu</w:t>
      </w:r>
      <w:r w:rsidRPr="00DD1353">
        <w:rPr>
          <w:sz w:val="22"/>
          <w:szCs w:val="22"/>
        </w:rPr>
        <w:t xml:space="preserve"> v</w:t>
      </w:r>
      <w:r>
        <w:rPr>
          <w:sz w:val="22"/>
          <w:szCs w:val="22"/>
        </w:rPr>
        <w:t> </w:t>
      </w:r>
      <w:r w:rsidRPr="00DD1353">
        <w:rPr>
          <w:sz w:val="22"/>
          <w:szCs w:val="22"/>
        </w:rPr>
        <w:t>oblasti</w:t>
      </w:r>
      <w:r>
        <w:rPr>
          <w:sz w:val="22"/>
          <w:szCs w:val="22"/>
        </w:rPr>
        <w:t xml:space="preserve"> podpory</w:t>
      </w:r>
      <w:r w:rsidRPr="00DD1353">
        <w:rPr>
          <w:sz w:val="22"/>
          <w:szCs w:val="22"/>
        </w:rPr>
        <w:t xml:space="preserve"> </w:t>
      </w:r>
      <w:r>
        <w:rPr>
          <w:sz w:val="22"/>
          <w:szCs w:val="22"/>
        </w:rPr>
        <w:t>rovnosti mužov a žien</w:t>
      </w:r>
      <w:r w:rsidRPr="00DD1353">
        <w:rPr>
          <w:sz w:val="22"/>
          <w:szCs w:val="22"/>
        </w:rPr>
        <w:t xml:space="preserve"> budú mať za</w:t>
      </w:r>
      <w:r>
        <w:rPr>
          <w:sz w:val="22"/>
          <w:szCs w:val="22"/>
        </w:rPr>
        <w:t>bezpečené zastúpenie v monitorovacom výbore pre OPII</w:t>
      </w:r>
      <w:r w:rsidRPr="00DD1353">
        <w:rPr>
          <w:sz w:val="22"/>
          <w:szCs w:val="22"/>
        </w:rPr>
        <w:t xml:space="preserve"> a pracovných skupinách na prípravu a implementáciu </w:t>
      </w:r>
      <w:r>
        <w:rPr>
          <w:sz w:val="22"/>
          <w:szCs w:val="22"/>
        </w:rPr>
        <w:t>OPII</w:t>
      </w:r>
      <w:r w:rsidRPr="00DD1353">
        <w:rPr>
          <w:sz w:val="22"/>
          <w:szCs w:val="22"/>
        </w:rPr>
        <w:t xml:space="preserve">. </w:t>
      </w:r>
    </w:p>
    <w:p w:rsidR="00B476FF" w:rsidRDefault="00B476FF" w:rsidP="00772736">
      <w:pPr>
        <w:jc w:val="both"/>
        <w:rPr>
          <w:sz w:val="22"/>
          <w:szCs w:val="22"/>
        </w:rPr>
      </w:pPr>
    </w:p>
    <w:p w:rsidR="00F83068" w:rsidRDefault="00F83068" w:rsidP="00F83068">
      <w:pPr>
        <w:pStyle w:val="Nadpis1"/>
        <w:sectPr w:rsidR="00F83068" w:rsidSect="00D1658B">
          <w:headerReference w:type="default" r:id="rId58"/>
          <w:pgSz w:w="11906" w:h="16838"/>
          <w:pgMar w:top="1418" w:right="1361" w:bottom="1304" w:left="1474" w:header="709" w:footer="709" w:gutter="0"/>
          <w:cols w:space="708"/>
          <w:docGrid w:linePitch="360"/>
        </w:sectPr>
      </w:pPr>
    </w:p>
    <w:p w:rsidR="00F83068" w:rsidRDefault="00F83068" w:rsidP="00F83068">
      <w:pPr>
        <w:pStyle w:val="Nadpis1"/>
      </w:pPr>
      <w:bookmarkStart w:id="176" w:name="_Toc385310773"/>
      <w:r>
        <w:lastRenderedPageBreak/>
        <w:t>Samostatné časti</w:t>
      </w:r>
      <w:bookmarkEnd w:id="176"/>
    </w:p>
    <w:p w:rsidR="00F83068" w:rsidRDefault="00F83068" w:rsidP="00F83068">
      <w:pPr>
        <w:pStyle w:val="Nadpis2"/>
      </w:pPr>
      <w:bookmarkStart w:id="177" w:name="_Toc385310774"/>
      <w:r>
        <w:t>Zoznam veľkých projektov</w:t>
      </w:r>
      <w:bookmarkEnd w:id="177"/>
    </w:p>
    <w:p w:rsidR="00F83068" w:rsidRDefault="00F83068" w:rsidP="00F83068">
      <w:pPr>
        <w:pStyle w:val="Tab"/>
      </w:pPr>
      <w:r>
        <w:t>Zoznam veľkých projektov</w:t>
      </w:r>
    </w:p>
    <w:tbl>
      <w:tblPr>
        <w:tblStyle w:val="Mriekatabuky"/>
        <w:tblW w:w="1440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tblPr>
      <w:tblGrid>
        <w:gridCol w:w="6747"/>
        <w:gridCol w:w="2100"/>
        <w:gridCol w:w="1843"/>
        <w:gridCol w:w="1984"/>
        <w:gridCol w:w="1729"/>
      </w:tblGrid>
      <w:tr w:rsidR="006A289D" w:rsidRPr="00FC12EF" w:rsidTr="00A127CB">
        <w:trPr>
          <w:trHeight w:val="454"/>
          <w:tblHeader/>
          <w:jc w:val="center"/>
        </w:trPr>
        <w:tc>
          <w:tcPr>
            <w:tcW w:w="6747" w:type="dxa"/>
            <w:shd w:val="clear" w:color="auto" w:fill="C6D9F1" w:themeFill="text2" w:themeFillTint="33"/>
            <w:vAlign w:val="center"/>
          </w:tcPr>
          <w:p w:rsidR="006A289D" w:rsidRPr="006A289D" w:rsidRDefault="006A289D" w:rsidP="006A289D">
            <w:pPr>
              <w:ind w:left="0"/>
              <w:rPr>
                <w:b/>
                <w:sz w:val="20"/>
                <w:szCs w:val="20"/>
              </w:rPr>
            </w:pPr>
            <w:r>
              <w:rPr>
                <w:b/>
                <w:sz w:val="20"/>
                <w:szCs w:val="20"/>
              </w:rPr>
              <w:t>Projekt</w:t>
            </w:r>
          </w:p>
        </w:tc>
        <w:tc>
          <w:tcPr>
            <w:tcW w:w="2100" w:type="dxa"/>
            <w:shd w:val="clear" w:color="auto" w:fill="C6D9F1" w:themeFill="text2" w:themeFillTint="33"/>
            <w:vAlign w:val="center"/>
          </w:tcPr>
          <w:p w:rsidR="006A289D" w:rsidRDefault="006A289D" w:rsidP="006A289D">
            <w:pPr>
              <w:pStyle w:val="Default"/>
              <w:ind w:left="0"/>
              <w:jc w:val="center"/>
              <w:rPr>
                <w:sz w:val="19"/>
                <w:szCs w:val="19"/>
              </w:rPr>
            </w:pPr>
            <w:r>
              <w:rPr>
                <w:b/>
                <w:bCs/>
                <w:sz w:val="19"/>
                <w:szCs w:val="19"/>
              </w:rPr>
              <w:t xml:space="preserve">Plánovaný dátum oznámenia/ </w:t>
            </w:r>
          </w:p>
          <w:p w:rsidR="006A289D" w:rsidRDefault="006A289D" w:rsidP="006A289D">
            <w:pPr>
              <w:pStyle w:val="Default"/>
              <w:ind w:left="0"/>
              <w:jc w:val="center"/>
              <w:rPr>
                <w:sz w:val="19"/>
                <w:szCs w:val="19"/>
              </w:rPr>
            </w:pPr>
            <w:r>
              <w:rPr>
                <w:b/>
                <w:bCs/>
                <w:sz w:val="19"/>
                <w:szCs w:val="19"/>
              </w:rPr>
              <w:t xml:space="preserve">predloženia </w:t>
            </w:r>
          </w:p>
          <w:p w:rsidR="006A289D" w:rsidRPr="006A289D" w:rsidRDefault="006A289D" w:rsidP="006A289D">
            <w:pPr>
              <w:ind w:left="0"/>
              <w:jc w:val="center"/>
              <w:rPr>
                <w:b/>
                <w:sz w:val="20"/>
                <w:szCs w:val="20"/>
              </w:rPr>
            </w:pPr>
            <w:r>
              <w:rPr>
                <w:b/>
                <w:bCs/>
                <w:sz w:val="19"/>
                <w:szCs w:val="19"/>
              </w:rPr>
              <w:t xml:space="preserve">(rok, štvrťrok) </w:t>
            </w:r>
          </w:p>
        </w:tc>
        <w:tc>
          <w:tcPr>
            <w:tcW w:w="1843" w:type="dxa"/>
            <w:shd w:val="clear" w:color="auto" w:fill="C6D9F1" w:themeFill="text2" w:themeFillTint="33"/>
            <w:vAlign w:val="center"/>
          </w:tcPr>
          <w:p w:rsidR="006A289D" w:rsidRDefault="006A289D" w:rsidP="006A289D">
            <w:pPr>
              <w:pStyle w:val="Default"/>
              <w:ind w:left="0"/>
              <w:jc w:val="center"/>
              <w:rPr>
                <w:sz w:val="19"/>
                <w:szCs w:val="19"/>
              </w:rPr>
            </w:pPr>
            <w:r>
              <w:rPr>
                <w:b/>
                <w:bCs/>
                <w:sz w:val="19"/>
                <w:szCs w:val="19"/>
              </w:rPr>
              <w:t xml:space="preserve">Plánovaný začiatok realizácie </w:t>
            </w:r>
          </w:p>
          <w:p w:rsidR="006A289D" w:rsidRPr="006A289D" w:rsidRDefault="006A289D" w:rsidP="006A289D">
            <w:pPr>
              <w:ind w:left="0"/>
              <w:jc w:val="center"/>
              <w:rPr>
                <w:b/>
                <w:sz w:val="20"/>
                <w:szCs w:val="20"/>
              </w:rPr>
            </w:pPr>
            <w:r>
              <w:rPr>
                <w:b/>
                <w:bCs/>
                <w:sz w:val="19"/>
                <w:szCs w:val="19"/>
              </w:rPr>
              <w:t xml:space="preserve">(rok, štvrťrok) </w:t>
            </w:r>
          </w:p>
        </w:tc>
        <w:tc>
          <w:tcPr>
            <w:tcW w:w="1984" w:type="dxa"/>
            <w:shd w:val="clear" w:color="auto" w:fill="C6D9F1" w:themeFill="text2" w:themeFillTint="33"/>
            <w:vAlign w:val="center"/>
          </w:tcPr>
          <w:p w:rsidR="006A289D" w:rsidRDefault="006A289D" w:rsidP="006A289D">
            <w:pPr>
              <w:pStyle w:val="Default"/>
              <w:ind w:left="0"/>
              <w:jc w:val="center"/>
              <w:rPr>
                <w:sz w:val="19"/>
                <w:szCs w:val="19"/>
              </w:rPr>
            </w:pPr>
            <w:r>
              <w:rPr>
                <w:b/>
                <w:bCs/>
                <w:sz w:val="19"/>
                <w:szCs w:val="19"/>
              </w:rPr>
              <w:t xml:space="preserve">Plánovaný dátum dokončenia realizácie </w:t>
            </w:r>
          </w:p>
          <w:p w:rsidR="006A289D" w:rsidRPr="006A289D" w:rsidRDefault="006A289D" w:rsidP="006A289D">
            <w:pPr>
              <w:ind w:left="0"/>
              <w:jc w:val="center"/>
              <w:rPr>
                <w:b/>
                <w:sz w:val="20"/>
                <w:szCs w:val="20"/>
              </w:rPr>
            </w:pPr>
            <w:r>
              <w:rPr>
                <w:b/>
                <w:bCs/>
                <w:sz w:val="19"/>
                <w:szCs w:val="19"/>
              </w:rPr>
              <w:t xml:space="preserve">(rok, štvrťrok) </w:t>
            </w:r>
          </w:p>
        </w:tc>
        <w:tc>
          <w:tcPr>
            <w:tcW w:w="1729" w:type="dxa"/>
            <w:shd w:val="clear" w:color="auto" w:fill="C6D9F1" w:themeFill="text2" w:themeFillTint="33"/>
            <w:vAlign w:val="center"/>
          </w:tcPr>
          <w:p w:rsidR="006A289D" w:rsidRPr="006A289D" w:rsidRDefault="006A289D" w:rsidP="006A289D">
            <w:pPr>
              <w:pStyle w:val="Default"/>
              <w:ind w:left="0"/>
              <w:jc w:val="center"/>
              <w:rPr>
                <w:sz w:val="19"/>
                <w:szCs w:val="19"/>
              </w:rPr>
            </w:pPr>
            <w:r>
              <w:rPr>
                <w:b/>
                <w:bCs/>
                <w:sz w:val="19"/>
                <w:szCs w:val="19"/>
              </w:rPr>
              <w:t>Prioritné osi/ investičné priority</w:t>
            </w:r>
          </w:p>
        </w:tc>
      </w:tr>
      <w:tr w:rsidR="006A289D" w:rsidRPr="00B02869" w:rsidTr="00A127CB">
        <w:trPr>
          <w:trHeight w:val="454"/>
          <w:jc w:val="center"/>
        </w:trPr>
        <w:tc>
          <w:tcPr>
            <w:tcW w:w="6747" w:type="dxa"/>
            <w:shd w:val="clear" w:color="auto" w:fill="FFFFCC"/>
            <w:vAlign w:val="center"/>
          </w:tcPr>
          <w:p w:rsidR="006A289D" w:rsidRPr="00CD3803" w:rsidRDefault="006A289D" w:rsidP="009553A0">
            <w:pPr>
              <w:ind w:left="0"/>
              <w:rPr>
                <w:sz w:val="18"/>
                <w:szCs w:val="18"/>
              </w:rPr>
            </w:pPr>
            <w:r w:rsidRPr="00CD3803">
              <w:rPr>
                <w:sz w:val="18"/>
                <w:szCs w:val="18"/>
              </w:rPr>
              <w:t>ŽSR, Dostavba zriaďova</w:t>
            </w:r>
            <w:r>
              <w:rPr>
                <w:sz w:val="18"/>
                <w:szCs w:val="18"/>
              </w:rPr>
              <w:t xml:space="preserve">cej stanice Žilina </w:t>
            </w:r>
            <w:r w:rsidRPr="00CD3803">
              <w:rPr>
                <w:sz w:val="18"/>
                <w:szCs w:val="18"/>
              </w:rPr>
              <w:t>–</w:t>
            </w:r>
            <w:r>
              <w:rPr>
                <w:sz w:val="18"/>
                <w:szCs w:val="18"/>
              </w:rPr>
              <w:t xml:space="preserve"> Teplička a </w:t>
            </w:r>
            <w:r w:rsidRPr="00CD3803">
              <w:rPr>
                <w:sz w:val="18"/>
                <w:szCs w:val="18"/>
              </w:rPr>
              <w:t>nadväzujúcej železničnej infraštruktúry v uzle Žilina</w:t>
            </w:r>
          </w:p>
        </w:tc>
        <w:tc>
          <w:tcPr>
            <w:tcW w:w="2100"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2018</w:t>
            </w:r>
            <w:r>
              <w:rPr>
                <w:color w:val="000000"/>
                <w:sz w:val="18"/>
                <w:szCs w:val="18"/>
              </w:rPr>
              <w:t>, 2Q</w:t>
            </w:r>
          </w:p>
        </w:tc>
        <w:tc>
          <w:tcPr>
            <w:tcW w:w="1843"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2018</w:t>
            </w:r>
            <w:r>
              <w:rPr>
                <w:color w:val="000000"/>
                <w:sz w:val="18"/>
                <w:szCs w:val="18"/>
              </w:rPr>
              <w:t>, 2Q</w:t>
            </w:r>
          </w:p>
        </w:tc>
        <w:tc>
          <w:tcPr>
            <w:tcW w:w="1984"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202</w:t>
            </w:r>
            <w:r>
              <w:rPr>
                <w:color w:val="000000"/>
                <w:sz w:val="18"/>
                <w:szCs w:val="18"/>
              </w:rPr>
              <w:t>0, 4Q</w:t>
            </w:r>
          </w:p>
        </w:tc>
        <w:tc>
          <w:tcPr>
            <w:tcW w:w="1729" w:type="dxa"/>
            <w:shd w:val="clear" w:color="auto" w:fill="FFFFCC"/>
            <w:vAlign w:val="center"/>
          </w:tcPr>
          <w:p w:rsidR="006A289D" w:rsidRPr="00A043E8" w:rsidRDefault="005964B2" w:rsidP="009553A0">
            <w:pPr>
              <w:ind w:left="0"/>
              <w:jc w:val="center"/>
              <w:rPr>
                <w:sz w:val="18"/>
                <w:szCs w:val="18"/>
              </w:rPr>
            </w:pPr>
            <w:r>
              <w:rPr>
                <w:sz w:val="18"/>
                <w:szCs w:val="18"/>
              </w:rPr>
              <w:t xml:space="preserve">Prioritná os 1/IP </w:t>
            </w:r>
            <w:r w:rsidR="006A289D">
              <w:rPr>
                <w:sz w:val="18"/>
                <w:szCs w:val="18"/>
              </w:rPr>
              <w:t>7a)</w:t>
            </w:r>
          </w:p>
        </w:tc>
      </w:tr>
      <w:tr w:rsidR="006A289D" w:rsidRPr="00B02869" w:rsidTr="00A127CB">
        <w:trPr>
          <w:trHeight w:val="454"/>
          <w:jc w:val="center"/>
        </w:trPr>
        <w:tc>
          <w:tcPr>
            <w:tcW w:w="6747" w:type="dxa"/>
            <w:shd w:val="clear" w:color="auto" w:fill="FFFFCC"/>
            <w:vAlign w:val="center"/>
          </w:tcPr>
          <w:p w:rsidR="006A289D" w:rsidRPr="00CD3803" w:rsidRDefault="006A289D" w:rsidP="009553A0">
            <w:pPr>
              <w:ind w:left="0"/>
              <w:rPr>
                <w:sz w:val="18"/>
                <w:szCs w:val="18"/>
              </w:rPr>
            </w:pPr>
            <w:r w:rsidRPr="00CD3803">
              <w:rPr>
                <w:sz w:val="18"/>
                <w:szCs w:val="18"/>
              </w:rPr>
              <w:t>Modernizácia železničnej trate Žilina – Košice, úsek trate – Poprad Tatry (mimo) – Krompachy, realizácia úseku Spišská Nová Ves – Poprad–Tatry</w:t>
            </w:r>
          </w:p>
        </w:tc>
        <w:tc>
          <w:tcPr>
            <w:tcW w:w="2100"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w:t>
            </w:r>
            <w:r>
              <w:rPr>
                <w:color w:val="000000"/>
                <w:sz w:val="18"/>
                <w:szCs w:val="18"/>
              </w:rPr>
              <w:t>8, 2Q</w:t>
            </w:r>
          </w:p>
        </w:tc>
        <w:tc>
          <w:tcPr>
            <w:tcW w:w="1843"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w:t>
            </w:r>
            <w:r>
              <w:rPr>
                <w:color w:val="000000"/>
                <w:sz w:val="18"/>
                <w:szCs w:val="18"/>
              </w:rPr>
              <w:t>8, 2Q</w:t>
            </w:r>
          </w:p>
        </w:tc>
        <w:tc>
          <w:tcPr>
            <w:tcW w:w="1984"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w:t>
            </w:r>
            <w:r>
              <w:rPr>
                <w:color w:val="000000"/>
                <w:sz w:val="18"/>
                <w:szCs w:val="18"/>
              </w:rPr>
              <w:t>22, 4Q</w:t>
            </w:r>
          </w:p>
        </w:tc>
        <w:tc>
          <w:tcPr>
            <w:tcW w:w="1729" w:type="dxa"/>
            <w:shd w:val="clear" w:color="auto" w:fill="FFFFCC"/>
            <w:vAlign w:val="center"/>
          </w:tcPr>
          <w:p w:rsidR="006A289D" w:rsidRPr="00A043E8" w:rsidRDefault="005964B2" w:rsidP="009553A0">
            <w:pPr>
              <w:ind w:left="0"/>
              <w:jc w:val="center"/>
              <w:rPr>
                <w:sz w:val="18"/>
                <w:szCs w:val="18"/>
              </w:rPr>
            </w:pPr>
            <w:r>
              <w:rPr>
                <w:sz w:val="18"/>
                <w:szCs w:val="18"/>
              </w:rPr>
              <w:t>Prioritná os 1/IP 7a)</w:t>
            </w:r>
          </w:p>
        </w:tc>
      </w:tr>
      <w:tr w:rsidR="006A289D" w:rsidRPr="00B02869" w:rsidTr="00A127CB">
        <w:trPr>
          <w:trHeight w:val="284"/>
          <w:jc w:val="center"/>
        </w:trPr>
        <w:tc>
          <w:tcPr>
            <w:tcW w:w="6747" w:type="dxa"/>
            <w:shd w:val="clear" w:color="auto" w:fill="FFFFCC"/>
            <w:vAlign w:val="center"/>
          </w:tcPr>
          <w:p w:rsidR="006A289D" w:rsidRPr="00CD3803" w:rsidRDefault="006A289D" w:rsidP="009553A0">
            <w:pPr>
              <w:ind w:left="0"/>
              <w:rPr>
                <w:sz w:val="18"/>
                <w:szCs w:val="18"/>
              </w:rPr>
            </w:pPr>
            <w:r w:rsidRPr="00CD3803">
              <w:rPr>
                <w:sz w:val="18"/>
                <w:szCs w:val="18"/>
              </w:rPr>
              <w:t>Zavedenie ERTMS na koridore č. IV Kúty – B</w:t>
            </w:r>
            <w:r>
              <w:rPr>
                <w:sz w:val="18"/>
                <w:szCs w:val="18"/>
              </w:rPr>
              <w:t xml:space="preserve">ratislava </w:t>
            </w:r>
            <w:r w:rsidRPr="00CD3803">
              <w:rPr>
                <w:sz w:val="18"/>
                <w:szCs w:val="18"/>
              </w:rPr>
              <w:t>(ETCS L2 + GSM R)</w:t>
            </w:r>
          </w:p>
        </w:tc>
        <w:tc>
          <w:tcPr>
            <w:tcW w:w="2100"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w:t>
            </w:r>
            <w:r>
              <w:rPr>
                <w:color w:val="000000"/>
                <w:sz w:val="18"/>
                <w:szCs w:val="18"/>
              </w:rPr>
              <w:t>7, 2Q</w:t>
            </w:r>
          </w:p>
        </w:tc>
        <w:tc>
          <w:tcPr>
            <w:tcW w:w="1843"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w:t>
            </w:r>
            <w:r>
              <w:rPr>
                <w:color w:val="000000"/>
                <w:sz w:val="18"/>
                <w:szCs w:val="18"/>
              </w:rPr>
              <w:t>7, 2Q</w:t>
            </w:r>
          </w:p>
        </w:tc>
        <w:tc>
          <w:tcPr>
            <w:tcW w:w="1984"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w:t>
            </w:r>
            <w:r>
              <w:rPr>
                <w:color w:val="000000"/>
                <w:sz w:val="18"/>
                <w:szCs w:val="18"/>
              </w:rPr>
              <w:t>19, 4Q</w:t>
            </w:r>
          </w:p>
        </w:tc>
        <w:tc>
          <w:tcPr>
            <w:tcW w:w="1729" w:type="dxa"/>
            <w:shd w:val="clear" w:color="auto" w:fill="FFFFCC"/>
            <w:vAlign w:val="center"/>
          </w:tcPr>
          <w:p w:rsidR="006A289D" w:rsidRPr="00A043E8" w:rsidRDefault="005964B2" w:rsidP="009553A0">
            <w:pPr>
              <w:ind w:left="0"/>
              <w:jc w:val="center"/>
              <w:rPr>
                <w:sz w:val="18"/>
                <w:szCs w:val="18"/>
              </w:rPr>
            </w:pPr>
            <w:r>
              <w:rPr>
                <w:sz w:val="18"/>
                <w:szCs w:val="18"/>
              </w:rPr>
              <w:t>Prioritná os 1/IP 7d)</w:t>
            </w:r>
          </w:p>
        </w:tc>
      </w:tr>
      <w:tr w:rsidR="006A289D" w:rsidRPr="00B02869" w:rsidTr="00A127CB">
        <w:trPr>
          <w:trHeight w:val="284"/>
          <w:jc w:val="center"/>
        </w:trPr>
        <w:tc>
          <w:tcPr>
            <w:tcW w:w="6747" w:type="dxa"/>
            <w:shd w:val="clear" w:color="auto" w:fill="FFFFCC"/>
            <w:vAlign w:val="center"/>
          </w:tcPr>
          <w:p w:rsidR="006A289D" w:rsidRPr="00CD3803" w:rsidRDefault="006A289D" w:rsidP="009553A0">
            <w:pPr>
              <w:ind w:left="0"/>
              <w:rPr>
                <w:sz w:val="18"/>
                <w:szCs w:val="18"/>
              </w:rPr>
            </w:pPr>
            <w:r>
              <w:rPr>
                <w:sz w:val="18"/>
                <w:szCs w:val="18"/>
              </w:rPr>
              <w:t>Modernizácia koridoru št. hranica ČR/SR – Čadca – Krásno nad Kysucou</w:t>
            </w:r>
          </w:p>
        </w:tc>
        <w:tc>
          <w:tcPr>
            <w:tcW w:w="2100" w:type="dxa"/>
            <w:shd w:val="clear" w:color="auto" w:fill="FFFFCC"/>
            <w:vAlign w:val="center"/>
          </w:tcPr>
          <w:p w:rsidR="006A289D" w:rsidRPr="00A043E8" w:rsidRDefault="006A289D" w:rsidP="009553A0">
            <w:pPr>
              <w:ind w:left="0"/>
              <w:jc w:val="center"/>
              <w:rPr>
                <w:color w:val="000000"/>
                <w:sz w:val="18"/>
                <w:szCs w:val="18"/>
              </w:rPr>
            </w:pPr>
            <w:r>
              <w:rPr>
                <w:color w:val="000000"/>
                <w:sz w:val="18"/>
                <w:szCs w:val="18"/>
              </w:rPr>
              <w:t>2019, 2Q</w:t>
            </w:r>
          </w:p>
        </w:tc>
        <w:tc>
          <w:tcPr>
            <w:tcW w:w="1843" w:type="dxa"/>
            <w:shd w:val="clear" w:color="auto" w:fill="FFFFCC"/>
            <w:vAlign w:val="center"/>
          </w:tcPr>
          <w:p w:rsidR="006A289D" w:rsidRPr="00A043E8" w:rsidRDefault="006A289D" w:rsidP="009553A0">
            <w:pPr>
              <w:ind w:left="0"/>
              <w:jc w:val="center"/>
              <w:rPr>
                <w:color w:val="000000"/>
                <w:sz w:val="18"/>
                <w:szCs w:val="18"/>
              </w:rPr>
            </w:pPr>
            <w:r>
              <w:rPr>
                <w:color w:val="000000"/>
                <w:sz w:val="18"/>
                <w:szCs w:val="18"/>
              </w:rPr>
              <w:t>2019, 2Q</w:t>
            </w:r>
          </w:p>
        </w:tc>
        <w:tc>
          <w:tcPr>
            <w:tcW w:w="1984" w:type="dxa"/>
            <w:shd w:val="clear" w:color="auto" w:fill="FFFFCC"/>
            <w:vAlign w:val="center"/>
          </w:tcPr>
          <w:p w:rsidR="006A289D" w:rsidRPr="00A043E8" w:rsidRDefault="006A289D" w:rsidP="009553A0">
            <w:pPr>
              <w:ind w:left="0"/>
              <w:jc w:val="center"/>
              <w:rPr>
                <w:color w:val="000000"/>
                <w:sz w:val="18"/>
                <w:szCs w:val="18"/>
              </w:rPr>
            </w:pPr>
            <w:r>
              <w:rPr>
                <w:color w:val="000000"/>
                <w:sz w:val="18"/>
                <w:szCs w:val="18"/>
              </w:rPr>
              <w:t>2022, 4Q</w:t>
            </w:r>
          </w:p>
        </w:tc>
        <w:tc>
          <w:tcPr>
            <w:tcW w:w="1729" w:type="dxa"/>
            <w:shd w:val="clear" w:color="auto" w:fill="FFFFCC"/>
            <w:vAlign w:val="center"/>
          </w:tcPr>
          <w:p w:rsidR="006A289D" w:rsidRPr="00A043E8" w:rsidRDefault="005964B2" w:rsidP="009553A0">
            <w:pPr>
              <w:ind w:left="0"/>
              <w:jc w:val="center"/>
              <w:rPr>
                <w:sz w:val="18"/>
                <w:szCs w:val="18"/>
              </w:rPr>
            </w:pPr>
            <w:r>
              <w:rPr>
                <w:sz w:val="18"/>
                <w:szCs w:val="18"/>
              </w:rPr>
              <w:t>Prioritná os 1/IP 7a)</w:t>
            </w:r>
          </w:p>
        </w:tc>
      </w:tr>
      <w:tr w:rsidR="006A289D" w:rsidRPr="00B02869" w:rsidTr="00A127CB">
        <w:trPr>
          <w:trHeight w:val="284"/>
          <w:jc w:val="center"/>
        </w:trPr>
        <w:tc>
          <w:tcPr>
            <w:tcW w:w="6747" w:type="dxa"/>
            <w:shd w:val="clear" w:color="auto" w:fill="FFFFCC"/>
            <w:vAlign w:val="center"/>
          </w:tcPr>
          <w:p w:rsidR="006A289D" w:rsidRPr="00CD3803" w:rsidRDefault="006A289D" w:rsidP="009553A0">
            <w:pPr>
              <w:ind w:left="0"/>
              <w:rPr>
                <w:sz w:val="18"/>
                <w:szCs w:val="18"/>
              </w:rPr>
            </w:pPr>
            <w:r w:rsidRPr="00CD3803">
              <w:rPr>
                <w:sz w:val="18"/>
                <w:szCs w:val="18"/>
              </w:rPr>
              <w:t>Modernizácia železničnej trate Žilina – Košice, úsek trate Kysak – Košice</w:t>
            </w:r>
          </w:p>
        </w:tc>
        <w:tc>
          <w:tcPr>
            <w:tcW w:w="2100"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w:t>
            </w:r>
            <w:r>
              <w:rPr>
                <w:color w:val="000000"/>
                <w:sz w:val="18"/>
                <w:szCs w:val="18"/>
              </w:rPr>
              <w:t>18, 2Q</w:t>
            </w:r>
          </w:p>
        </w:tc>
        <w:tc>
          <w:tcPr>
            <w:tcW w:w="1843"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w:t>
            </w:r>
            <w:r>
              <w:rPr>
                <w:color w:val="000000"/>
                <w:sz w:val="18"/>
                <w:szCs w:val="18"/>
              </w:rPr>
              <w:t>18, 2Q</w:t>
            </w:r>
          </w:p>
        </w:tc>
        <w:tc>
          <w:tcPr>
            <w:tcW w:w="1984"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w:t>
            </w:r>
            <w:r>
              <w:rPr>
                <w:color w:val="000000"/>
                <w:sz w:val="18"/>
                <w:szCs w:val="18"/>
              </w:rPr>
              <w:t>21, 4Q</w:t>
            </w:r>
          </w:p>
        </w:tc>
        <w:tc>
          <w:tcPr>
            <w:tcW w:w="1729" w:type="dxa"/>
            <w:shd w:val="clear" w:color="auto" w:fill="FFFFCC"/>
            <w:vAlign w:val="center"/>
          </w:tcPr>
          <w:p w:rsidR="006A289D" w:rsidRPr="00A043E8" w:rsidRDefault="005964B2" w:rsidP="009553A0">
            <w:pPr>
              <w:ind w:left="0"/>
              <w:jc w:val="center"/>
              <w:rPr>
                <w:sz w:val="18"/>
                <w:szCs w:val="18"/>
              </w:rPr>
            </w:pPr>
            <w:r>
              <w:rPr>
                <w:sz w:val="18"/>
                <w:szCs w:val="18"/>
              </w:rPr>
              <w:t>Prioritná os 1/IP 7a)</w:t>
            </w:r>
          </w:p>
        </w:tc>
      </w:tr>
      <w:tr w:rsidR="006A289D" w:rsidRPr="00B02869" w:rsidTr="00A127CB">
        <w:trPr>
          <w:trHeight w:val="284"/>
          <w:jc w:val="center"/>
        </w:trPr>
        <w:tc>
          <w:tcPr>
            <w:tcW w:w="6747" w:type="dxa"/>
            <w:shd w:val="clear" w:color="auto" w:fill="FFFFCC"/>
            <w:vAlign w:val="center"/>
          </w:tcPr>
          <w:p w:rsidR="006A289D" w:rsidRPr="00CD3803" w:rsidRDefault="006A289D" w:rsidP="009553A0">
            <w:pPr>
              <w:ind w:left="0"/>
              <w:rPr>
                <w:sz w:val="18"/>
                <w:szCs w:val="18"/>
              </w:rPr>
            </w:pPr>
            <w:r w:rsidRPr="00CD3803">
              <w:rPr>
                <w:sz w:val="18"/>
                <w:szCs w:val="18"/>
              </w:rPr>
              <w:t>ŽSR, Uzol Bratislava</w:t>
            </w:r>
          </w:p>
        </w:tc>
        <w:tc>
          <w:tcPr>
            <w:tcW w:w="2100"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w:t>
            </w:r>
            <w:r>
              <w:rPr>
                <w:color w:val="000000"/>
                <w:sz w:val="18"/>
                <w:szCs w:val="18"/>
              </w:rPr>
              <w:t>9, 2Q</w:t>
            </w:r>
          </w:p>
        </w:tc>
        <w:tc>
          <w:tcPr>
            <w:tcW w:w="1843"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w:t>
            </w:r>
            <w:r>
              <w:rPr>
                <w:color w:val="000000"/>
                <w:sz w:val="18"/>
                <w:szCs w:val="18"/>
              </w:rPr>
              <w:t>9, 2Q</w:t>
            </w:r>
          </w:p>
        </w:tc>
        <w:tc>
          <w:tcPr>
            <w:tcW w:w="1984"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w:t>
            </w:r>
            <w:r>
              <w:rPr>
                <w:color w:val="000000"/>
                <w:sz w:val="18"/>
                <w:szCs w:val="18"/>
              </w:rPr>
              <w:t>21, 4Q</w:t>
            </w:r>
          </w:p>
        </w:tc>
        <w:tc>
          <w:tcPr>
            <w:tcW w:w="1729" w:type="dxa"/>
            <w:shd w:val="clear" w:color="auto" w:fill="FFFFCC"/>
            <w:vAlign w:val="center"/>
          </w:tcPr>
          <w:p w:rsidR="006A289D" w:rsidRPr="00A043E8" w:rsidRDefault="005964B2" w:rsidP="009553A0">
            <w:pPr>
              <w:ind w:left="0"/>
              <w:jc w:val="center"/>
              <w:rPr>
                <w:sz w:val="18"/>
                <w:szCs w:val="18"/>
              </w:rPr>
            </w:pPr>
            <w:r>
              <w:rPr>
                <w:sz w:val="18"/>
                <w:szCs w:val="18"/>
              </w:rPr>
              <w:t>Prioritná os 1/IP 7a)</w:t>
            </w:r>
          </w:p>
        </w:tc>
      </w:tr>
      <w:tr w:rsidR="006A289D" w:rsidRPr="00B02869" w:rsidTr="00A127CB">
        <w:trPr>
          <w:trHeight w:val="284"/>
          <w:jc w:val="center"/>
        </w:trPr>
        <w:tc>
          <w:tcPr>
            <w:tcW w:w="6747" w:type="dxa"/>
            <w:shd w:val="clear" w:color="auto" w:fill="FFFFCC"/>
            <w:vAlign w:val="center"/>
          </w:tcPr>
          <w:p w:rsidR="006A289D" w:rsidRPr="00CD3803" w:rsidRDefault="006A289D" w:rsidP="009553A0">
            <w:pPr>
              <w:ind w:left="0"/>
              <w:rPr>
                <w:sz w:val="18"/>
                <w:szCs w:val="18"/>
              </w:rPr>
            </w:pPr>
            <w:r w:rsidRPr="00CD3803">
              <w:rPr>
                <w:sz w:val="18"/>
                <w:szCs w:val="18"/>
              </w:rPr>
              <w:t>Čierna nad Tisou, modernizácia uzla</w:t>
            </w:r>
          </w:p>
        </w:tc>
        <w:tc>
          <w:tcPr>
            <w:tcW w:w="2100"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w:t>
            </w:r>
            <w:r>
              <w:rPr>
                <w:color w:val="000000"/>
                <w:sz w:val="18"/>
                <w:szCs w:val="18"/>
              </w:rPr>
              <w:t>6, 2Q</w:t>
            </w:r>
          </w:p>
        </w:tc>
        <w:tc>
          <w:tcPr>
            <w:tcW w:w="1843"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w:t>
            </w:r>
            <w:r>
              <w:rPr>
                <w:color w:val="000000"/>
                <w:sz w:val="18"/>
                <w:szCs w:val="18"/>
              </w:rPr>
              <w:t>6, 2Q</w:t>
            </w:r>
          </w:p>
        </w:tc>
        <w:tc>
          <w:tcPr>
            <w:tcW w:w="1984"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2019</w:t>
            </w:r>
            <w:r>
              <w:rPr>
                <w:color w:val="000000"/>
                <w:sz w:val="18"/>
                <w:szCs w:val="18"/>
              </w:rPr>
              <w:t>, 4Q</w:t>
            </w:r>
          </w:p>
        </w:tc>
        <w:tc>
          <w:tcPr>
            <w:tcW w:w="1729" w:type="dxa"/>
            <w:shd w:val="clear" w:color="auto" w:fill="FFFFCC"/>
            <w:vAlign w:val="center"/>
          </w:tcPr>
          <w:p w:rsidR="006A289D" w:rsidRPr="00A043E8" w:rsidRDefault="005964B2" w:rsidP="009553A0">
            <w:pPr>
              <w:ind w:left="0"/>
              <w:jc w:val="center"/>
              <w:rPr>
                <w:sz w:val="18"/>
                <w:szCs w:val="18"/>
              </w:rPr>
            </w:pPr>
            <w:r>
              <w:rPr>
                <w:sz w:val="18"/>
                <w:szCs w:val="18"/>
              </w:rPr>
              <w:t>Prioritná os 1/IP 7a)</w:t>
            </w:r>
          </w:p>
        </w:tc>
      </w:tr>
      <w:tr w:rsidR="006A289D" w:rsidRPr="00B02869" w:rsidTr="00A127CB">
        <w:trPr>
          <w:trHeight w:val="284"/>
          <w:jc w:val="center"/>
        </w:trPr>
        <w:tc>
          <w:tcPr>
            <w:tcW w:w="6747" w:type="dxa"/>
            <w:shd w:val="clear" w:color="auto" w:fill="FFFFCC"/>
            <w:vAlign w:val="center"/>
          </w:tcPr>
          <w:p w:rsidR="006A289D" w:rsidRDefault="006A289D" w:rsidP="009553A0">
            <w:pPr>
              <w:ind w:left="0"/>
              <w:rPr>
                <w:sz w:val="18"/>
                <w:szCs w:val="18"/>
              </w:rPr>
            </w:pPr>
            <w:r>
              <w:rPr>
                <w:sz w:val="18"/>
                <w:szCs w:val="18"/>
              </w:rPr>
              <w:t>ZSSK, obnova vozového parku ŽKV</w:t>
            </w:r>
          </w:p>
        </w:tc>
        <w:tc>
          <w:tcPr>
            <w:tcW w:w="2100" w:type="dxa"/>
            <w:shd w:val="clear" w:color="auto" w:fill="FFFFCC"/>
            <w:vAlign w:val="center"/>
          </w:tcPr>
          <w:p w:rsidR="006A289D" w:rsidRDefault="006A289D" w:rsidP="009553A0">
            <w:pPr>
              <w:ind w:left="0"/>
              <w:jc w:val="center"/>
              <w:rPr>
                <w:color w:val="000000"/>
                <w:sz w:val="18"/>
                <w:szCs w:val="18"/>
              </w:rPr>
            </w:pPr>
            <w:r>
              <w:rPr>
                <w:color w:val="000000"/>
                <w:sz w:val="18"/>
                <w:szCs w:val="18"/>
              </w:rPr>
              <w:t>2016</w:t>
            </w:r>
          </w:p>
        </w:tc>
        <w:tc>
          <w:tcPr>
            <w:tcW w:w="1843" w:type="dxa"/>
            <w:shd w:val="clear" w:color="auto" w:fill="FFFFCC"/>
            <w:vAlign w:val="center"/>
          </w:tcPr>
          <w:p w:rsidR="006A289D" w:rsidRDefault="006A289D" w:rsidP="009553A0">
            <w:pPr>
              <w:ind w:left="0"/>
              <w:jc w:val="center"/>
              <w:rPr>
                <w:color w:val="000000"/>
                <w:sz w:val="18"/>
                <w:szCs w:val="18"/>
              </w:rPr>
            </w:pPr>
            <w:r>
              <w:rPr>
                <w:color w:val="000000"/>
                <w:sz w:val="18"/>
                <w:szCs w:val="18"/>
              </w:rPr>
              <w:t>2016</w:t>
            </w:r>
          </w:p>
        </w:tc>
        <w:tc>
          <w:tcPr>
            <w:tcW w:w="1984" w:type="dxa"/>
            <w:shd w:val="clear" w:color="auto" w:fill="FFFFCC"/>
            <w:vAlign w:val="center"/>
          </w:tcPr>
          <w:p w:rsidR="006A289D" w:rsidRDefault="006A289D" w:rsidP="009553A0">
            <w:pPr>
              <w:ind w:left="0"/>
              <w:jc w:val="center"/>
              <w:rPr>
                <w:color w:val="000000"/>
                <w:sz w:val="18"/>
                <w:szCs w:val="18"/>
              </w:rPr>
            </w:pPr>
            <w:r>
              <w:rPr>
                <w:color w:val="000000"/>
                <w:sz w:val="18"/>
                <w:szCs w:val="18"/>
              </w:rPr>
              <w:t>2018</w:t>
            </w:r>
          </w:p>
        </w:tc>
        <w:tc>
          <w:tcPr>
            <w:tcW w:w="1729" w:type="dxa"/>
            <w:shd w:val="clear" w:color="auto" w:fill="FFFFCC"/>
            <w:vAlign w:val="center"/>
          </w:tcPr>
          <w:p w:rsidR="006A289D" w:rsidRDefault="005964B2" w:rsidP="009553A0">
            <w:pPr>
              <w:ind w:left="0"/>
              <w:jc w:val="center"/>
              <w:rPr>
                <w:sz w:val="18"/>
                <w:szCs w:val="18"/>
              </w:rPr>
            </w:pPr>
            <w:r>
              <w:rPr>
                <w:sz w:val="18"/>
                <w:szCs w:val="18"/>
              </w:rPr>
              <w:t>Prioritná os 1/IP 7a)</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sz w:val="18"/>
                <w:szCs w:val="18"/>
              </w:rPr>
            </w:pPr>
            <w:r w:rsidRPr="00CD3803">
              <w:rPr>
                <w:sz w:val="18"/>
                <w:szCs w:val="18"/>
              </w:rPr>
              <w:t>D1 Hričovské Podhradie – Lietavská Lúčka (2. etapa)</w:t>
            </w:r>
          </w:p>
        </w:tc>
        <w:tc>
          <w:tcPr>
            <w:tcW w:w="2100" w:type="dxa"/>
            <w:vAlign w:val="center"/>
          </w:tcPr>
          <w:p w:rsidR="006A289D" w:rsidRPr="00D10764" w:rsidRDefault="006A289D" w:rsidP="009553A0">
            <w:pPr>
              <w:ind w:left="0"/>
              <w:jc w:val="center"/>
              <w:rPr>
                <w:color w:val="000000"/>
                <w:sz w:val="18"/>
                <w:szCs w:val="18"/>
              </w:rPr>
            </w:pPr>
            <w:r w:rsidRPr="00B56CF7">
              <w:rPr>
                <w:color w:val="000000"/>
                <w:sz w:val="18"/>
                <w:szCs w:val="18"/>
              </w:rPr>
              <w:t>2015, 4Q</w:t>
            </w:r>
          </w:p>
        </w:tc>
        <w:tc>
          <w:tcPr>
            <w:tcW w:w="1843" w:type="dxa"/>
            <w:vAlign w:val="center"/>
          </w:tcPr>
          <w:p w:rsidR="006A289D" w:rsidRPr="00D10764" w:rsidRDefault="006A289D" w:rsidP="009553A0">
            <w:pPr>
              <w:ind w:left="0"/>
              <w:jc w:val="center"/>
              <w:rPr>
                <w:color w:val="000000"/>
                <w:sz w:val="18"/>
                <w:szCs w:val="18"/>
              </w:rPr>
            </w:pPr>
            <w:r w:rsidRPr="00B56CF7">
              <w:rPr>
                <w:color w:val="000000"/>
                <w:sz w:val="18"/>
                <w:szCs w:val="18"/>
              </w:rPr>
              <w:t>2015, 4Q</w:t>
            </w:r>
          </w:p>
        </w:tc>
        <w:tc>
          <w:tcPr>
            <w:tcW w:w="1984" w:type="dxa"/>
            <w:vAlign w:val="center"/>
          </w:tcPr>
          <w:p w:rsidR="006A289D" w:rsidRPr="00D10764" w:rsidRDefault="006A289D" w:rsidP="009553A0">
            <w:pPr>
              <w:ind w:left="0"/>
              <w:jc w:val="center"/>
              <w:rPr>
                <w:color w:val="000000"/>
                <w:sz w:val="18"/>
                <w:szCs w:val="18"/>
              </w:rPr>
            </w:pPr>
            <w:r w:rsidRPr="00D10764">
              <w:rPr>
                <w:color w:val="000000"/>
                <w:sz w:val="18"/>
                <w:szCs w:val="18"/>
              </w:rPr>
              <w:t>2017</w:t>
            </w:r>
            <w:r>
              <w:rPr>
                <w:color w:val="000000"/>
                <w:sz w:val="18"/>
                <w:szCs w:val="18"/>
              </w:rPr>
              <w:t>, 4Q</w:t>
            </w:r>
          </w:p>
        </w:tc>
        <w:tc>
          <w:tcPr>
            <w:tcW w:w="1729" w:type="dxa"/>
            <w:vAlign w:val="center"/>
          </w:tcPr>
          <w:p w:rsidR="006A289D" w:rsidRPr="00A043E8" w:rsidRDefault="005964B2" w:rsidP="005964B2">
            <w:pPr>
              <w:ind w:left="0"/>
              <w:jc w:val="center"/>
              <w:rPr>
                <w:sz w:val="18"/>
                <w:szCs w:val="18"/>
              </w:rPr>
            </w:pPr>
            <w:r>
              <w:rPr>
                <w:sz w:val="18"/>
                <w:szCs w:val="18"/>
              </w:rPr>
              <w:t>Prioritná os 2/IP 7a)</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sz w:val="18"/>
                <w:szCs w:val="18"/>
              </w:rPr>
            </w:pPr>
            <w:r w:rsidRPr="00CD3803">
              <w:rPr>
                <w:sz w:val="18"/>
                <w:szCs w:val="18"/>
              </w:rPr>
              <w:t>D1 Privádzač Lietavská Lúčka – Žilina</w:t>
            </w:r>
          </w:p>
        </w:tc>
        <w:tc>
          <w:tcPr>
            <w:tcW w:w="2100"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6, 1Q</w:t>
            </w:r>
          </w:p>
        </w:tc>
        <w:tc>
          <w:tcPr>
            <w:tcW w:w="1843"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6, 1Q</w:t>
            </w:r>
          </w:p>
        </w:tc>
        <w:tc>
          <w:tcPr>
            <w:tcW w:w="1984"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8, 3Q</w:t>
            </w:r>
          </w:p>
        </w:tc>
        <w:tc>
          <w:tcPr>
            <w:tcW w:w="1729" w:type="dxa"/>
            <w:vAlign w:val="center"/>
          </w:tcPr>
          <w:p w:rsidR="006A289D" w:rsidRPr="00A043E8" w:rsidRDefault="005964B2" w:rsidP="009553A0">
            <w:pPr>
              <w:ind w:left="0"/>
              <w:jc w:val="center"/>
              <w:rPr>
                <w:sz w:val="18"/>
                <w:szCs w:val="18"/>
              </w:rPr>
            </w:pPr>
            <w:r>
              <w:rPr>
                <w:sz w:val="18"/>
                <w:szCs w:val="18"/>
              </w:rPr>
              <w:t>Prioritná os 2/IP 7a)</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sz w:val="18"/>
                <w:szCs w:val="18"/>
              </w:rPr>
            </w:pPr>
            <w:r w:rsidRPr="00CD3803">
              <w:rPr>
                <w:sz w:val="18"/>
                <w:szCs w:val="18"/>
              </w:rPr>
              <w:t>D1 Lietavská Lúčka – Višňové – Dubná Skala (2. etapa)</w:t>
            </w:r>
          </w:p>
        </w:tc>
        <w:tc>
          <w:tcPr>
            <w:tcW w:w="2100" w:type="dxa"/>
            <w:vAlign w:val="center"/>
          </w:tcPr>
          <w:p w:rsidR="006A289D" w:rsidRPr="00D10764" w:rsidRDefault="006A289D" w:rsidP="009553A0">
            <w:pPr>
              <w:ind w:left="0"/>
              <w:jc w:val="center"/>
              <w:rPr>
                <w:color w:val="000000"/>
                <w:sz w:val="18"/>
                <w:szCs w:val="18"/>
              </w:rPr>
            </w:pPr>
            <w:r w:rsidRPr="00DB5D7A">
              <w:rPr>
                <w:color w:val="000000"/>
                <w:sz w:val="18"/>
                <w:szCs w:val="18"/>
              </w:rPr>
              <w:t>2015, 4Q</w:t>
            </w:r>
          </w:p>
        </w:tc>
        <w:tc>
          <w:tcPr>
            <w:tcW w:w="1843" w:type="dxa"/>
            <w:vAlign w:val="center"/>
          </w:tcPr>
          <w:p w:rsidR="006A289D" w:rsidRPr="00D10764" w:rsidRDefault="006A289D" w:rsidP="009553A0">
            <w:pPr>
              <w:ind w:left="0"/>
              <w:jc w:val="center"/>
              <w:rPr>
                <w:color w:val="000000"/>
                <w:sz w:val="18"/>
                <w:szCs w:val="18"/>
              </w:rPr>
            </w:pPr>
            <w:r w:rsidRPr="00DB5D7A">
              <w:rPr>
                <w:color w:val="000000"/>
                <w:sz w:val="18"/>
                <w:szCs w:val="18"/>
              </w:rPr>
              <w:t>2015, 4Q</w:t>
            </w:r>
          </w:p>
        </w:tc>
        <w:tc>
          <w:tcPr>
            <w:tcW w:w="1984"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8, 4Q</w:t>
            </w:r>
          </w:p>
        </w:tc>
        <w:tc>
          <w:tcPr>
            <w:tcW w:w="1729" w:type="dxa"/>
            <w:vAlign w:val="center"/>
          </w:tcPr>
          <w:p w:rsidR="006A289D" w:rsidRPr="00A043E8" w:rsidRDefault="005964B2" w:rsidP="009553A0">
            <w:pPr>
              <w:ind w:left="0"/>
              <w:jc w:val="center"/>
              <w:rPr>
                <w:sz w:val="18"/>
                <w:szCs w:val="18"/>
              </w:rPr>
            </w:pPr>
            <w:r>
              <w:rPr>
                <w:sz w:val="18"/>
                <w:szCs w:val="18"/>
              </w:rPr>
              <w:t>Prioritná os 2/IP 7a)</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sz w:val="18"/>
                <w:szCs w:val="18"/>
              </w:rPr>
            </w:pPr>
            <w:r w:rsidRPr="00CD3803">
              <w:rPr>
                <w:sz w:val="18"/>
                <w:szCs w:val="18"/>
              </w:rPr>
              <w:t>D1 Turany – Hubová</w:t>
            </w:r>
          </w:p>
        </w:tc>
        <w:tc>
          <w:tcPr>
            <w:tcW w:w="2100" w:type="dxa"/>
            <w:vAlign w:val="center"/>
          </w:tcPr>
          <w:p w:rsidR="006A289D" w:rsidRPr="00477978" w:rsidRDefault="006A289D" w:rsidP="009553A0">
            <w:pPr>
              <w:ind w:left="0"/>
              <w:jc w:val="center"/>
              <w:rPr>
                <w:color w:val="000000"/>
                <w:sz w:val="18"/>
                <w:szCs w:val="18"/>
                <w:lang w:val="en-US"/>
              </w:rPr>
            </w:pPr>
            <w:r w:rsidRPr="00D10764">
              <w:rPr>
                <w:color w:val="000000"/>
                <w:sz w:val="18"/>
                <w:szCs w:val="18"/>
              </w:rPr>
              <w:t>201</w:t>
            </w:r>
            <w:r>
              <w:rPr>
                <w:color w:val="000000"/>
                <w:sz w:val="18"/>
                <w:szCs w:val="18"/>
                <w:lang w:val="en-US"/>
              </w:rPr>
              <w:t>7, 3Q</w:t>
            </w:r>
          </w:p>
        </w:tc>
        <w:tc>
          <w:tcPr>
            <w:tcW w:w="1843" w:type="dxa"/>
            <w:vAlign w:val="center"/>
          </w:tcPr>
          <w:p w:rsidR="006A289D" w:rsidRPr="00477978" w:rsidRDefault="006A289D" w:rsidP="009553A0">
            <w:pPr>
              <w:ind w:left="0"/>
              <w:jc w:val="center"/>
              <w:rPr>
                <w:color w:val="000000"/>
                <w:sz w:val="18"/>
                <w:szCs w:val="18"/>
                <w:lang w:val="en-US"/>
              </w:rPr>
            </w:pPr>
            <w:r w:rsidRPr="00D10764">
              <w:rPr>
                <w:color w:val="000000"/>
                <w:sz w:val="18"/>
                <w:szCs w:val="18"/>
              </w:rPr>
              <w:t>201</w:t>
            </w:r>
            <w:r>
              <w:rPr>
                <w:color w:val="000000"/>
                <w:sz w:val="18"/>
                <w:szCs w:val="18"/>
                <w:lang w:val="en-US"/>
              </w:rPr>
              <w:t>7, 3Q</w:t>
            </w:r>
          </w:p>
        </w:tc>
        <w:tc>
          <w:tcPr>
            <w:tcW w:w="1984" w:type="dxa"/>
            <w:vAlign w:val="center"/>
          </w:tcPr>
          <w:p w:rsidR="006A289D" w:rsidRPr="00D10764" w:rsidRDefault="006A289D" w:rsidP="009553A0">
            <w:pPr>
              <w:ind w:left="0"/>
              <w:jc w:val="center"/>
              <w:rPr>
                <w:color w:val="000000"/>
                <w:sz w:val="18"/>
                <w:szCs w:val="18"/>
              </w:rPr>
            </w:pPr>
            <w:r w:rsidRPr="00D10764">
              <w:rPr>
                <w:color w:val="000000"/>
                <w:sz w:val="18"/>
                <w:szCs w:val="18"/>
              </w:rPr>
              <w:t>20</w:t>
            </w:r>
            <w:r>
              <w:rPr>
                <w:color w:val="000000"/>
                <w:sz w:val="18"/>
                <w:szCs w:val="18"/>
              </w:rPr>
              <w:t>20, 4Q</w:t>
            </w:r>
          </w:p>
        </w:tc>
        <w:tc>
          <w:tcPr>
            <w:tcW w:w="1729" w:type="dxa"/>
            <w:vAlign w:val="center"/>
          </w:tcPr>
          <w:p w:rsidR="006A289D" w:rsidRPr="00A043E8" w:rsidRDefault="005964B2" w:rsidP="009553A0">
            <w:pPr>
              <w:ind w:left="0"/>
              <w:jc w:val="center"/>
              <w:rPr>
                <w:sz w:val="18"/>
                <w:szCs w:val="18"/>
              </w:rPr>
            </w:pPr>
            <w:r>
              <w:rPr>
                <w:sz w:val="18"/>
                <w:szCs w:val="18"/>
              </w:rPr>
              <w:t>Prioritná os 2/IP 7a)</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sz w:val="18"/>
                <w:szCs w:val="18"/>
              </w:rPr>
            </w:pPr>
            <w:r w:rsidRPr="00CD3803">
              <w:rPr>
                <w:sz w:val="18"/>
                <w:szCs w:val="18"/>
              </w:rPr>
              <w:t>D1 Hubová – Ivachnová (2. etapa)</w:t>
            </w:r>
          </w:p>
        </w:tc>
        <w:tc>
          <w:tcPr>
            <w:tcW w:w="2100" w:type="dxa"/>
            <w:vAlign w:val="center"/>
          </w:tcPr>
          <w:p w:rsidR="006A289D" w:rsidRPr="00D10764" w:rsidRDefault="006A289D" w:rsidP="009553A0">
            <w:pPr>
              <w:ind w:left="0"/>
              <w:jc w:val="center"/>
              <w:rPr>
                <w:sz w:val="18"/>
                <w:szCs w:val="18"/>
              </w:rPr>
            </w:pPr>
            <w:r w:rsidRPr="00DB5D7A">
              <w:rPr>
                <w:sz w:val="18"/>
                <w:szCs w:val="18"/>
              </w:rPr>
              <w:t>2015, 4Q</w:t>
            </w:r>
          </w:p>
        </w:tc>
        <w:tc>
          <w:tcPr>
            <w:tcW w:w="1843" w:type="dxa"/>
            <w:vAlign w:val="center"/>
          </w:tcPr>
          <w:p w:rsidR="006A289D" w:rsidRPr="00D10764" w:rsidRDefault="006A289D" w:rsidP="009553A0">
            <w:pPr>
              <w:ind w:left="0"/>
              <w:jc w:val="center"/>
              <w:rPr>
                <w:sz w:val="18"/>
                <w:szCs w:val="18"/>
              </w:rPr>
            </w:pPr>
            <w:r w:rsidRPr="00DB5D7A">
              <w:rPr>
                <w:sz w:val="18"/>
                <w:szCs w:val="18"/>
              </w:rPr>
              <w:t>2015, 4Q</w:t>
            </w:r>
          </w:p>
        </w:tc>
        <w:tc>
          <w:tcPr>
            <w:tcW w:w="1984" w:type="dxa"/>
            <w:vAlign w:val="center"/>
          </w:tcPr>
          <w:p w:rsidR="006A289D" w:rsidRPr="00D10764" w:rsidRDefault="006A289D" w:rsidP="009553A0">
            <w:pPr>
              <w:ind w:left="0"/>
              <w:jc w:val="center"/>
              <w:rPr>
                <w:sz w:val="18"/>
                <w:szCs w:val="18"/>
              </w:rPr>
            </w:pPr>
            <w:r w:rsidRPr="00D10764">
              <w:rPr>
                <w:sz w:val="18"/>
                <w:szCs w:val="18"/>
              </w:rPr>
              <w:t>2017</w:t>
            </w:r>
            <w:r>
              <w:rPr>
                <w:sz w:val="18"/>
                <w:szCs w:val="18"/>
              </w:rPr>
              <w:t>, 2Q</w:t>
            </w:r>
          </w:p>
        </w:tc>
        <w:tc>
          <w:tcPr>
            <w:tcW w:w="1729" w:type="dxa"/>
            <w:vAlign w:val="center"/>
          </w:tcPr>
          <w:p w:rsidR="006A289D" w:rsidRPr="00A043E8" w:rsidRDefault="005964B2" w:rsidP="009553A0">
            <w:pPr>
              <w:ind w:left="0"/>
              <w:jc w:val="center"/>
              <w:rPr>
                <w:sz w:val="18"/>
                <w:szCs w:val="18"/>
              </w:rPr>
            </w:pPr>
            <w:r>
              <w:rPr>
                <w:sz w:val="18"/>
                <w:szCs w:val="18"/>
              </w:rPr>
              <w:t>Prioritná os 2/IP 7a)</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sz w:val="18"/>
                <w:szCs w:val="18"/>
              </w:rPr>
            </w:pPr>
            <w:r w:rsidRPr="00CD3803">
              <w:rPr>
                <w:sz w:val="18"/>
                <w:szCs w:val="18"/>
              </w:rPr>
              <w:t>D1 Prešov západ – Prešov juh</w:t>
            </w:r>
          </w:p>
        </w:tc>
        <w:tc>
          <w:tcPr>
            <w:tcW w:w="2100"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5, 4Q</w:t>
            </w:r>
          </w:p>
        </w:tc>
        <w:tc>
          <w:tcPr>
            <w:tcW w:w="1843"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5, 4Q</w:t>
            </w:r>
          </w:p>
        </w:tc>
        <w:tc>
          <w:tcPr>
            <w:tcW w:w="1984"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9, 4Q</w:t>
            </w:r>
          </w:p>
        </w:tc>
        <w:tc>
          <w:tcPr>
            <w:tcW w:w="1729" w:type="dxa"/>
            <w:vAlign w:val="center"/>
          </w:tcPr>
          <w:p w:rsidR="006A289D" w:rsidRPr="00A043E8" w:rsidRDefault="005964B2" w:rsidP="009553A0">
            <w:pPr>
              <w:ind w:left="0"/>
              <w:jc w:val="center"/>
              <w:rPr>
                <w:sz w:val="18"/>
                <w:szCs w:val="18"/>
              </w:rPr>
            </w:pPr>
            <w:r>
              <w:rPr>
                <w:sz w:val="18"/>
                <w:szCs w:val="18"/>
              </w:rPr>
              <w:t>Prioritná os 2/IP 7a)</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sz w:val="18"/>
                <w:szCs w:val="18"/>
              </w:rPr>
            </w:pPr>
            <w:r w:rsidRPr="00CD3803">
              <w:rPr>
                <w:sz w:val="18"/>
                <w:szCs w:val="18"/>
              </w:rPr>
              <w:t>D1 Budimír – Bidovce</w:t>
            </w:r>
          </w:p>
        </w:tc>
        <w:tc>
          <w:tcPr>
            <w:tcW w:w="2100" w:type="dxa"/>
            <w:vAlign w:val="center"/>
          </w:tcPr>
          <w:p w:rsidR="006A289D" w:rsidRPr="00D10764" w:rsidRDefault="006A289D" w:rsidP="009553A0">
            <w:pPr>
              <w:ind w:left="0"/>
              <w:jc w:val="center"/>
              <w:rPr>
                <w:color w:val="000000"/>
                <w:sz w:val="18"/>
                <w:szCs w:val="18"/>
              </w:rPr>
            </w:pPr>
            <w:r>
              <w:rPr>
                <w:color w:val="000000"/>
                <w:sz w:val="18"/>
                <w:szCs w:val="18"/>
              </w:rPr>
              <w:t>2015, 4Q</w:t>
            </w:r>
          </w:p>
        </w:tc>
        <w:tc>
          <w:tcPr>
            <w:tcW w:w="1843" w:type="dxa"/>
            <w:vAlign w:val="center"/>
          </w:tcPr>
          <w:p w:rsidR="006A289D" w:rsidRPr="00D10764" w:rsidRDefault="006A289D" w:rsidP="009553A0">
            <w:pPr>
              <w:ind w:left="0"/>
              <w:jc w:val="center"/>
              <w:rPr>
                <w:color w:val="000000"/>
                <w:sz w:val="18"/>
                <w:szCs w:val="18"/>
              </w:rPr>
            </w:pPr>
            <w:r>
              <w:rPr>
                <w:color w:val="000000"/>
                <w:sz w:val="18"/>
                <w:szCs w:val="18"/>
              </w:rPr>
              <w:t>2015, 4Q</w:t>
            </w:r>
          </w:p>
        </w:tc>
        <w:tc>
          <w:tcPr>
            <w:tcW w:w="1984" w:type="dxa"/>
            <w:vAlign w:val="center"/>
          </w:tcPr>
          <w:p w:rsidR="006A289D" w:rsidRPr="00D10764" w:rsidRDefault="006A289D" w:rsidP="009553A0">
            <w:pPr>
              <w:ind w:left="0"/>
              <w:jc w:val="center"/>
              <w:rPr>
                <w:color w:val="000000"/>
                <w:sz w:val="18"/>
                <w:szCs w:val="18"/>
              </w:rPr>
            </w:pPr>
            <w:r>
              <w:rPr>
                <w:color w:val="000000"/>
                <w:sz w:val="18"/>
                <w:szCs w:val="18"/>
              </w:rPr>
              <w:t>2018, 4Q</w:t>
            </w:r>
          </w:p>
        </w:tc>
        <w:tc>
          <w:tcPr>
            <w:tcW w:w="1729" w:type="dxa"/>
            <w:vAlign w:val="center"/>
          </w:tcPr>
          <w:p w:rsidR="006A289D" w:rsidRPr="00A043E8" w:rsidRDefault="005964B2" w:rsidP="009553A0">
            <w:pPr>
              <w:ind w:left="0"/>
              <w:jc w:val="center"/>
              <w:rPr>
                <w:sz w:val="18"/>
                <w:szCs w:val="18"/>
              </w:rPr>
            </w:pPr>
            <w:r>
              <w:rPr>
                <w:sz w:val="18"/>
                <w:szCs w:val="18"/>
              </w:rPr>
              <w:t>Prioritná os 2/IP 7a)</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sz w:val="18"/>
                <w:szCs w:val="18"/>
              </w:rPr>
            </w:pPr>
            <w:r w:rsidRPr="00CD3803">
              <w:rPr>
                <w:sz w:val="18"/>
                <w:szCs w:val="18"/>
              </w:rPr>
              <w:t>D3 Žilina Str</w:t>
            </w:r>
            <w:r>
              <w:rPr>
                <w:sz w:val="18"/>
                <w:szCs w:val="18"/>
              </w:rPr>
              <w:t>ážov – Žilina Brodno (2. etapa)</w:t>
            </w:r>
          </w:p>
        </w:tc>
        <w:tc>
          <w:tcPr>
            <w:tcW w:w="2100" w:type="dxa"/>
            <w:vAlign w:val="center"/>
          </w:tcPr>
          <w:p w:rsidR="006A289D" w:rsidRPr="00D10764" w:rsidRDefault="006A289D" w:rsidP="009553A0">
            <w:pPr>
              <w:ind w:left="0"/>
              <w:jc w:val="center"/>
              <w:rPr>
                <w:color w:val="000000"/>
                <w:sz w:val="18"/>
                <w:szCs w:val="18"/>
              </w:rPr>
            </w:pPr>
            <w:r w:rsidRPr="00DB5D7A">
              <w:rPr>
                <w:color w:val="000000"/>
                <w:sz w:val="18"/>
                <w:szCs w:val="18"/>
              </w:rPr>
              <w:t>2015, 4Q</w:t>
            </w:r>
          </w:p>
        </w:tc>
        <w:tc>
          <w:tcPr>
            <w:tcW w:w="1843" w:type="dxa"/>
            <w:vAlign w:val="center"/>
          </w:tcPr>
          <w:p w:rsidR="006A289D" w:rsidRPr="00D10764" w:rsidRDefault="006A289D" w:rsidP="009553A0">
            <w:pPr>
              <w:ind w:left="0"/>
              <w:jc w:val="center"/>
              <w:rPr>
                <w:color w:val="000000"/>
                <w:sz w:val="18"/>
                <w:szCs w:val="18"/>
              </w:rPr>
            </w:pPr>
            <w:r w:rsidRPr="00DB5D7A">
              <w:rPr>
                <w:color w:val="000000"/>
                <w:sz w:val="18"/>
                <w:szCs w:val="18"/>
              </w:rPr>
              <w:t>2015, 4Q</w:t>
            </w:r>
          </w:p>
        </w:tc>
        <w:tc>
          <w:tcPr>
            <w:tcW w:w="1984" w:type="dxa"/>
            <w:vAlign w:val="center"/>
          </w:tcPr>
          <w:p w:rsidR="006A289D" w:rsidRPr="00D10764" w:rsidRDefault="006A289D" w:rsidP="009553A0">
            <w:pPr>
              <w:ind w:left="0"/>
              <w:jc w:val="center"/>
              <w:rPr>
                <w:color w:val="000000"/>
                <w:sz w:val="18"/>
                <w:szCs w:val="18"/>
              </w:rPr>
            </w:pPr>
            <w:r>
              <w:rPr>
                <w:color w:val="000000"/>
                <w:sz w:val="18"/>
                <w:szCs w:val="18"/>
              </w:rPr>
              <w:t>2017, 4Q</w:t>
            </w:r>
          </w:p>
        </w:tc>
        <w:tc>
          <w:tcPr>
            <w:tcW w:w="1729" w:type="dxa"/>
            <w:vAlign w:val="center"/>
          </w:tcPr>
          <w:p w:rsidR="006A289D" w:rsidRPr="00A043E8" w:rsidRDefault="005964B2" w:rsidP="009553A0">
            <w:pPr>
              <w:ind w:left="0"/>
              <w:jc w:val="center"/>
              <w:rPr>
                <w:sz w:val="18"/>
                <w:szCs w:val="18"/>
              </w:rPr>
            </w:pPr>
            <w:r>
              <w:rPr>
                <w:sz w:val="18"/>
                <w:szCs w:val="18"/>
              </w:rPr>
              <w:t>Prioritná os 2/IP 7a)</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sz w:val="18"/>
                <w:szCs w:val="18"/>
              </w:rPr>
            </w:pPr>
            <w:r w:rsidRPr="00CD3803">
              <w:rPr>
                <w:sz w:val="18"/>
                <w:szCs w:val="18"/>
              </w:rPr>
              <w:t>D3 Žilina Brodno – Kysucké Nové Mesto</w:t>
            </w:r>
          </w:p>
        </w:tc>
        <w:tc>
          <w:tcPr>
            <w:tcW w:w="2100" w:type="dxa"/>
            <w:vAlign w:val="center"/>
          </w:tcPr>
          <w:p w:rsidR="006A289D" w:rsidRPr="00D10764" w:rsidRDefault="006A289D" w:rsidP="009553A0">
            <w:pPr>
              <w:ind w:left="0"/>
              <w:jc w:val="center"/>
              <w:rPr>
                <w:color w:val="000000"/>
                <w:sz w:val="18"/>
                <w:szCs w:val="18"/>
              </w:rPr>
            </w:pPr>
            <w:r>
              <w:rPr>
                <w:color w:val="000000"/>
                <w:sz w:val="18"/>
                <w:szCs w:val="18"/>
              </w:rPr>
              <w:t>2016, 2Q</w:t>
            </w:r>
          </w:p>
        </w:tc>
        <w:tc>
          <w:tcPr>
            <w:tcW w:w="1843" w:type="dxa"/>
            <w:vAlign w:val="center"/>
          </w:tcPr>
          <w:p w:rsidR="006A289D" w:rsidRPr="00D10764" w:rsidRDefault="006A289D" w:rsidP="009553A0">
            <w:pPr>
              <w:ind w:left="0"/>
              <w:jc w:val="center"/>
              <w:rPr>
                <w:color w:val="000000"/>
                <w:sz w:val="18"/>
                <w:szCs w:val="18"/>
              </w:rPr>
            </w:pPr>
            <w:r>
              <w:rPr>
                <w:color w:val="000000"/>
                <w:sz w:val="18"/>
                <w:szCs w:val="18"/>
              </w:rPr>
              <w:t>2016, 2Q</w:t>
            </w:r>
          </w:p>
        </w:tc>
        <w:tc>
          <w:tcPr>
            <w:tcW w:w="1984" w:type="dxa"/>
            <w:vAlign w:val="center"/>
          </w:tcPr>
          <w:p w:rsidR="006A289D" w:rsidRPr="00D10764" w:rsidRDefault="006A289D" w:rsidP="009553A0">
            <w:pPr>
              <w:ind w:left="0"/>
              <w:jc w:val="center"/>
              <w:rPr>
                <w:color w:val="000000"/>
                <w:sz w:val="18"/>
                <w:szCs w:val="18"/>
              </w:rPr>
            </w:pPr>
            <w:r>
              <w:rPr>
                <w:color w:val="000000"/>
                <w:sz w:val="18"/>
                <w:szCs w:val="18"/>
              </w:rPr>
              <w:t>2020, 2Q</w:t>
            </w:r>
          </w:p>
        </w:tc>
        <w:tc>
          <w:tcPr>
            <w:tcW w:w="1729" w:type="dxa"/>
            <w:vAlign w:val="center"/>
          </w:tcPr>
          <w:p w:rsidR="006A289D" w:rsidRPr="00A043E8" w:rsidRDefault="005964B2" w:rsidP="009553A0">
            <w:pPr>
              <w:ind w:left="0"/>
              <w:jc w:val="center"/>
              <w:rPr>
                <w:sz w:val="18"/>
                <w:szCs w:val="18"/>
              </w:rPr>
            </w:pPr>
            <w:r>
              <w:rPr>
                <w:sz w:val="18"/>
                <w:szCs w:val="18"/>
              </w:rPr>
              <w:t>Prioritná os 2/IP 7a)</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sz w:val="18"/>
                <w:szCs w:val="18"/>
              </w:rPr>
            </w:pPr>
            <w:r w:rsidRPr="00CD3803">
              <w:rPr>
                <w:sz w:val="18"/>
                <w:szCs w:val="18"/>
              </w:rPr>
              <w:t>D3 Kysucké Nové Mesto – Oščadnica</w:t>
            </w:r>
          </w:p>
        </w:tc>
        <w:tc>
          <w:tcPr>
            <w:tcW w:w="2100" w:type="dxa"/>
            <w:vAlign w:val="center"/>
          </w:tcPr>
          <w:p w:rsidR="006A289D" w:rsidRPr="00D10764" w:rsidRDefault="006A289D" w:rsidP="009553A0">
            <w:pPr>
              <w:ind w:left="0"/>
              <w:jc w:val="center"/>
              <w:rPr>
                <w:color w:val="000000"/>
                <w:sz w:val="18"/>
                <w:szCs w:val="18"/>
              </w:rPr>
            </w:pPr>
            <w:r>
              <w:rPr>
                <w:color w:val="000000"/>
                <w:sz w:val="18"/>
                <w:szCs w:val="18"/>
              </w:rPr>
              <w:t>2016, 2Q</w:t>
            </w:r>
          </w:p>
        </w:tc>
        <w:tc>
          <w:tcPr>
            <w:tcW w:w="1843" w:type="dxa"/>
            <w:vAlign w:val="center"/>
          </w:tcPr>
          <w:p w:rsidR="006A289D" w:rsidRPr="00D10764" w:rsidRDefault="006A289D" w:rsidP="009553A0">
            <w:pPr>
              <w:ind w:left="0"/>
              <w:jc w:val="center"/>
              <w:rPr>
                <w:color w:val="000000"/>
                <w:sz w:val="18"/>
                <w:szCs w:val="18"/>
              </w:rPr>
            </w:pPr>
            <w:r>
              <w:rPr>
                <w:color w:val="000000"/>
                <w:sz w:val="18"/>
                <w:szCs w:val="18"/>
              </w:rPr>
              <w:t>2016, 2Q</w:t>
            </w:r>
          </w:p>
        </w:tc>
        <w:tc>
          <w:tcPr>
            <w:tcW w:w="1984" w:type="dxa"/>
            <w:vAlign w:val="center"/>
          </w:tcPr>
          <w:p w:rsidR="006A289D" w:rsidRPr="00D10764" w:rsidRDefault="006A289D" w:rsidP="009553A0">
            <w:pPr>
              <w:ind w:left="0"/>
              <w:jc w:val="center"/>
              <w:rPr>
                <w:color w:val="000000"/>
                <w:sz w:val="18"/>
                <w:szCs w:val="18"/>
              </w:rPr>
            </w:pPr>
            <w:r>
              <w:rPr>
                <w:color w:val="000000"/>
                <w:sz w:val="18"/>
                <w:szCs w:val="18"/>
              </w:rPr>
              <w:t>2019, 2Q</w:t>
            </w:r>
          </w:p>
        </w:tc>
        <w:tc>
          <w:tcPr>
            <w:tcW w:w="1729" w:type="dxa"/>
            <w:vAlign w:val="center"/>
          </w:tcPr>
          <w:p w:rsidR="006A289D" w:rsidRPr="00A043E8" w:rsidRDefault="005964B2" w:rsidP="009553A0">
            <w:pPr>
              <w:ind w:left="0"/>
              <w:jc w:val="center"/>
              <w:rPr>
                <w:sz w:val="18"/>
                <w:szCs w:val="18"/>
              </w:rPr>
            </w:pPr>
            <w:r>
              <w:rPr>
                <w:sz w:val="18"/>
                <w:szCs w:val="18"/>
              </w:rPr>
              <w:t>Prioritná os 2/IP 7a)</w:t>
            </w:r>
          </w:p>
        </w:tc>
      </w:tr>
      <w:tr w:rsidR="006A289D" w:rsidRPr="00B02869" w:rsidTr="00A127CB">
        <w:trPr>
          <w:trHeight w:val="680"/>
          <w:jc w:val="center"/>
        </w:trPr>
        <w:tc>
          <w:tcPr>
            <w:tcW w:w="6747" w:type="dxa"/>
            <w:shd w:val="clear" w:color="auto" w:fill="FFFFCC"/>
            <w:vAlign w:val="center"/>
          </w:tcPr>
          <w:p w:rsidR="006A289D" w:rsidRPr="00CD3803" w:rsidRDefault="006A289D" w:rsidP="009553A0">
            <w:pPr>
              <w:ind w:left="0"/>
              <w:rPr>
                <w:sz w:val="18"/>
                <w:szCs w:val="18"/>
              </w:rPr>
            </w:pPr>
            <w:r w:rsidRPr="00CD3803">
              <w:rPr>
                <w:sz w:val="18"/>
                <w:szCs w:val="18"/>
              </w:rPr>
              <w:t>Koľajové prepojenie mestskej časti Petržalka s centrom mesta, NS MHD 1. etapa Hlavná stanica – Janíkov dvor, prevádzkový úsek Bosákova ulica – Janíkov dvor, 2. časť Bosákova – Janíkov dvor</w:t>
            </w:r>
          </w:p>
        </w:tc>
        <w:tc>
          <w:tcPr>
            <w:tcW w:w="2100"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w:t>
            </w:r>
            <w:r>
              <w:rPr>
                <w:color w:val="000000"/>
                <w:sz w:val="18"/>
                <w:szCs w:val="18"/>
              </w:rPr>
              <w:t>6, 4Q</w:t>
            </w:r>
          </w:p>
        </w:tc>
        <w:tc>
          <w:tcPr>
            <w:tcW w:w="1843"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w:t>
            </w:r>
            <w:r>
              <w:rPr>
                <w:color w:val="000000"/>
                <w:sz w:val="18"/>
                <w:szCs w:val="18"/>
              </w:rPr>
              <w:t>6, 4Q</w:t>
            </w:r>
          </w:p>
        </w:tc>
        <w:tc>
          <w:tcPr>
            <w:tcW w:w="1984"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2017</w:t>
            </w:r>
            <w:r>
              <w:rPr>
                <w:color w:val="000000"/>
                <w:sz w:val="18"/>
                <w:szCs w:val="18"/>
              </w:rPr>
              <w:t>,4Q</w:t>
            </w:r>
          </w:p>
        </w:tc>
        <w:tc>
          <w:tcPr>
            <w:tcW w:w="1729" w:type="dxa"/>
            <w:shd w:val="clear" w:color="auto" w:fill="FFFFCC"/>
            <w:vAlign w:val="center"/>
          </w:tcPr>
          <w:p w:rsidR="006A289D" w:rsidRPr="00814CF8" w:rsidRDefault="005964B2" w:rsidP="009553A0">
            <w:pPr>
              <w:ind w:left="0"/>
              <w:jc w:val="center"/>
              <w:rPr>
                <w:color w:val="000000"/>
                <w:sz w:val="18"/>
                <w:szCs w:val="18"/>
              </w:rPr>
            </w:pPr>
            <w:r>
              <w:rPr>
                <w:sz w:val="18"/>
                <w:szCs w:val="18"/>
              </w:rPr>
              <w:t>Prioritná os 3/IP 7c)</w:t>
            </w:r>
          </w:p>
        </w:tc>
      </w:tr>
      <w:tr w:rsidR="006A289D" w:rsidRPr="00B02869" w:rsidTr="00A127CB">
        <w:trPr>
          <w:trHeight w:val="284"/>
          <w:jc w:val="center"/>
        </w:trPr>
        <w:tc>
          <w:tcPr>
            <w:tcW w:w="6747" w:type="dxa"/>
            <w:shd w:val="clear" w:color="auto" w:fill="FFFFCC"/>
            <w:vAlign w:val="center"/>
          </w:tcPr>
          <w:p w:rsidR="006A289D" w:rsidRPr="00CD3803" w:rsidRDefault="006A289D" w:rsidP="009553A0">
            <w:pPr>
              <w:ind w:left="0"/>
              <w:rPr>
                <w:sz w:val="18"/>
                <w:szCs w:val="18"/>
              </w:rPr>
            </w:pPr>
            <w:r w:rsidRPr="00CD3803">
              <w:rPr>
                <w:sz w:val="18"/>
                <w:szCs w:val="18"/>
              </w:rPr>
              <w:lastRenderedPageBreak/>
              <w:t>DPB, obnova vozového parku električiek v Bratislave</w:t>
            </w:r>
          </w:p>
        </w:tc>
        <w:tc>
          <w:tcPr>
            <w:tcW w:w="2100"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2015</w:t>
            </w:r>
          </w:p>
        </w:tc>
        <w:tc>
          <w:tcPr>
            <w:tcW w:w="1843"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2015</w:t>
            </w:r>
          </w:p>
        </w:tc>
        <w:tc>
          <w:tcPr>
            <w:tcW w:w="1984"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2020</w:t>
            </w:r>
          </w:p>
        </w:tc>
        <w:tc>
          <w:tcPr>
            <w:tcW w:w="1729" w:type="dxa"/>
            <w:shd w:val="clear" w:color="auto" w:fill="FFFFCC"/>
            <w:vAlign w:val="center"/>
          </w:tcPr>
          <w:p w:rsidR="006A289D" w:rsidRPr="00814CF8" w:rsidRDefault="005964B2" w:rsidP="009553A0">
            <w:pPr>
              <w:ind w:left="0"/>
              <w:jc w:val="center"/>
              <w:rPr>
                <w:color w:val="000000"/>
                <w:sz w:val="18"/>
                <w:szCs w:val="18"/>
              </w:rPr>
            </w:pPr>
            <w:r>
              <w:rPr>
                <w:sz w:val="18"/>
                <w:szCs w:val="18"/>
              </w:rPr>
              <w:t>Prioritná os 3/IP 7c)</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color w:val="000000"/>
                <w:sz w:val="18"/>
                <w:szCs w:val="18"/>
              </w:rPr>
            </w:pPr>
            <w:r w:rsidRPr="00CD3803">
              <w:rPr>
                <w:color w:val="000000"/>
                <w:sz w:val="18"/>
                <w:szCs w:val="18"/>
              </w:rPr>
              <w:t>Modernizácia a výstavba verejného prístavu Bratislava</w:t>
            </w:r>
          </w:p>
        </w:tc>
        <w:tc>
          <w:tcPr>
            <w:tcW w:w="2100" w:type="dxa"/>
            <w:vAlign w:val="center"/>
          </w:tcPr>
          <w:p w:rsidR="006A289D" w:rsidRPr="00A043E8" w:rsidRDefault="006A289D" w:rsidP="009553A0">
            <w:pPr>
              <w:ind w:left="0"/>
              <w:jc w:val="center"/>
              <w:rPr>
                <w:color w:val="000000"/>
                <w:sz w:val="18"/>
                <w:szCs w:val="18"/>
              </w:rPr>
            </w:pPr>
            <w:r w:rsidRPr="00A043E8">
              <w:rPr>
                <w:color w:val="000000"/>
                <w:sz w:val="18"/>
                <w:szCs w:val="18"/>
              </w:rPr>
              <w:t>2017</w:t>
            </w:r>
          </w:p>
        </w:tc>
        <w:tc>
          <w:tcPr>
            <w:tcW w:w="1843" w:type="dxa"/>
            <w:vAlign w:val="center"/>
          </w:tcPr>
          <w:p w:rsidR="006A289D" w:rsidRPr="00A043E8" w:rsidRDefault="006A289D" w:rsidP="009553A0">
            <w:pPr>
              <w:ind w:left="0"/>
              <w:jc w:val="center"/>
              <w:rPr>
                <w:color w:val="000000"/>
                <w:sz w:val="18"/>
                <w:szCs w:val="18"/>
              </w:rPr>
            </w:pPr>
            <w:r w:rsidRPr="00A043E8">
              <w:rPr>
                <w:color w:val="000000"/>
                <w:sz w:val="18"/>
                <w:szCs w:val="18"/>
              </w:rPr>
              <w:t>2017</w:t>
            </w:r>
          </w:p>
        </w:tc>
        <w:tc>
          <w:tcPr>
            <w:tcW w:w="1984" w:type="dxa"/>
            <w:vAlign w:val="center"/>
          </w:tcPr>
          <w:p w:rsidR="006A289D" w:rsidRPr="00A043E8" w:rsidRDefault="006A289D" w:rsidP="009553A0">
            <w:pPr>
              <w:ind w:left="0"/>
              <w:jc w:val="center"/>
              <w:rPr>
                <w:color w:val="000000"/>
                <w:sz w:val="18"/>
                <w:szCs w:val="18"/>
              </w:rPr>
            </w:pPr>
            <w:r w:rsidRPr="00A043E8">
              <w:rPr>
                <w:color w:val="000000"/>
                <w:sz w:val="18"/>
                <w:szCs w:val="18"/>
              </w:rPr>
              <w:t>20</w:t>
            </w:r>
            <w:r>
              <w:rPr>
                <w:color w:val="000000"/>
                <w:sz w:val="18"/>
                <w:szCs w:val="18"/>
              </w:rPr>
              <w:t>20</w:t>
            </w:r>
          </w:p>
        </w:tc>
        <w:tc>
          <w:tcPr>
            <w:tcW w:w="1729" w:type="dxa"/>
            <w:vAlign w:val="center"/>
          </w:tcPr>
          <w:p w:rsidR="006A289D" w:rsidRPr="00A043E8" w:rsidRDefault="005964B2" w:rsidP="009553A0">
            <w:pPr>
              <w:ind w:left="0"/>
              <w:jc w:val="center"/>
              <w:rPr>
                <w:color w:val="000000"/>
                <w:sz w:val="18"/>
                <w:szCs w:val="18"/>
              </w:rPr>
            </w:pPr>
            <w:r>
              <w:rPr>
                <w:sz w:val="18"/>
                <w:szCs w:val="18"/>
              </w:rPr>
              <w:t>Prioritná os 4/IP 7a)</w:t>
            </w:r>
          </w:p>
        </w:tc>
      </w:tr>
      <w:tr w:rsidR="006A289D" w:rsidRPr="00B02869" w:rsidTr="00A127CB">
        <w:trPr>
          <w:trHeight w:val="284"/>
          <w:jc w:val="center"/>
        </w:trPr>
        <w:tc>
          <w:tcPr>
            <w:tcW w:w="6747" w:type="dxa"/>
            <w:shd w:val="clear" w:color="auto" w:fill="FFFFCC"/>
            <w:vAlign w:val="center"/>
          </w:tcPr>
          <w:p w:rsidR="006A289D" w:rsidRPr="00CD3803" w:rsidRDefault="006A289D" w:rsidP="009553A0">
            <w:pPr>
              <w:ind w:left="0"/>
              <w:rPr>
                <w:color w:val="000000"/>
                <w:sz w:val="18"/>
                <w:szCs w:val="18"/>
              </w:rPr>
            </w:pPr>
            <w:r w:rsidRPr="00CD3803">
              <w:rPr>
                <w:sz w:val="18"/>
                <w:szCs w:val="18"/>
              </w:rPr>
              <w:t>ZSSK, Projekt budovania pracovísk THÚ</w:t>
            </w:r>
          </w:p>
        </w:tc>
        <w:tc>
          <w:tcPr>
            <w:tcW w:w="2100"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w:t>
            </w:r>
            <w:r>
              <w:rPr>
                <w:color w:val="000000"/>
                <w:sz w:val="18"/>
                <w:szCs w:val="18"/>
              </w:rPr>
              <w:t>5, 2Q</w:t>
            </w:r>
          </w:p>
        </w:tc>
        <w:tc>
          <w:tcPr>
            <w:tcW w:w="1843"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201</w:t>
            </w:r>
            <w:r>
              <w:rPr>
                <w:color w:val="000000"/>
                <w:sz w:val="18"/>
                <w:szCs w:val="18"/>
              </w:rPr>
              <w:t>5, 2Q</w:t>
            </w:r>
          </w:p>
        </w:tc>
        <w:tc>
          <w:tcPr>
            <w:tcW w:w="1984" w:type="dxa"/>
            <w:shd w:val="clear" w:color="auto" w:fill="FFFFCC"/>
            <w:vAlign w:val="center"/>
          </w:tcPr>
          <w:p w:rsidR="006A289D" w:rsidRPr="00A043E8" w:rsidRDefault="006A289D" w:rsidP="009553A0">
            <w:pPr>
              <w:ind w:left="0"/>
              <w:jc w:val="center"/>
              <w:rPr>
                <w:color w:val="000000"/>
                <w:sz w:val="18"/>
                <w:szCs w:val="18"/>
              </w:rPr>
            </w:pPr>
            <w:r w:rsidRPr="00A043E8">
              <w:rPr>
                <w:color w:val="000000"/>
                <w:sz w:val="18"/>
                <w:szCs w:val="18"/>
              </w:rPr>
              <w:t>2020</w:t>
            </w:r>
            <w:r>
              <w:rPr>
                <w:color w:val="000000"/>
                <w:sz w:val="18"/>
                <w:szCs w:val="18"/>
              </w:rPr>
              <w:t>, 4Q</w:t>
            </w:r>
          </w:p>
        </w:tc>
        <w:tc>
          <w:tcPr>
            <w:tcW w:w="1729" w:type="dxa"/>
            <w:shd w:val="clear" w:color="auto" w:fill="FFFFCC"/>
            <w:vAlign w:val="center"/>
          </w:tcPr>
          <w:p w:rsidR="006A289D" w:rsidRPr="00A043E8" w:rsidRDefault="005964B2" w:rsidP="005964B2">
            <w:pPr>
              <w:ind w:left="0"/>
              <w:jc w:val="center"/>
              <w:rPr>
                <w:sz w:val="18"/>
                <w:szCs w:val="18"/>
              </w:rPr>
            </w:pPr>
            <w:r>
              <w:rPr>
                <w:sz w:val="18"/>
                <w:szCs w:val="18"/>
              </w:rPr>
              <w:t>Prioritná os 5/IP 7c)</w:t>
            </w:r>
          </w:p>
        </w:tc>
      </w:tr>
      <w:tr w:rsidR="006A289D" w:rsidRPr="00B02869" w:rsidTr="00A127CB">
        <w:trPr>
          <w:trHeight w:val="454"/>
          <w:jc w:val="center"/>
        </w:trPr>
        <w:tc>
          <w:tcPr>
            <w:tcW w:w="6747" w:type="dxa"/>
            <w:shd w:val="clear" w:color="auto" w:fill="FFFFCC"/>
            <w:vAlign w:val="center"/>
          </w:tcPr>
          <w:p w:rsidR="006A289D" w:rsidRPr="00CD3803" w:rsidRDefault="006A289D" w:rsidP="009553A0">
            <w:pPr>
              <w:ind w:left="0"/>
              <w:rPr>
                <w:sz w:val="18"/>
                <w:szCs w:val="18"/>
              </w:rPr>
            </w:pPr>
            <w:r w:rsidRPr="00CD3803">
              <w:rPr>
                <w:sz w:val="18"/>
                <w:szCs w:val="18"/>
              </w:rPr>
              <w:t>Zavedenie ERTMS na koridore č. IV B</w:t>
            </w:r>
            <w:r>
              <w:rPr>
                <w:sz w:val="18"/>
                <w:szCs w:val="18"/>
              </w:rPr>
              <w:t>ratislava</w:t>
            </w:r>
            <w:r w:rsidRPr="00CD3803">
              <w:rPr>
                <w:sz w:val="18"/>
                <w:szCs w:val="18"/>
              </w:rPr>
              <w:t xml:space="preserve"> – Nové Zámky – Štúrovo / Komárno</w:t>
            </w:r>
            <w:r>
              <w:rPr>
                <w:sz w:val="18"/>
                <w:szCs w:val="18"/>
              </w:rPr>
              <w:t xml:space="preserve"> </w:t>
            </w:r>
            <w:r w:rsidRPr="00CD3803">
              <w:rPr>
                <w:sz w:val="18"/>
                <w:szCs w:val="18"/>
              </w:rPr>
              <w:t>(ETCS L2 + GSM R)</w:t>
            </w:r>
          </w:p>
        </w:tc>
        <w:tc>
          <w:tcPr>
            <w:tcW w:w="2100" w:type="dxa"/>
            <w:shd w:val="clear" w:color="auto" w:fill="FFFFCC"/>
            <w:vAlign w:val="center"/>
          </w:tcPr>
          <w:p w:rsidR="006A289D" w:rsidRPr="00A043E8" w:rsidRDefault="006A289D" w:rsidP="009553A0">
            <w:pPr>
              <w:ind w:left="0"/>
              <w:jc w:val="center"/>
              <w:rPr>
                <w:color w:val="000000"/>
                <w:sz w:val="18"/>
                <w:szCs w:val="18"/>
              </w:rPr>
            </w:pPr>
            <w:r>
              <w:rPr>
                <w:color w:val="000000"/>
                <w:sz w:val="18"/>
                <w:szCs w:val="18"/>
              </w:rPr>
              <w:t>2019, 2Q</w:t>
            </w:r>
          </w:p>
        </w:tc>
        <w:tc>
          <w:tcPr>
            <w:tcW w:w="1843" w:type="dxa"/>
            <w:shd w:val="clear" w:color="auto" w:fill="FFFFCC"/>
            <w:vAlign w:val="center"/>
          </w:tcPr>
          <w:p w:rsidR="006A289D" w:rsidRPr="00A043E8" w:rsidRDefault="006A289D" w:rsidP="009553A0">
            <w:pPr>
              <w:ind w:left="0"/>
              <w:jc w:val="center"/>
              <w:rPr>
                <w:color w:val="000000"/>
                <w:sz w:val="18"/>
                <w:szCs w:val="18"/>
              </w:rPr>
            </w:pPr>
            <w:r>
              <w:rPr>
                <w:color w:val="000000"/>
                <w:sz w:val="18"/>
                <w:szCs w:val="18"/>
              </w:rPr>
              <w:t>2019, 2Q</w:t>
            </w:r>
          </w:p>
        </w:tc>
        <w:tc>
          <w:tcPr>
            <w:tcW w:w="1984" w:type="dxa"/>
            <w:shd w:val="clear" w:color="auto" w:fill="FFFFCC"/>
            <w:vAlign w:val="center"/>
          </w:tcPr>
          <w:p w:rsidR="006A289D" w:rsidRPr="00A043E8" w:rsidRDefault="006A289D" w:rsidP="009553A0">
            <w:pPr>
              <w:ind w:left="0"/>
              <w:jc w:val="center"/>
              <w:rPr>
                <w:color w:val="000000"/>
                <w:sz w:val="18"/>
                <w:szCs w:val="18"/>
              </w:rPr>
            </w:pPr>
            <w:r>
              <w:rPr>
                <w:color w:val="000000"/>
                <w:sz w:val="18"/>
                <w:szCs w:val="18"/>
              </w:rPr>
              <w:t>2022, 4Q</w:t>
            </w:r>
          </w:p>
        </w:tc>
        <w:tc>
          <w:tcPr>
            <w:tcW w:w="1729" w:type="dxa"/>
            <w:shd w:val="clear" w:color="auto" w:fill="FFFFCC"/>
            <w:vAlign w:val="center"/>
          </w:tcPr>
          <w:p w:rsidR="006A289D" w:rsidRPr="00A043E8" w:rsidRDefault="005964B2" w:rsidP="009553A0">
            <w:pPr>
              <w:ind w:left="0"/>
              <w:jc w:val="center"/>
              <w:rPr>
                <w:sz w:val="18"/>
                <w:szCs w:val="18"/>
              </w:rPr>
            </w:pPr>
            <w:r>
              <w:rPr>
                <w:sz w:val="18"/>
                <w:szCs w:val="18"/>
              </w:rPr>
              <w:t>Prioritná os 5/IP 7c)</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sz w:val="18"/>
                <w:szCs w:val="18"/>
              </w:rPr>
            </w:pPr>
            <w:r w:rsidRPr="00CD3803">
              <w:rPr>
                <w:sz w:val="18"/>
                <w:szCs w:val="18"/>
              </w:rPr>
              <w:t>R2 Mníchova Lehota – Ruskovce</w:t>
            </w:r>
          </w:p>
        </w:tc>
        <w:tc>
          <w:tcPr>
            <w:tcW w:w="2100"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6, 1Q</w:t>
            </w:r>
          </w:p>
        </w:tc>
        <w:tc>
          <w:tcPr>
            <w:tcW w:w="1843"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6, 1Q</w:t>
            </w:r>
          </w:p>
        </w:tc>
        <w:tc>
          <w:tcPr>
            <w:tcW w:w="1984"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9, 4Q</w:t>
            </w:r>
          </w:p>
        </w:tc>
        <w:tc>
          <w:tcPr>
            <w:tcW w:w="1729" w:type="dxa"/>
            <w:vAlign w:val="center"/>
          </w:tcPr>
          <w:p w:rsidR="006A289D" w:rsidRPr="00A043E8" w:rsidRDefault="005964B2" w:rsidP="005964B2">
            <w:pPr>
              <w:ind w:left="0"/>
              <w:jc w:val="center"/>
              <w:rPr>
                <w:sz w:val="18"/>
                <w:szCs w:val="18"/>
              </w:rPr>
            </w:pPr>
            <w:r>
              <w:rPr>
                <w:sz w:val="18"/>
                <w:szCs w:val="18"/>
              </w:rPr>
              <w:t>Prioritná os 6/IP 7b)</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sz w:val="18"/>
                <w:szCs w:val="18"/>
              </w:rPr>
            </w:pPr>
            <w:r w:rsidRPr="00CD3803">
              <w:rPr>
                <w:sz w:val="18"/>
                <w:szCs w:val="18"/>
              </w:rPr>
              <w:t>R2 Rožňava – Jablonov nad Turňou (Soroška)</w:t>
            </w:r>
          </w:p>
        </w:tc>
        <w:tc>
          <w:tcPr>
            <w:tcW w:w="2100"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6, 4Q</w:t>
            </w:r>
          </w:p>
        </w:tc>
        <w:tc>
          <w:tcPr>
            <w:tcW w:w="1843"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6, 4Q</w:t>
            </w:r>
          </w:p>
        </w:tc>
        <w:tc>
          <w:tcPr>
            <w:tcW w:w="1984" w:type="dxa"/>
            <w:vAlign w:val="center"/>
          </w:tcPr>
          <w:p w:rsidR="006A289D" w:rsidRPr="00D10764" w:rsidRDefault="006A289D" w:rsidP="009553A0">
            <w:pPr>
              <w:ind w:left="0"/>
              <w:jc w:val="center"/>
              <w:rPr>
                <w:color w:val="000000"/>
                <w:sz w:val="18"/>
                <w:szCs w:val="18"/>
              </w:rPr>
            </w:pPr>
            <w:r w:rsidRPr="00D10764">
              <w:rPr>
                <w:color w:val="000000"/>
                <w:sz w:val="18"/>
                <w:szCs w:val="18"/>
              </w:rPr>
              <w:t>20</w:t>
            </w:r>
            <w:r>
              <w:rPr>
                <w:color w:val="000000"/>
                <w:sz w:val="18"/>
                <w:szCs w:val="18"/>
              </w:rPr>
              <w:t>21, 2Q</w:t>
            </w:r>
          </w:p>
        </w:tc>
        <w:tc>
          <w:tcPr>
            <w:tcW w:w="1729" w:type="dxa"/>
            <w:vAlign w:val="center"/>
          </w:tcPr>
          <w:p w:rsidR="006A289D" w:rsidRPr="00A043E8" w:rsidRDefault="005964B2" w:rsidP="009553A0">
            <w:pPr>
              <w:ind w:left="0"/>
              <w:jc w:val="center"/>
              <w:rPr>
                <w:sz w:val="18"/>
                <w:szCs w:val="18"/>
              </w:rPr>
            </w:pPr>
            <w:r>
              <w:rPr>
                <w:sz w:val="18"/>
                <w:szCs w:val="18"/>
              </w:rPr>
              <w:t>Prioritná os 6/IP 7b)</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sz w:val="18"/>
                <w:szCs w:val="18"/>
              </w:rPr>
            </w:pPr>
            <w:r w:rsidRPr="00CD3803">
              <w:rPr>
                <w:sz w:val="18"/>
                <w:szCs w:val="18"/>
              </w:rPr>
              <w:t>R2 Košice, Šaca – Košické Oľšany</w:t>
            </w:r>
          </w:p>
        </w:tc>
        <w:tc>
          <w:tcPr>
            <w:tcW w:w="2100"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7, 4Q</w:t>
            </w:r>
          </w:p>
        </w:tc>
        <w:tc>
          <w:tcPr>
            <w:tcW w:w="1843" w:type="dxa"/>
            <w:vAlign w:val="center"/>
          </w:tcPr>
          <w:p w:rsidR="006A289D" w:rsidRPr="00D10764" w:rsidRDefault="006A289D" w:rsidP="009553A0">
            <w:pPr>
              <w:ind w:left="0"/>
              <w:jc w:val="center"/>
              <w:rPr>
                <w:color w:val="000000"/>
                <w:sz w:val="18"/>
                <w:szCs w:val="18"/>
              </w:rPr>
            </w:pPr>
            <w:r w:rsidRPr="00D10764">
              <w:rPr>
                <w:color w:val="000000"/>
                <w:sz w:val="18"/>
                <w:szCs w:val="18"/>
              </w:rPr>
              <w:t>201</w:t>
            </w:r>
            <w:r>
              <w:rPr>
                <w:color w:val="000000"/>
                <w:sz w:val="18"/>
                <w:szCs w:val="18"/>
              </w:rPr>
              <w:t>7, 4Q</w:t>
            </w:r>
          </w:p>
        </w:tc>
        <w:tc>
          <w:tcPr>
            <w:tcW w:w="1984" w:type="dxa"/>
            <w:vAlign w:val="center"/>
          </w:tcPr>
          <w:p w:rsidR="006A289D" w:rsidRPr="00D10764" w:rsidRDefault="006A289D" w:rsidP="009553A0">
            <w:pPr>
              <w:ind w:left="0"/>
              <w:jc w:val="center"/>
              <w:rPr>
                <w:color w:val="000000"/>
                <w:sz w:val="18"/>
                <w:szCs w:val="18"/>
              </w:rPr>
            </w:pPr>
            <w:r>
              <w:rPr>
                <w:color w:val="000000"/>
                <w:sz w:val="18"/>
                <w:szCs w:val="18"/>
              </w:rPr>
              <w:t>2020, 2Q</w:t>
            </w:r>
          </w:p>
        </w:tc>
        <w:tc>
          <w:tcPr>
            <w:tcW w:w="1729" w:type="dxa"/>
            <w:vAlign w:val="center"/>
          </w:tcPr>
          <w:p w:rsidR="006A289D" w:rsidRPr="00A043E8" w:rsidRDefault="005964B2" w:rsidP="009553A0">
            <w:pPr>
              <w:ind w:left="0"/>
              <w:jc w:val="center"/>
              <w:rPr>
                <w:sz w:val="18"/>
                <w:szCs w:val="18"/>
              </w:rPr>
            </w:pPr>
            <w:r>
              <w:rPr>
                <w:sz w:val="18"/>
                <w:szCs w:val="18"/>
              </w:rPr>
              <w:t>Prioritná os 6/IP 7b)</w:t>
            </w:r>
          </w:p>
        </w:tc>
      </w:tr>
      <w:tr w:rsidR="006A289D" w:rsidRPr="00B02869" w:rsidTr="00A127CB">
        <w:trPr>
          <w:trHeight w:val="284"/>
          <w:jc w:val="center"/>
        </w:trPr>
        <w:tc>
          <w:tcPr>
            <w:tcW w:w="6747" w:type="dxa"/>
            <w:shd w:val="clear" w:color="auto" w:fill="auto"/>
            <w:vAlign w:val="center"/>
          </w:tcPr>
          <w:p w:rsidR="006A289D" w:rsidRPr="00CD3803" w:rsidRDefault="006A289D" w:rsidP="009553A0">
            <w:pPr>
              <w:ind w:left="0"/>
              <w:rPr>
                <w:color w:val="000000"/>
                <w:sz w:val="18"/>
                <w:szCs w:val="18"/>
              </w:rPr>
            </w:pPr>
            <w:r w:rsidRPr="00CD3803">
              <w:rPr>
                <w:color w:val="000000"/>
                <w:sz w:val="18"/>
                <w:szCs w:val="18"/>
              </w:rPr>
              <w:t xml:space="preserve">I/18 Nižný Hrabovec </w:t>
            </w:r>
            <w:r w:rsidRPr="00CD3803">
              <w:rPr>
                <w:sz w:val="18"/>
                <w:szCs w:val="18"/>
              </w:rPr>
              <w:t>–</w:t>
            </w:r>
            <w:r w:rsidRPr="00CD3803">
              <w:rPr>
                <w:color w:val="000000"/>
                <w:sz w:val="18"/>
                <w:szCs w:val="18"/>
              </w:rPr>
              <w:t xml:space="preserve"> Petrovce nad Laborcom, preložka</w:t>
            </w:r>
          </w:p>
        </w:tc>
        <w:tc>
          <w:tcPr>
            <w:tcW w:w="2100" w:type="dxa"/>
            <w:vAlign w:val="center"/>
          </w:tcPr>
          <w:p w:rsidR="006A289D" w:rsidRPr="00D10764" w:rsidRDefault="006A289D" w:rsidP="009553A0">
            <w:pPr>
              <w:ind w:left="0"/>
              <w:jc w:val="center"/>
              <w:rPr>
                <w:color w:val="000000"/>
                <w:sz w:val="18"/>
                <w:szCs w:val="18"/>
              </w:rPr>
            </w:pPr>
            <w:r w:rsidRPr="00D10764">
              <w:rPr>
                <w:color w:val="000000"/>
                <w:sz w:val="18"/>
                <w:szCs w:val="18"/>
              </w:rPr>
              <w:t>2016</w:t>
            </w:r>
          </w:p>
        </w:tc>
        <w:tc>
          <w:tcPr>
            <w:tcW w:w="1843" w:type="dxa"/>
            <w:vAlign w:val="center"/>
          </w:tcPr>
          <w:p w:rsidR="006A289D" w:rsidRPr="00D10764" w:rsidRDefault="006A289D" w:rsidP="009553A0">
            <w:pPr>
              <w:ind w:left="0"/>
              <w:jc w:val="center"/>
              <w:rPr>
                <w:color w:val="000000"/>
                <w:sz w:val="18"/>
                <w:szCs w:val="18"/>
              </w:rPr>
            </w:pPr>
            <w:r w:rsidRPr="00D10764">
              <w:rPr>
                <w:color w:val="000000"/>
                <w:sz w:val="18"/>
                <w:szCs w:val="18"/>
              </w:rPr>
              <w:t>2016</w:t>
            </w:r>
          </w:p>
        </w:tc>
        <w:tc>
          <w:tcPr>
            <w:tcW w:w="1984" w:type="dxa"/>
            <w:vAlign w:val="center"/>
          </w:tcPr>
          <w:p w:rsidR="006A289D" w:rsidRPr="00D10764" w:rsidRDefault="006A289D" w:rsidP="009553A0">
            <w:pPr>
              <w:ind w:left="0"/>
              <w:jc w:val="center"/>
              <w:rPr>
                <w:color w:val="000000"/>
                <w:sz w:val="18"/>
                <w:szCs w:val="18"/>
              </w:rPr>
            </w:pPr>
            <w:r w:rsidRPr="00D10764">
              <w:rPr>
                <w:color w:val="000000"/>
                <w:sz w:val="18"/>
                <w:szCs w:val="18"/>
              </w:rPr>
              <w:t>2018</w:t>
            </w:r>
          </w:p>
        </w:tc>
        <w:tc>
          <w:tcPr>
            <w:tcW w:w="1729" w:type="dxa"/>
            <w:vAlign w:val="center"/>
          </w:tcPr>
          <w:p w:rsidR="006A289D" w:rsidRPr="00A043E8" w:rsidRDefault="005964B2" w:rsidP="009553A0">
            <w:pPr>
              <w:ind w:left="0"/>
              <w:jc w:val="center"/>
              <w:rPr>
                <w:color w:val="000000"/>
                <w:sz w:val="18"/>
                <w:szCs w:val="18"/>
              </w:rPr>
            </w:pPr>
            <w:r>
              <w:rPr>
                <w:sz w:val="18"/>
                <w:szCs w:val="18"/>
              </w:rPr>
              <w:t>Prioritná os 6/IP 7b)</w:t>
            </w:r>
          </w:p>
        </w:tc>
      </w:tr>
      <w:tr w:rsidR="006A289D" w:rsidRPr="00B02869" w:rsidTr="00A127CB">
        <w:trPr>
          <w:trHeight w:val="284"/>
          <w:jc w:val="center"/>
        </w:trPr>
        <w:tc>
          <w:tcPr>
            <w:tcW w:w="6747" w:type="dxa"/>
            <w:shd w:val="clear" w:color="auto" w:fill="FFFFCC"/>
            <w:vAlign w:val="center"/>
          </w:tcPr>
          <w:p w:rsidR="006A289D" w:rsidRPr="00B02869" w:rsidRDefault="006A289D" w:rsidP="009553A0">
            <w:pPr>
              <w:ind w:left="0"/>
              <w:rPr>
                <w:sz w:val="18"/>
                <w:szCs w:val="18"/>
              </w:rPr>
            </w:pPr>
            <w:r>
              <w:rPr>
                <w:sz w:val="18"/>
                <w:szCs w:val="18"/>
              </w:rPr>
              <w:t>Rozvoj širokopásmového pripojenia 1. fáza</w:t>
            </w:r>
          </w:p>
        </w:tc>
        <w:tc>
          <w:tcPr>
            <w:tcW w:w="2100" w:type="dxa"/>
            <w:shd w:val="clear" w:color="auto" w:fill="FFFFCC"/>
            <w:vAlign w:val="center"/>
          </w:tcPr>
          <w:p w:rsidR="006A289D" w:rsidRPr="00A043E8" w:rsidRDefault="006A289D" w:rsidP="009553A0">
            <w:pPr>
              <w:ind w:left="0"/>
              <w:jc w:val="center"/>
              <w:rPr>
                <w:sz w:val="18"/>
                <w:szCs w:val="18"/>
              </w:rPr>
            </w:pPr>
            <w:r w:rsidRPr="00A043E8">
              <w:rPr>
                <w:sz w:val="18"/>
                <w:szCs w:val="18"/>
              </w:rPr>
              <w:t>2014, 4Q</w:t>
            </w:r>
          </w:p>
        </w:tc>
        <w:tc>
          <w:tcPr>
            <w:tcW w:w="1843" w:type="dxa"/>
            <w:shd w:val="clear" w:color="auto" w:fill="FFFFCC"/>
            <w:vAlign w:val="center"/>
          </w:tcPr>
          <w:p w:rsidR="006A289D" w:rsidRPr="00A043E8" w:rsidRDefault="006A289D" w:rsidP="009553A0">
            <w:pPr>
              <w:ind w:left="0"/>
              <w:jc w:val="center"/>
              <w:rPr>
                <w:sz w:val="18"/>
                <w:szCs w:val="18"/>
              </w:rPr>
            </w:pPr>
            <w:r w:rsidRPr="00A043E8">
              <w:rPr>
                <w:sz w:val="18"/>
                <w:szCs w:val="18"/>
              </w:rPr>
              <w:t>2014, 4Q</w:t>
            </w:r>
          </w:p>
        </w:tc>
        <w:tc>
          <w:tcPr>
            <w:tcW w:w="1984" w:type="dxa"/>
            <w:shd w:val="clear" w:color="auto" w:fill="FFFFCC"/>
            <w:vAlign w:val="center"/>
          </w:tcPr>
          <w:p w:rsidR="006A289D" w:rsidRPr="00A043E8" w:rsidRDefault="006A289D" w:rsidP="009553A0">
            <w:pPr>
              <w:ind w:left="0"/>
              <w:jc w:val="center"/>
              <w:rPr>
                <w:sz w:val="18"/>
                <w:szCs w:val="18"/>
              </w:rPr>
            </w:pPr>
            <w:r w:rsidRPr="00A043E8">
              <w:rPr>
                <w:sz w:val="18"/>
                <w:szCs w:val="18"/>
              </w:rPr>
              <w:t>2015, 4Q</w:t>
            </w:r>
          </w:p>
        </w:tc>
        <w:tc>
          <w:tcPr>
            <w:tcW w:w="1729" w:type="dxa"/>
            <w:shd w:val="clear" w:color="auto" w:fill="FFFFCC"/>
            <w:vAlign w:val="center"/>
          </w:tcPr>
          <w:p w:rsidR="00E92F9B" w:rsidRDefault="00F07429">
            <w:pPr>
              <w:ind w:left="0"/>
              <w:rPr>
                <w:sz w:val="18"/>
                <w:szCs w:val="18"/>
              </w:rPr>
            </w:pPr>
            <w:r>
              <w:rPr>
                <w:sz w:val="18"/>
                <w:szCs w:val="18"/>
              </w:rPr>
              <w:t xml:space="preserve"> Prioritná os 7/</w:t>
            </w:r>
            <w:r w:rsidR="006A289D" w:rsidRPr="00A043E8">
              <w:rPr>
                <w:sz w:val="18"/>
                <w:szCs w:val="18"/>
              </w:rPr>
              <w:t>IP</w:t>
            </w:r>
            <w:r>
              <w:rPr>
                <w:sz w:val="18"/>
                <w:szCs w:val="18"/>
              </w:rPr>
              <w:t>2a)</w:t>
            </w:r>
          </w:p>
        </w:tc>
      </w:tr>
      <w:tr w:rsidR="006A289D" w:rsidRPr="00B02869" w:rsidTr="00A127CB">
        <w:trPr>
          <w:trHeight w:val="284"/>
          <w:jc w:val="center"/>
        </w:trPr>
        <w:tc>
          <w:tcPr>
            <w:tcW w:w="6747" w:type="dxa"/>
            <w:shd w:val="clear" w:color="auto" w:fill="FFFFCC"/>
            <w:vAlign w:val="center"/>
          </w:tcPr>
          <w:p w:rsidR="006A289D" w:rsidRPr="00B02869" w:rsidRDefault="006A289D" w:rsidP="009553A0">
            <w:pPr>
              <w:ind w:left="0"/>
              <w:rPr>
                <w:sz w:val="18"/>
                <w:szCs w:val="18"/>
              </w:rPr>
            </w:pPr>
            <w:r>
              <w:rPr>
                <w:sz w:val="18"/>
                <w:szCs w:val="18"/>
              </w:rPr>
              <w:t>Rozvoj širokopásmového pripojenia 2. fáza</w:t>
            </w:r>
          </w:p>
        </w:tc>
        <w:tc>
          <w:tcPr>
            <w:tcW w:w="2100" w:type="dxa"/>
            <w:shd w:val="clear" w:color="auto" w:fill="FFFFCC"/>
            <w:vAlign w:val="center"/>
          </w:tcPr>
          <w:p w:rsidR="006A289D" w:rsidRPr="00A043E8" w:rsidRDefault="006A289D" w:rsidP="009553A0">
            <w:pPr>
              <w:ind w:left="0"/>
              <w:jc w:val="center"/>
              <w:rPr>
                <w:sz w:val="18"/>
                <w:szCs w:val="18"/>
              </w:rPr>
            </w:pPr>
            <w:r w:rsidRPr="00A043E8">
              <w:rPr>
                <w:sz w:val="18"/>
                <w:szCs w:val="18"/>
              </w:rPr>
              <w:t>2016, 1Q</w:t>
            </w:r>
          </w:p>
        </w:tc>
        <w:tc>
          <w:tcPr>
            <w:tcW w:w="1843" w:type="dxa"/>
            <w:shd w:val="clear" w:color="auto" w:fill="FFFFCC"/>
            <w:vAlign w:val="center"/>
          </w:tcPr>
          <w:p w:rsidR="006A289D" w:rsidRPr="00A043E8" w:rsidRDefault="006A289D" w:rsidP="009553A0">
            <w:pPr>
              <w:ind w:left="0"/>
              <w:jc w:val="center"/>
              <w:rPr>
                <w:sz w:val="18"/>
                <w:szCs w:val="18"/>
              </w:rPr>
            </w:pPr>
            <w:r w:rsidRPr="00A043E8">
              <w:rPr>
                <w:sz w:val="18"/>
                <w:szCs w:val="18"/>
              </w:rPr>
              <w:t>2016, 1Q</w:t>
            </w:r>
          </w:p>
        </w:tc>
        <w:tc>
          <w:tcPr>
            <w:tcW w:w="1984" w:type="dxa"/>
            <w:shd w:val="clear" w:color="auto" w:fill="FFFFCC"/>
            <w:vAlign w:val="center"/>
          </w:tcPr>
          <w:p w:rsidR="006A289D" w:rsidRPr="00A043E8" w:rsidRDefault="006A289D" w:rsidP="009553A0">
            <w:pPr>
              <w:ind w:left="0"/>
              <w:jc w:val="center"/>
              <w:rPr>
                <w:sz w:val="18"/>
                <w:szCs w:val="18"/>
              </w:rPr>
            </w:pPr>
            <w:r w:rsidRPr="00A043E8">
              <w:rPr>
                <w:sz w:val="18"/>
                <w:szCs w:val="18"/>
              </w:rPr>
              <w:t>2023, 4Q</w:t>
            </w:r>
          </w:p>
        </w:tc>
        <w:tc>
          <w:tcPr>
            <w:tcW w:w="1729" w:type="dxa"/>
            <w:shd w:val="clear" w:color="auto" w:fill="FFFFCC"/>
            <w:vAlign w:val="center"/>
          </w:tcPr>
          <w:p w:rsidR="006A289D" w:rsidRPr="00A043E8" w:rsidRDefault="00F07429" w:rsidP="009553A0">
            <w:pPr>
              <w:ind w:left="0"/>
              <w:jc w:val="center"/>
              <w:rPr>
                <w:sz w:val="18"/>
                <w:szCs w:val="18"/>
              </w:rPr>
            </w:pPr>
            <w:r>
              <w:rPr>
                <w:sz w:val="18"/>
                <w:szCs w:val="18"/>
              </w:rPr>
              <w:t>Prioritná os 7/</w:t>
            </w:r>
            <w:r w:rsidRPr="00A043E8">
              <w:rPr>
                <w:sz w:val="18"/>
                <w:szCs w:val="18"/>
              </w:rPr>
              <w:t>IP</w:t>
            </w:r>
            <w:r>
              <w:rPr>
                <w:sz w:val="18"/>
                <w:szCs w:val="18"/>
              </w:rPr>
              <w:t>2a)</w:t>
            </w:r>
          </w:p>
        </w:tc>
      </w:tr>
    </w:tbl>
    <w:p w:rsidR="00F83068" w:rsidRDefault="00F83068" w:rsidP="00F83068">
      <w:pPr>
        <w:pStyle w:val="Nadpis2"/>
        <w:rPr>
          <w:lang w:eastAsia="cs-CZ"/>
        </w:rPr>
        <w:sectPr w:rsidR="00F83068" w:rsidSect="00ED5953">
          <w:headerReference w:type="default" r:id="rId59"/>
          <w:footerReference w:type="default" r:id="rId60"/>
          <w:pgSz w:w="16838" w:h="11906" w:orient="landscape" w:code="9"/>
          <w:pgMar w:top="2041" w:right="1304" w:bottom="1474" w:left="1304" w:header="1474" w:footer="709" w:gutter="0"/>
          <w:cols w:space="708"/>
          <w:docGrid w:linePitch="360"/>
        </w:sectPr>
      </w:pPr>
    </w:p>
    <w:p w:rsidR="00F83068" w:rsidRDefault="00F83068" w:rsidP="00F83068">
      <w:pPr>
        <w:pStyle w:val="Nadpis2"/>
        <w:rPr>
          <w:lang w:eastAsia="cs-CZ"/>
        </w:rPr>
      </w:pPr>
      <w:bookmarkStart w:id="178" w:name="_Toc385310775"/>
      <w:r>
        <w:rPr>
          <w:lang w:eastAsia="cs-CZ"/>
        </w:rPr>
        <w:lastRenderedPageBreak/>
        <w:t>Výkonnostný rámec</w:t>
      </w:r>
      <w:bookmarkEnd w:id="178"/>
    </w:p>
    <w:p w:rsidR="00F83068" w:rsidRPr="00F83068" w:rsidRDefault="00F83068" w:rsidP="00F83068">
      <w:pPr>
        <w:pStyle w:val="Tab"/>
      </w:pPr>
      <w:r>
        <w:t>Výkonnostný rámec</w:t>
      </w:r>
    </w:p>
    <w:tbl>
      <w:tblPr>
        <w:tblStyle w:val="Mriekatabuky"/>
        <w:tblW w:w="929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1301"/>
        <w:gridCol w:w="866"/>
        <w:gridCol w:w="1058"/>
        <w:gridCol w:w="2022"/>
        <w:gridCol w:w="1251"/>
        <w:gridCol w:w="1437"/>
        <w:gridCol w:w="1364"/>
      </w:tblGrid>
      <w:tr w:rsidR="00F83068" w:rsidTr="00A127CB">
        <w:trPr>
          <w:trHeight w:val="284"/>
        </w:trPr>
        <w:tc>
          <w:tcPr>
            <w:tcW w:w="1301" w:type="dxa"/>
            <w:shd w:val="clear" w:color="auto" w:fill="C6D9F1" w:themeFill="text2" w:themeFillTint="33"/>
            <w:vAlign w:val="center"/>
          </w:tcPr>
          <w:p w:rsidR="00F83068" w:rsidRPr="00F83068" w:rsidRDefault="00F83068" w:rsidP="00A127CB">
            <w:pPr>
              <w:ind w:left="0"/>
              <w:jc w:val="center"/>
              <w:rPr>
                <w:b/>
                <w:sz w:val="18"/>
                <w:szCs w:val="18"/>
              </w:rPr>
            </w:pPr>
            <w:r w:rsidRPr="00F83068">
              <w:rPr>
                <w:b/>
                <w:sz w:val="18"/>
                <w:szCs w:val="18"/>
              </w:rPr>
              <w:t>Prioritná os</w:t>
            </w:r>
          </w:p>
        </w:tc>
        <w:tc>
          <w:tcPr>
            <w:tcW w:w="866" w:type="dxa"/>
            <w:shd w:val="clear" w:color="auto" w:fill="C6D9F1" w:themeFill="text2" w:themeFillTint="33"/>
            <w:vAlign w:val="center"/>
          </w:tcPr>
          <w:p w:rsidR="00F83068" w:rsidRPr="00F83068" w:rsidRDefault="00F83068" w:rsidP="00A127CB">
            <w:pPr>
              <w:ind w:left="0"/>
              <w:jc w:val="center"/>
              <w:rPr>
                <w:b/>
                <w:sz w:val="18"/>
                <w:szCs w:val="18"/>
              </w:rPr>
            </w:pPr>
            <w:r w:rsidRPr="00F83068">
              <w:rPr>
                <w:b/>
                <w:sz w:val="18"/>
                <w:szCs w:val="18"/>
              </w:rPr>
              <w:t>Fond</w:t>
            </w:r>
          </w:p>
        </w:tc>
        <w:tc>
          <w:tcPr>
            <w:tcW w:w="1058" w:type="dxa"/>
            <w:shd w:val="clear" w:color="auto" w:fill="C6D9F1" w:themeFill="text2" w:themeFillTint="33"/>
            <w:vAlign w:val="center"/>
          </w:tcPr>
          <w:p w:rsidR="00F83068" w:rsidRPr="00F83068" w:rsidRDefault="00F83068" w:rsidP="00A127CB">
            <w:pPr>
              <w:ind w:left="0"/>
              <w:jc w:val="center"/>
              <w:rPr>
                <w:b/>
                <w:sz w:val="18"/>
                <w:szCs w:val="18"/>
              </w:rPr>
            </w:pPr>
            <w:r w:rsidRPr="00F83068">
              <w:rPr>
                <w:b/>
                <w:sz w:val="18"/>
                <w:szCs w:val="18"/>
              </w:rPr>
              <w:t>Kategória regiónov</w:t>
            </w:r>
          </w:p>
        </w:tc>
        <w:tc>
          <w:tcPr>
            <w:tcW w:w="2022" w:type="dxa"/>
            <w:shd w:val="clear" w:color="auto" w:fill="C6D9F1" w:themeFill="text2" w:themeFillTint="33"/>
            <w:vAlign w:val="center"/>
          </w:tcPr>
          <w:p w:rsidR="00F83068" w:rsidRPr="00F83068" w:rsidRDefault="00F83068" w:rsidP="00A127CB">
            <w:pPr>
              <w:ind w:left="0"/>
              <w:jc w:val="center"/>
              <w:rPr>
                <w:b/>
                <w:sz w:val="18"/>
                <w:szCs w:val="18"/>
              </w:rPr>
            </w:pPr>
            <w:r w:rsidRPr="00F83068">
              <w:rPr>
                <w:b/>
                <w:sz w:val="18"/>
                <w:szCs w:val="18"/>
              </w:rPr>
              <w:t>Fáza implementácie, finančný ukazovateľ, ukazovateľ výstupu</w:t>
            </w:r>
          </w:p>
        </w:tc>
        <w:tc>
          <w:tcPr>
            <w:tcW w:w="1251" w:type="dxa"/>
            <w:shd w:val="clear" w:color="auto" w:fill="C6D9F1" w:themeFill="text2" w:themeFillTint="33"/>
            <w:vAlign w:val="center"/>
          </w:tcPr>
          <w:p w:rsidR="00F83068" w:rsidRPr="00F83068" w:rsidRDefault="00F83068" w:rsidP="00A127CB">
            <w:pPr>
              <w:ind w:left="0"/>
              <w:jc w:val="center"/>
              <w:rPr>
                <w:b/>
                <w:sz w:val="18"/>
                <w:szCs w:val="18"/>
              </w:rPr>
            </w:pPr>
            <w:r w:rsidRPr="00F83068">
              <w:rPr>
                <w:b/>
                <w:sz w:val="18"/>
                <w:szCs w:val="18"/>
              </w:rPr>
              <w:t>Merná jednotka</w:t>
            </w:r>
          </w:p>
        </w:tc>
        <w:tc>
          <w:tcPr>
            <w:tcW w:w="1437" w:type="dxa"/>
            <w:shd w:val="clear" w:color="auto" w:fill="C6D9F1" w:themeFill="text2" w:themeFillTint="33"/>
            <w:vAlign w:val="center"/>
          </w:tcPr>
          <w:p w:rsidR="00F83068" w:rsidRPr="00F83068" w:rsidRDefault="00F83068" w:rsidP="00A127CB">
            <w:pPr>
              <w:ind w:left="0"/>
              <w:jc w:val="center"/>
              <w:rPr>
                <w:b/>
                <w:sz w:val="18"/>
                <w:szCs w:val="18"/>
              </w:rPr>
            </w:pPr>
            <w:r w:rsidRPr="00F83068">
              <w:rPr>
                <w:b/>
                <w:sz w:val="18"/>
                <w:szCs w:val="18"/>
              </w:rPr>
              <w:t>Čiastkový cieľ pre rok</w:t>
            </w:r>
          </w:p>
          <w:p w:rsidR="00F83068" w:rsidRPr="00F83068" w:rsidRDefault="00F83068" w:rsidP="00A127CB">
            <w:pPr>
              <w:ind w:left="0"/>
              <w:jc w:val="center"/>
              <w:rPr>
                <w:b/>
                <w:sz w:val="18"/>
                <w:szCs w:val="18"/>
              </w:rPr>
            </w:pPr>
            <w:r w:rsidRPr="00F83068">
              <w:rPr>
                <w:b/>
                <w:sz w:val="18"/>
                <w:szCs w:val="18"/>
              </w:rPr>
              <w:t>2018</w:t>
            </w:r>
          </w:p>
        </w:tc>
        <w:tc>
          <w:tcPr>
            <w:tcW w:w="1364" w:type="dxa"/>
            <w:shd w:val="clear" w:color="auto" w:fill="C6D9F1" w:themeFill="text2" w:themeFillTint="33"/>
            <w:vAlign w:val="center"/>
          </w:tcPr>
          <w:p w:rsidR="00F83068" w:rsidRPr="00F83068" w:rsidRDefault="00F83068" w:rsidP="00A127CB">
            <w:pPr>
              <w:ind w:left="0"/>
              <w:jc w:val="center"/>
              <w:rPr>
                <w:b/>
                <w:sz w:val="18"/>
                <w:szCs w:val="18"/>
              </w:rPr>
            </w:pPr>
            <w:r w:rsidRPr="00F83068">
              <w:rPr>
                <w:b/>
                <w:sz w:val="18"/>
                <w:szCs w:val="18"/>
              </w:rPr>
              <w:t>Cieľová hodnota</w:t>
            </w:r>
          </w:p>
          <w:p w:rsidR="00F83068" w:rsidRPr="00F83068" w:rsidRDefault="00F83068" w:rsidP="00A127CB">
            <w:pPr>
              <w:ind w:left="0"/>
              <w:jc w:val="center"/>
              <w:rPr>
                <w:b/>
                <w:sz w:val="18"/>
                <w:szCs w:val="18"/>
              </w:rPr>
            </w:pPr>
            <w:r w:rsidRPr="00F83068">
              <w:rPr>
                <w:b/>
                <w:sz w:val="18"/>
                <w:szCs w:val="18"/>
              </w:rPr>
              <w:t>2023</w:t>
            </w: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Prioritná os 1</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KF</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N/A</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Počet VO na veľké projekty vyhlásených v súlade s aktualizovanou štúdiou realizovateľnosti príslušného koridoru</w:t>
            </w:r>
          </w:p>
        </w:tc>
        <w:tc>
          <w:tcPr>
            <w:tcW w:w="1251" w:type="dxa"/>
            <w:shd w:val="clear" w:color="auto" w:fill="auto"/>
            <w:vAlign w:val="center"/>
          </w:tcPr>
          <w:p w:rsidR="00F83068" w:rsidRPr="00F83068" w:rsidRDefault="00F83068" w:rsidP="009553A0">
            <w:pPr>
              <w:ind w:left="0"/>
              <w:jc w:val="center"/>
              <w:rPr>
                <w:i/>
                <w:sz w:val="18"/>
                <w:szCs w:val="18"/>
              </w:rPr>
            </w:pPr>
            <w:r w:rsidRPr="00F83068">
              <w:rPr>
                <w:i/>
                <w:sz w:val="18"/>
                <w:szCs w:val="18"/>
              </w:rPr>
              <w:t>počet</w:t>
            </w:r>
          </w:p>
        </w:tc>
        <w:tc>
          <w:tcPr>
            <w:tcW w:w="1437" w:type="dxa"/>
            <w:shd w:val="clear" w:color="auto" w:fill="auto"/>
            <w:vAlign w:val="center"/>
          </w:tcPr>
          <w:p w:rsidR="00F83068" w:rsidRPr="00F83068" w:rsidRDefault="00F83068" w:rsidP="009553A0">
            <w:pPr>
              <w:ind w:left="0"/>
              <w:jc w:val="center"/>
              <w:rPr>
                <w:i/>
                <w:sz w:val="18"/>
                <w:szCs w:val="18"/>
                <w:lang w:val="en-GB"/>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Prioritná os 1</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KF</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N/A</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Počet obnovených mobilných prostriedkov železničnej osobnej dopravy</w:t>
            </w:r>
          </w:p>
        </w:tc>
        <w:tc>
          <w:tcPr>
            <w:tcW w:w="1251" w:type="dxa"/>
            <w:shd w:val="clear" w:color="auto" w:fill="auto"/>
            <w:vAlign w:val="center"/>
          </w:tcPr>
          <w:p w:rsidR="00F83068" w:rsidRPr="00F83068" w:rsidRDefault="00F83068" w:rsidP="009553A0">
            <w:pPr>
              <w:ind w:left="0"/>
              <w:jc w:val="center"/>
              <w:rPr>
                <w:i/>
                <w:sz w:val="18"/>
                <w:szCs w:val="18"/>
              </w:rPr>
            </w:pPr>
            <w:r w:rsidRPr="00F83068">
              <w:rPr>
                <w:i/>
                <w:sz w:val="18"/>
                <w:szCs w:val="18"/>
              </w:rPr>
              <w:t>počet</w:t>
            </w:r>
          </w:p>
        </w:tc>
        <w:tc>
          <w:tcPr>
            <w:tcW w:w="1437" w:type="dxa"/>
            <w:shd w:val="clear" w:color="auto" w:fill="auto"/>
            <w:vAlign w:val="center"/>
          </w:tcPr>
          <w:p w:rsidR="00F83068" w:rsidRPr="00F83068" w:rsidRDefault="00F83068" w:rsidP="009553A0">
            <w:pPr>
              <w:ind w:left="0"/>
              <w:jc w:val="center"/>
              <w:rPr>
                <w:i/>
                <w:sz w:val="18"/>
                <w:szCs w:val="18"/>
                <w:lang w:val="en-GB"/>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Prioritná os 1</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KF</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N/A</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Celková suma oprávnených výdavkov po ich certifikácii zo strany Certifikačného orgánu</w:t>
            </w:r>
          </w:p>
        </w:tc>
        <w:tc>
          <w:tcPr>
            <w:tcW w:w="1251" w:type="dxa"/>
            <w:shd w:val="clear" w:color="auto" w:fill="auto"/>
            <w:vAlign w:val="center"/>
          </w:tcPr>
          <w:p w:rsidR="00F83068" w:rsidRPr="00F83068" w:rsidRDefault="00F83068" w:rsidP="009553A0">
            <w:pPr>
              <w:ind w:left="0"/>
              <w:jc w:val="center"/>
              <w:rPr>
                <w:i/>
                <w:sz w:val="18"/>
                <w:szCs w:val="18"/>
              </w:rPr>
            </w:pPr>
            <w:r>
              <w:rPr>
                <w:i/>
                <w:sz w:val="18"/>
                <w:szCs w:val="18"/>
              </w:rPr>
              <w:t>%</w:t>
            </w:r>
          </w:p>
        </w:tc>
        <w:tc>
          <w:tcPr>
            <w:tcW w:w="1437" w:type="dxa"/>
            <w:shd w:val="clear" w:color="auto" w:fill="auto"/>
            <w:vAlign w:val="center"/>
          </w:tcPr>
          <w:p w:rsidR="00F83068" w:rsidRPr="00F83068" w:rsidRDefault="00F83068" w:rsidP="00F83068">
            <w:pPr>
              <w:ind w:left="0"/>
              <w:jc w:val="center"/>
              <w:rPr>
                <w:i/>
                <w:sz w:val="18"/>
                <w:szCs w:val="18"/>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 xml:space="preserve">Prioritná os </w:t>
            </w:r>
            <w:r w:rsidR="006A289D">
              <w:rPr>
                <w:i/>
                <w:sz w:val="18"/>
                <w:szCs w:val="18"/>
              </w:rPr>
              <w:t>2</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KF</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N/A</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Celková dĺžka novovybudovaných ciest</w:t>
            </w:r>
          </w:p>
        </w:tc>
        <w:tc>
          <w:tcPr>
            <w:tcW w:w="1251" w:type="dxa"/>
            <w:shd w:val="clear" w:color="auto" w:fill="auto"/>
            <w:vAlign w:val="center"/>
          </w:tcPr>
          <w:p w:rsidR="00F83068" w:rsidRPr="00F83068" w:rsidRDefault="00F83068" w:rsidP="009553A0">
            <w:pPr>
              <w:ind w:left="0"/>
              <w:jc w:val="center"/>
              <w:rPr>
                <w:i/>
                <w:sz w:val="18"/>
                <w:szCs w:val="18"/>
              </w:rPr>
            </w:pPr>
            <w:r w:rsidRPr="00F83068">
              <w:rPr>
                <w:i/>
                <w:sz w:val="18"/>
                <w:szCs w:val="18"/>
              </w:rPr>
              <w:t>km</w:t>
            </w:r>
          </w:p>
        </w:tc>
        <w:tc>
          <w:tcPr>
            <w:tcW w:w="1437" w:type="dxa"/>
            <w:shd w:val="clear" w:color="auto" w:fill="auto"/>
            <w:vAlign w:val="center"/>
          </w:tcPr>
          <w:p w:rsidR="00F83068" w:rsidRPr="00F83068" w:rsidRDefault="00F83068" w:rsidP="009553A0">
            <w:pPr>
              <w:ind w:left="0"/>
              <w:jc w:val="center"/>
              <w:rPr>
                <w:i/>
                <w:sz w:val="18"/>
                <w:szCs w:val="18"/>
                <w:lang w:val="en-GB"/>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 xml:space="preserve">Prioritná os </w:t>
            </w:r>
            <w:r w:rsidR="006A289D">
              <w:rPr>
                <w:i/>
                <w:sz w:val="18"/>
                <w:szCs w:val="18"/>
              </w:rPr>
              <w:t>2</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KF</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N/A</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Celková suma oprávnených výdavkov po ich certifikácii zo strany Certifikačného orgánu</w:t>
            </w:r>
          </w:p>
        </w:tc>
        <w:tc>
          <w:tcPr>
            <w:tcW w:w="1251" w:type="dxa"/>
            <w:shd w:val="clear" w:color="auto" w:fill="auto"/>
            <w:vAlign w:val="center"/>
          </w:tcPr>
          <w:p w:rsidR="00F83068" w:rsidRPr="00F83068" w:rsidRDefault="00F83068" w:rsidP="009553A0">
            <w:pPr>
              <w:ind w:left="0"/>
              <w:jc w:val="center"/>
              <w:rPr>
                <w:i/>
                <w:sz w:val="18"/>
                <w:szCs w:val="18"/>
              </w:rPr>
            </w:pPr>
            <w:r>
              <w:rPr>
                <w:i/>
                <w:sz w:val="18"/>
                <w:szCs w:val="18"/>
              </w:rPr>
              <w:t>%</w:t>
            </w:r>
          </w:p>
        </w:tc>
        <w:tc>
          <w:tcPr>
            <w:tcW w:w="1437" w:type="dxa"/>
            <w:shd w:val="clear" w:color="auto" w:fill="auto"/>
            <w:vAlign w:val="center"/>
          </w:tcPr>
          <w:p w:rsidR="00F83068" w:rsidRPr="00F83068" w:rsidRDefault="00F83068" w:rsidP="009553A0">
            <w:pPr>
              <w:ind w:left="0"/>
              <w:jc w:val="center"/>
              <w:rPr>
                <w:i/>
                <w:sz w:val="18"/>
                <w:szCs w:val="18"/>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 xml:space="preserve">Prioritná os </w:t>
            </w:r>
            <w:r w:rsidR="006A289D">
              <w:rPr>
                <w:i/>
                <w:sz w:val="18"/>
                <w:szCs w:val="18"/>
              </w:rPr>
              <w:t>3</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KF</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N/A</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Celková dĺžka nových alebo zmodernizovaných tratí pre električky alebo metro</w:t>
            </w:r>
          </w:p>
        </w:tc>
        <w:tc>
          <w:tcPr>
            <w:tcW w:w="1251" w:type="dxa"/>
            <w:shd w:val="clear" w:color="auto" w:fill="auto"/>
            <w:vAlign w:val="center"/>
          </w:tcPr>
          <w:p w:rsidR="00F83068" w:rsidRPr="00F83068" w:rsidRDefault="00F83068" w:rsidP="009553A0">
            <w:pPr>
              <w:ind w:left="0"/>
              <w:jc w:val="center"/>
              <w:rPr>
                <w:i/>
                <w:sz w:val="18"/>
                <w:szCs w:val="18"/>
              </w:rPr>
            </w:pPr>
            <w:r w:rsidRPr="00F83068">
              <w:rPr>
                <w:i/>
                <w:sz w:val="18"/>
                <w:szCs w:val="18"/>
              </w:rPr>
              <w:t>km</w:t>
            </w:r>
          </w:p>
        </w:tc>
        <w:tc>
          <w:tcPr>
            <w:tcW w:w="1437" w:type="dxa"/>
            <w:shd w:val="clear" w:color="auto" w:fill="auto"/>
            <w:vAlign w:val="center"/>
          </w:tcPr>
          <w:p w:rsidR="00F83068" w:rsidRPr="00F83068" w:rsidRDefault="00F83068" w:rsidP="009553A0">
            <w:pPr>
              <w:ind w:left="0"/>
              <w:jc w:val="center"/>
              <w:rPr>
                <w:i/>
                <w:sz w:val="18"/>
                <w:szCs w:val="18"/>
                <w:lang w:val="en-GB"/>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 xml:space="preserve">Prioritná os </w:t>
            </w:r>
            <w:r w:rsidR="006A289D">
              <w:rPr>
                <w:i/>
                <w:sz w:val="18"/>
                <w:szCs w:val="18"/>
              </w:rPr>
              <w:t>3</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KF</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N/A</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 xml:space="preserve">Počet obnovených mobilných prostriedkov MHD (električky, trolejbusy) </w:t>
            </w:r>
          </w:p>
        </w:tc>
        <w:tc>
          <w:tcPr>
            <w:tcW w:w="1251" w:type="dxa"/>
            <w:shd w:val="clear" w:color="auto" w:fill="auto"/>
            <w:vAlign w:val="center"/>
          </w:tcPr>
          <w:p w:rsidR="00F83068" w:rsidRPr="00F83068" w:rsidRDefault="00F83068" w:rsidP="009553A0">
            <w:pPr>
              <w:ind w:left="0"/>
              <w:jc w:val="center"/>
              <w:rPr>
                <w:i/>
                <w:sz w:val="18"/>
                <w:szCs w:val="18"/>
              </w:rPr>
            </w:pPr>
            <w:r w:rsidRPr="00F83068">
              <w:rPr>
                <w:i/>
                <w:sz w:val="18"/>
                <w:szCs w:val="18"/>
              </w:rPr>
              <w:t>počet</w:t>
            </w:r>
          </w:p>
        </w:tc>
        <w:tc>
          <w:tcPr>
            <w:tcW w:w="1437" w:type="dxa"/>
            <w:shd w:val="clear" w:color="auto" w:fill="auto"/>
            <w:vAlign w:val="center"/>
          </w:tcPr>
          <w:p w:rsidR="00F83068" w:rsidRPr="00F83068" w:rsidRDefault="00F83068" w:rsidP="009553A0">
            <w:pPr>
              <w:ind w:left="0"/>
              <w:jc w:val="center"/>
              <w:rPr>
                <w:i/>
                <w:sz w:val="18"/>
                <w:szCs w:val="18"/>
                <w:lang w:val="en-GB"/>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 xml:space="preserve">Prioritná os </w:t>
            </w:r>
            <w:r w:rsidR="006A289D">
              <w:rPr>
                <w:i/>
                <w:sz w:val="18"/>
                <w:szCs w:val="18"/>
              </w:rPr>
              <w:t>3</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KF</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N/A</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Celková suma oprávnených výdavkov po ich certifikácii zo strany Certifikačného orgánu</w:t>
            </w:r>
          </w:p>
        </w:tc>
        <w:tc>
          <w:tcPr>
            <w:tcW w:w="1251" w:type="dxa"/>
            <w:shd w:val="clear" w:color="auto" w:fill="auto"/>
            <w:vAlign w:val="center"/>
          </w:tcPr>
          <w:p w:rsidR="00F83068" w:rsidRPr="00F83068" w:rsidRDefault="00F83068" w:rsidP="009553A0">
            <w:pPr>
              <w:ind w:left="0"/>
              <w:jc w:val="center"/>
              <w:rPr>
                <w:i/>
                <w:sz w:val="18"/>
                <w:szCs w:val="18"/>
              </w:rPr>
            </w:pPr>
            <w:r>
              <w:rPr>
                <w:i/>
                <w:sz w:val="18"/>
                <w:szCs w:val="18"/>
              </w:rPr>
              <w:t>%</w:t>
            </w:r>
          </w:p>
        </w:tc>
        <w:tc>
          <w:tcPr>
            <w:tcW w:w="1437" w:type="dxa"/>
            <w:shd w:val="clear" w:color="auto" w:fill="auto"/>
            <w:vAlign w:val="center"/>
          </w:tcPr>
          <w:p w:rsidR="00F83068" w:rsidRPr="00F83068" w:rsidRDefault="00F83068" w:rsidP="00F83068">
            <w:pPr>
              <w:ind w:left="0"/>
              <w:jc w:val="center"/>
              <w:rPr>
                <w:i/>
                <w:sz w:val="18"/>
                <w:szCs w:val="18"/>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 xml:space="preserve">Prioritná os </w:t>
            </w:r>
            <w:r w:rsidR="006A289D">
              <w:rPr>
                <w:i/>
                <w:sz w:val="18"/>
                <w:szCs w:val="18"/>
              </w:rPr>
              <w:t>4</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KF</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N/A</w:t>
            </w:r>
          </w:p>
        </w:tc>
        <w:tc>
          <w:tcPr>
            <w:tcW w:w="2022" w:type="dxa"/>
            <w:shd w:val="clear" w:color="auto" w:fill="auto"/>
            <w:vAlign w:val="center"/>
          </w:tcPr>
          <w:p w:rsidR="00F83068" w:rsidRPr="00F83068" w:rsidRDefault="0097314E" w:rsidP="009553A0">
            <w:pPr>
              <w:ind w:left="0"/>
              <w:rPr>
                <w:i/>
                <w:sz w:val="18"/>
                <w:szCs w:val="18"/>
              </w:rPr>
            </w:pPr>
            <w:r w:rsidRPr="0097314E">
              <w:rPr>
                <w:i/>
                <w:sz w:val="18"/>
                <w:szCs w:val="18"/>
              </w:rPr>
              <w:t>Počet vypracovaných štúdií realizovateľnosti (v súvislosti s rozvojom prístavov a vodných ciest TEN-T CORE)</w:t>
            </w:r>
          </w:p>
        </w:tc>
        <w:tc>
          <w:tcPr>
            <w:tcW w:w="1251" w:type="dxa"/>
            <w:shd w:val="clear" w:color="auto" w:fill="auto"/>
            <w:vAlign w:val="center"/>
          </w:tcPr>
          <w:p w:rsidR="00F83068" w:rsidRPr="00F83068" w:rsidRDefault="00F83068" w:rsidP="009553A0">
            <w:pPr>
              <w:ind w:left="0"/>
              <w:jc w:val="center"/>
              <w:rPr>
                <w:i/>
                <w:sz w:val="18"/>
                <w:szCs w:val="18"/>
              </w:rPr>
            </w:pPr>
            <w:r w:rsidRPr="00F83068">
              <w:rPr>
                <w:i/>
                <w:sz w:val="18"/>
                <w:szCs w:val="18"/>
              </w:rPr>
              <w:t>počet</w:t>
            </w:r>
          </w:p>
        </w:tc>
        <w:tc>
          <w:tcPr>
            <w:tcW w:w="1437" w:type="dxa"/>
            <w:shd w:val="clear" w:color="auto" w:fill="auto"/>
            <w:vAlign w:val="center"/>
          </w:tcPr>
          <w:p w:rsidR="00F83068" w:rsidRPr="00F83068" w:rsidRDefault="00F83068" w:rsidP="009553A0">
            <w:pPr>
              <w:ind w:left="0"/>
              <w:jc w:val="center"/>
              <w:rPr>
                <w:i/>
                <w:sz w:val="18"/>
                <w:szCs w:val="18"/>
                <w:lang w:val="en-GB"/>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 xml:space="preserve">Prioritná os </w:t>
            </w:r>
            <w:r w:rsidR="006A289D">
              <w:rPr>
                <w:i/>
                <w:sz w:val="18"/>
                <w:szCs w:val="18"/>
              </w:rPr>
              <w:t>4</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KF</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N/A</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Celková suma oprávnených výdavkov po ich certifikácii zo strany Certifikačného orgánu</w:t>
            </w:r>
          </w:p>
        </w:tc>
        <w:tc>
          <w:tcPr>
            <w:tcW w:w="1251" w:type="dxa"/>
            <w:shd w:val="clear" w:color="auto" w:fill="auto"/>
            <w:vAlign w:val="center"/>
          </w:tcPr>
          <w:p w:rsidR="00F83068" w:rsidRPr="00F83068" w:rsidRDefault="00F83068" w:rsidP="009553A0">
            <w:pPr>
              <w:ind w:left="0"/>
              <w:jc w:val="center"/>
              <w:rPr>
                <w:i/>
                <w:sz w:val="18"/>
                <w:szCs w:val="18"/>
              </w:rPr>
            </w:pPr>
            <w:r>
              <w:rPr>
                <w:i/>
                <w:sz w:val="18"/>
                <w:szCs w:val="18"/>
              </w:rPr>
              <w:t>%</w:t>
            </w:r>
          </w:p>
        </w:tc>
        <w:tc>
          <w:tcPr>
            <w:tcW w:w="1437" w:type="dxa"/>
            <w:shd w:val="clear" w:color="auto" w:fill="auto"/>
            <w:vAlign w:val="center"/>
          </w:tcPr>
          <w:p w:rsidR="00F83068" w:rsidRPr="00F83068" w:rsidRDefault="00F83068" w:rsidP="00F83068">
            <w:pPr>
              <w:ind w:left="0"/>
              <w:jc w:val="center"/>
              <w:rPr>
                <w:i/>
                <w:sz w:val="18"/>
                <w:szCs w:val="18"/>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 xml:space="preserve">Prioritná os </w:t>
            </w:r>
            <w:r w:rsidR="006A289D">
              <w:rPr>
                <w:i/>
                <w:sz w:val="18"/>
                <w:szCs w:val="18"/>
              </w:rPr>
              <w:t>5</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EFRR</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Menej rozvinutý</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Celková dĺžka rekonštruovanej alebo zrenovovanej železničnej trate</w:t>
            </w:r>
          </w:p>
        </w:tc>
        <w:tc>
          <w:tcPr>
            <w:tcW w:w="1251" w:type="dxa"/>
            <w:shd w:val="clear" w:color="auto" w:fill="auto"/>
            <w:vAlign w:val="center"/>
          </w:tcPr>
          <w:p w:rsidR="00F83068" w:rsidRPr="00F83068" w:rsidRDefault="00F83068" w:rsidP="009553A0">
            <w:pPr>
              <w:ind w:left="0"/>
              <w:jc w:val="center"/>
              <w:rPr>
                <w:i/>
                <w:sz w:val="18"/>
                <w:szCs w:val="18"/>
              </w:rPr>
            </w:pPr>
            <w:r w:rsidRPr="00F83068">
              <w:rPr>
                <w:i/>
                <w:sz w:val="18"/>
                <w:szCs w:val="18"/>
              </w:rPr>
              <w:t>km</w:t>
            </w:r>
          </w:p>
        </w:tc>
        <w:tc>
          <w:tcPr>
            <w:tcW w:w="1437" w:type="dxa"/>
            <w:shd w:val="clear" w:color="auto" w:fill="auto"/>
            <w:vAlign w:val="center"/>
          </w:tcPr>
          <w:p w:rsidR="00F83068" w:rsidRPr="00F83068" w:rsidRDefault="00F83068" w:rsidP="009553A0">
            <w:pPr>
              <w:ind w:left="0"/>
              <w:jc w:val="center"/>
              <w:rPr>
                <w:i/>
                <w:sz w:val="18"/>
                <w:szCs w:val="18"/>
                <w:lang w:val="en-GB"/>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 xml:space="preserve">Prioritná os </w:t>
            </w:r>
            <w:r w:rsidR="006A289D">
              <w:rPr>
                <w:i/>
                <w:sz w:val="18"/>
                <w:szCs w:val="18"/>
              </w:rPr>
              <w:t>5</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EFRR</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Menej rozvinutý</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Celková suma oprávnených výdavkov po ich certifikácii zo strany Certifikačného orgánu</w:t>
            </w:r>
          </w:p>
        </w:tc>
        <w:tc>
          <w:tcPr>
            <w:tcW w:w="1251" w:type="dxa"/>
            <w:shd w:val="clear" w:color="auto" w:fill="auto"/>
            <w:vAlign w:val="center"/>
          </w:tcPr>
          <w:p w:rsidR="00F83068" w:rsidRPr="00F83068" w:rsidRDefault="00F83068" w:rsidP="009553A0">
            <w:pPr>
              <w:ind w:left="0"/>
              <w:jc w:val="center"/>
              <w:rPr>
                <w:i/>
                <w:sz w:val="18"/>
                <w:szCs w:val="18"/>
              </w:rPr>
            </w:pPr>
            <w:r>
              <w:rPr>
                <w:i/>
                <w:sz w:val="18"/>
                <w:szCs w:val="18"/>
              </w:rPr>
              <w:t>%</w:t>
            </w:r>
          </w:p>
        </w:tc>
        <w:tc>
          <w:tcPr>
            <w:tcW w:w="1437" w:type="dxa"/>
            <w:shd w:val="clear" w:color="auto" w:fill="auto"/>
            <w:vAlign w:val="center"/>
          </w:tcPr>
          <w:p w:rsidR="00F83068" w:rsidRPr="00F83068" w:rsidRDefault="00F83068" w:rsidP="00F83068">
            <w:pPr>
              <w:ind w:left="0"/>
              <w:jc w:val="center"/>
              <w:rPr>
                <w:i/>
                <w:sz w:val="18"/>
                <w:szCs w:val="18"/>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Prioritná os 6</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EFRR</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Menej rozvinutý</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Celková dĺžka novovybudovaných ciest</w:t>
            </w:r>
          </w:p>
        </w:tc>
        <w:tc>
          <w:tcPr>
            <w:tcW w:w="1251" w:type="dxa"/>
            <w:shd w:val="clear" w:color="auto" w:fill="auto"/>
            <w:vAlign w:val="center"/>
          </w:tcPr>
          <w:p w:rsidR="00F83068" w:rsidRPr="00F83068" w:rsidRDefault="00F83068" w:rsidP="009553A0">
            <w:pPr>
              <w:ind w:left="0"/>
              <w:jc w:val="center"/>
              <w:rPr>
                <w:i/>
                <w:sz w:val="18"/>
                <w:szCs w:val="18"/>
              </w:rPr>
            </w:pPr>
            <w:r w:rsidRPr="00F83068">
              <w:rPr>
                <w:i/>
                <w:sz w:val="18"/>
                <w:szCs w:val="18"/>
              </w:rPr>
              <w:t>km</w:t>
            </w:r>
          </w:p>
        </w:tc>
        <w:tc>
          <w:tcPr>
            <w:tcW w:w="1437" w:type="dxa"/>
            <w:shd w:val="clear" w:color="auto" w:fill="auto"/>
            <w:vAlign w:val="center"/>
          </w:tcPr>
          <w:p w:rsidR="00F83068" w:rsidRPr="00F83068" w:rsidRDefault="00F83068" w:rsidP="009553A0">
            <w:pPr>
              <w:ind w:left="0"/>
              <w:jc w:val="center"/>
              <w:rPr>
                <w:i/>
                <w:sz w:val="18"/>
                <w:szCs w:val="18"/>
                <w:lang w:val="en-GB"/>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Prioritná os 6</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EFRR</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Menej rozvinutý</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Celková suma oprávnených výdavkov po ich certifikácii zo strany Certifikačného orgánu</w:t>
            </w:r>
          </w:p>
        </w:tc>
        <w:tc>
          <w:tcPr>
            <w:tcW w:w="1251" w:type="dxa"/>
            <w:shd w:val="clear" w:color="auto" w:fill="auto"/>
            <w:vAlign w:val="center"/>
          </w:tcPr>
          <w:p w:rsidR="00F83068" w:rsidRPr="00F83068" w:rsidRDefault="00F83068" w:rsidP="009553A0">
            <w:pPr>
              <w:ind w:left="0"/>
              <w:jc w:val="center"/>
              <w:rPr>
                <w:i/>
                <w:sz w:val="18"/>
                <w:szCs w:val="18"/>
              </w:rPr>
            </w:pPr>
            <w:r>
              <w:rPr>
                <w:i/>
                <w:sz w:val="18"/>
                <w:szCs w:val="18"/>
              </w:rPr>
              <w:t>%</w:t>
            </w:r>
          </w:p>
        </w:tc>
        <w:tc>
          <w:tcPr>
            <w:tcW w:w="1437" w:type="dxa"/>
            <w:shd w:val="clear" w:color="auto" w:fill="auto"/>
            <w:vAlign w:val="center"/>
          </w:tcPr>
          <w:p w:rsidR="00F83068" w:rsidRPr="00F83068" w:rsidRDefault="00F83068" w:rsidP="00F83068">
            <w:pPr>
              <w:ind w:left="0"/>
              <w:jc w:val="center"/>
              <w:rPr>
                <w:i/>
                <w:sz w:val="18"/>
                <w:szCs w:val="18"/>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lastRenderedPageBreak/>
              <w:t>Prioritná os 7</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EFRR</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Menej rozvinutý</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Počet optimalizovaných úsekov verejnej správy</w:t>
            </w:r>
          </w:p>
        </w:tc>
        <w:tc>
          <w:tcPr>
            <w:tcW w:w="1251" w:type="dxa"/>
            <w:shd w:val="clear" w:color="auto" w:fill="auto"/>
            <w:vAlign w:val="center"/>
          </w:tcPr>
          <w:p w:rsidR="00F83068" w:rsidRPr="00F83068" w:rsidRDefault="00F83068" w:rsidP="009553A0">
            <w:pPr>
              <w:ind w:left="0"/>
              <w:jc w:val="center"/>
              <w:rPr>
                <w:i/>
                <w:sz w:val="18"/>
                <w:szCs w:val="18"/>
              </w:rPr>
            </w:pPr>
            <w:r w:rsidRPr="00F83068">
              <w:rPr>
                <w:i/>
                <w:sz w:val="18"/>
                <w:szCs w:val="18"/>
              </w:rPr>
              <w:t>%</w:t>
            </w:r>
          </w:p>
        </w:tc>
        <w:tc>
          <w:tcPr>
            <w:tcW w:w="1437" w:type="dxa"/>
            <w:shd w:val="clear" w:color="auto" w:fill="auto"/>
            <w:vAlign w:val="center"/>
          </w:tcPr>
          <w:p w:rsidR="00F83068" w:rsidRPr="00F83068" w:rsidRDefault="00F83068" w:rsidP="009553A0">
            <w:pPr>
              <w:ind w:left="0"/>
              <w:jc w:val="center"/>
              <w:rPr>
                <w:i/>
                <w:sz w:val="18"/>
                <w:szCs w:val="18"/>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r w:rsidR="00F83068" w:rsidTr="00A127CB">
        <w:trPr>
          <w:trHeight w:val="284"/>
        </w:trPr>
        <w:tc>
          <w:tcPr>
            <w:tcW w:w="1301" w:type="dxa"/>
            <w:shd w:val="clear" w:color="auto" w:fill="auto"/>
            <w:vAlign w:val="center"/>
          </w:tcPr>
          <w:p w:rsidR="00F83068" w:rsidRPr="00F83068" w:rsidRDefault="00F83068" w:rsidP="009553A0">
            <w:pPr>
              <w:ind w:left="0"/>
              <w:jc w:val="center"/>
              <w:rPr>
                <w:i/>
                <w:sz w:val="18"/>
                <w:szCs w:val="18"/>
              </w:rPr>
            </w:pPr>
            <w:r>
              <w:rPr>
                <w:i/>
                <w:sz w:val="18"/>
                <w:szCs w:val="18"/>
              </w:rPr>
              <w:t>Prioritná os 7</w:t>
            </w:r>
          </w:p>
        </w:tc>
        <w:tc>
          <w:tcPr>
            <w:tcW w:w="866" w:type="dxa"/>
            <w:shd w:val="clear" w:color="auto" w:fill="auto"/>
            <w:vAlign w:val="center"/>
          </w:tcPr>
          <w:p w:rsidR="00F83068" w:rsidRPr="00F83068" w:rsidRDefault="00F83068" w:rsidP="009553A0">
            <w:pPr>
              <w:ind w:left="0"/>
              <w:jc w:val="center"/>
              <w:rPr>
                <w:i/>
                <w:sz w:val="18"/>
                <w:szCs w:val="18"/>
              </w:rPr>
            </w:pPr>
            <w:r w:rsidRPr="00F83068">
              <w:rPr>
                <w:i/>
                <w:sz w:val="18"/>
                <w:szCs w:val="18"/>
              </w:rPr>
              <w:t>EFRR</w:t>
            </w:r>
          </w:p>
        </w:tc>
        <w:tc>
          <w:tcPr>
            <w:tcW w:w="1058" w:type="dxa"/>
            <w:shd w:val="clear" w:color="auto" w:fill="auto"/>
            <w:vAlign w:val="center"/>
          </w:tcPr>
          <w:p w:rsidR="00F83068" w:rsidRPr="00F83068" w:rsidRDefault="00F83068" w:rsidP="009553A0">
            <w:pPr>
              <w:ind w:left="0"/>
              <w:jc w:val="center"/>
              <w:rPr>
                <w:i/>
                <w:sz w:val="18"/>
                <w:szCs w:val="18"/>
              </w:rPr>
            </w:pPr>
            <w:r w:rsidRPr="00F83068">
              <w:rPr>
                <w:i/>
                <w:sz w:val="18"/>
                <w:szCs w:val="18"/>
              </w:rPr>
              <w:t>Menej rozvinutý</w:t>
            </w:r>
          </w:p>
        </w:tc>
        <w:tc>
          <w:tcPr>
            <w:tcW w:w="2022" w:type="dxa"/>
            <w:shd w:val="clear" w:color="auto" w:fill="auto"/>
            <w:vAlign w:val="center"/>
          </w:tcPr>
          <w:p w:rsidR="00F83068" w:rsidRPr="00F83068" w:rsidRDefault="00F83068" w:rsidP="009553A0">
            <w:pPr>
              <w:ind w:left="0"/>
              <w:rPr>
                <w:i/>
                <w:sz w:val="18"/>
                <w:szCs w:val="18"/>
              </w:rPr>
            </w:pPr>
            <w:r w:rsidRPr="00F83068">
              <w:rPr>
                <w:i/>
                <w:sz w:val="18"/>
                <w:szCs w:val="18"/>
              </w:rPr>
              <w:t>Celková suma oprávnených výdavkov po ich certifikácii zo strany Certifikačného orgánu</w:t>
            </w:r>
          </w:p>
        </w:tc>
        <w:tc>
          <w:tcPr>
            <w:tcW w:w="1251" w:type="dxa"/>
            <w:shd w:val="clear" w:color="auto" w:fill="auto"/>
            <w:vAlign w:val="center"/>
          </w:tcPr>
          <w:p w:rsidR="00F83068" w:rsidRPr="00F83068" w:rsidRDefault="00F83068" w:rsidP="009553A0">
            <w:pPr>
              <w:ind w:left="0"/>
              <w:jc w:val="center"/>
              <w:rPr>
                <w:i/>
                <w:sz w:val="18"/>
                <w:szCs w:val="18"/>
                <w:lang w:val="en-US"/>
              </w:rPr>
            </w:pPr>
            <w:r>
              <w:rPr>
                <w:i/>
                <w:sz w:val="18"/>
                <w:szCs w:val="18"/>
                <w:lang w:val="en-US"/>
              </w:rPr>
              <w:t>%</w:t>
            </w:r>
          </w:p>
        </w:tc>
        <w:tc>
          <w:tcPr>
            <w:tcW w:w="1437" w:type="dxa"/>
            <w:shd w:val="clear" w:color="auto" w:fill="auto"/>
            <w:vAlign w:val="center"/>
          </w:tcPr>
          <w:p w:rsidR="00F83068" w:rsidRPr="00F83068" w:rsidRDefault="00F83068" w:rsidP="009553A0">
            <w:pPr>
              <w:ind w:left="0"/>
              <w:jc w:val="center"/>
              <w:rPr>
                <w:i/>
                <w:sz w:val="18"/>
                <w:szCs w:val="18"/>
              </w:rPr>
            </w:pPr>
          </w:p>
        </w:tc>
        <w:tc>
          <w:tcPr>
            <w:tcW w:w="1364" w:type="dxa"/>
            <w:shd w:val="clear" w:color="auto" w:fill="auto"/>
            <w:vAlign w:val="center"/>
          </w:tcPr>
          <w:p w:rsidR="00F83068" w:rsidRPr="00F83068" w:rsidRDefault="00F83068" w:rsidP="009553A0">
            <w:pPr>
              <w:ind w:left="0"/>
              <w:jc w:val="center"/>
              <w:rPr>
                <w:i/>
                <w:sz w:val="18"/>
                <w:szCs w:val="18"/>
                <w:lang w:val="en-GB"/>
              </w:rPr>
            </w:pPr>
          </w:p>
        </w:tc>
      </w:tr>
    </w:tbl>
    <w:p w:rsidR="002D518D" w:rsidRPr="00FA4C5A" w:rsidRDefault="002D518D" w:rsidP="00FA4C5A">
      <w:pPr>
        <w:rPr>
          <w:sz w:val="20"/>
          <w:szCs w:val="20"/>
        </w:rPr>
      </w:pPr>
      <w:bookmarkStart w:id="179" w:name="_Toc384380417"/>
      <w:bookmarkStart w:id="180" w:name="_Toc385310776"/>
      <w:r w:rsidRPr="00FA4C5A">
        <w:rPr>
          <w:sz w:val="20"/>
          <w:szCs w:val="20"/>
          <w:u w:val="single"/>
        </w:rPr>
        <w:t>Pozn</w:t>
      </w:r>
      <w:r w:rsidRPr="00FA4C5A">
        <w:rPr>
          <w:sz w:val="20"/>
          <w:szCs w:val="20"/>
        </w:rPr>
        <w:t>.: Hodnoty ukazovateľov budú doplnené v ďalšom štádiu prípravy dokumentu.</w:t>
      </w:r>
      <w:bookmarkEnd w:id="179"/>
      <w:bookmarkEnd w:id="180"/>
      <w:r w:rsidRPr="00FA4C5A">
        <w:rPr>
          <w:sz w:val="20"/>
          <w:szCs w:val="20"/>
        </w:rPr>
        <w:t xml:space="preserve"> </w:t>
      </w:r>
    </w:p>
    <w:p w:rsidR="00F83068" w:rsidRDefault="00F83068" w:rsidP="00F83068">
      <w:pPr>
        <w:rPr>
          <w:lang w:eastAsia="cs-CZ"/>
        </w:rPr>
      </w:pPr>
    </w:p>
    <w:p w:rsidR="00F83068" w:rsidRDefault="006A289D" w:rsidP="006A289D">
      <w:pPr>
        <w:pStyle w:val="Nadpis2"/>
        <w:jc w:val="both"/>
      </w:pPr>
      <w:bookmarkStart w:id="181" w:name="_Toc385310777"/>
      <w:r>
        <w:t>Zapojenie príslušných partnerov do prípravy operačného programu a úlohy partnerov v rámci implementácie, monitorovania a hodnotenia operačného programu</w:t>
      </w:r>
      <w:bookmarkEnd w:id="181"/>
    </w:p>
    <w:p w:rsidR="006A289D" w:rsidRDefault="006A289D" w:rsidP="00A127CB">
      <w:pPr>
        <w:pStyle w:val="Tab"/>
        <w:tabs>
          <w:tab w:val="clear" w:pos="709"/>
        </w:tabs>
        <w:ind w:left="993" w:hanging="993"/>
      </w:pPr>
      <w:r>
        <w:t>Prehľad zloženia a počet zástupcov Riadiaceho výboru pre prípravu Operačného programu Integrovaná infraštruktúra v programovom období 2014 - 2020</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675"/>
        <w:gridCol w:w="5872"/>
        <w:gridCol w:w="2525"/>
      </w:tblGrid>
      <w:tr w:rsidR="006A289D" w:rsidRPr="006A289D" w:rsidTr="00A127CB">
        <w:trPr>
          <w:trHeight w:val="284"/>
          <w:jc w:val="center"/>
        </w:trPr>
        <w:tc>
          <w:tcPr>
            <w:tcW w:w="675" w:type="dxa"/>
            <w:shd w:val="clear" w:color="auto" w:fill="C6D9F1" w:themeFill="text2" w:themeFillTint="33"/>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 č.</w:t>
            </w:r>
          </w:p>
        </w:tc>
        <w:tc>
          <w:tcPr>
            <w:tcW w:w="5872" w:type="dxa"/>
            <w:shd w:val="clear" w:color="auto" w:fill="C6D9F1" w:themeFill="text2" w:themeFillTint="33"/>
            <w:vAlign w:val="center"/>
          </w:tcPr>
          <w:p w:rsidR="006A289D" w:rsidRPr="006A289D" w:rsidRDefault="006A289D" w:rsidP="006A289D">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Organizácia/inštitúcia</w:t>
            </w:r>
          </w:p>
        </w:tc>
        <w:tc>
          <w:tcPr>
            <w:tcW w:w="2525" w:type="dxa"/>
            <w:shd w:val="clear" w:color="auto" w:fill="C6D9F1" w:themeFill="text2" w:themeFillTint="33"/>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Počet zástupcov / Počet zástupcov s hlasovacím právom</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Ministerstvo dopravy, výstavby a regionálneho rozvoja Slovenskej republiky</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5 / 4</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rPr>
                <w:color w:val="000000"/>
                <w:sz w:val="18"/>
                <w:szCs w:val="18"/>
              </w:rPr>
            </w:pPr>
            <w:r w:rsidRPr="006A289D">
              <w:rPr>
                <w:color w:val="000000"/>
                <w:sz w:val="18"/>
                <w:szCs w:val="18"/>
              </w:rPr>
              <w:t>Ministerstvo financií Slovenskej republiky</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rPr>
                <w:color w:val="000000"/>
                <w:sz w:val="18"/>
                <w:szCs w:val="18"/>
              </w:rPr>
            </w:pPr>
            <w:r w:rsidRPr="006A289D">
              <w:rPr>
                <w:color w:val="000000"/>
                <w:sz w:val="18"/>
                <w:szCs w:val="18"/>
              </w:rPr>
              <w:t>Ministerstvo vnútra Slovenskej republiky</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rPr>
                <w:color w:val="000000"/>
                <w:sz w:val="18"/>
                <w:szCs w:val="18"/>
              </w:rPr>
            </w:pPr>
            <w:r w:rsidRPr="006A289D">
              <w:rPr>
                <w:color w:val="000000"/>
                <w:sz w:val="18"/>
                <w:szCs w:val="18"/>
              </w:rPr>
              <w:t>Ministerstvo zdravotníctva Slovenskej republiky</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rPr>
                <w:color w:val="000000"/>
                <w:sz w:val="18"/>
                <w:szCs w:val="18"/>
              </w:rPr>
            </w:pPr>
            <w:r w:rsidRPr="006A289D">
              <w:rPr>
                <w:color w:val="000000"/>
                <w:sz w:val="18"/>
                <w:szCs w:val="18"/>
              </w:rPr>
              <w:t>Ministerstvo kultúry Slovenskej republiky</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rPr>
                <w:color w:val="000000"/>
                <w:sz w:val="18"/>
                <w:szCs w:val="18"/>
              </w:rPr>
            </w:pPr>
            <w:r w:rsidRPr="006A289D">
              <w:rPr>
                <w:color w:val="000000"/>
                <w:sz w:val="18"/>
                <w:szCs w:val="18"/>
              </w:rPr>
              <w:t>Ministerstvo obrany Slovenskej republiky</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rPr>
                <w:color w:val="000000"/>
                <w:sz w:val="18"/>
                <w:szCs w:val="18"/>
              </w:rPr>
            </w:pPr>
            <w:r w:rsidRPr="006A289D">
              <w:rPr>
                <w:color w:val="000000"/>
                <w:sz w:val="18"/>
                <w:szCs w:val="18"/>
              </w:rPr>
              <w:t>Ministerstvo spravodlivosti Slovenskej republiky</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rPr>
                <w:color w:val="000000"/>
                <w:sz w:val="18"/>
                <w:szCs w:val="18"/>
              </w:rPr>
            </w:pPr>
            <w:r w:rsidRPr="006A289D">
              <w:rPr>
                <w:color w:val="000000"/>
                <w:sz w:val="18"/>
                <w:szCs w:val="18"/>
              </w:rPr>
              <w:t>Ministerstvo pôdohospodárstva a rozvoja vidieka Slovenskej republiky</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rPr>
                <w:color w:val="000000"/>
                <w:sz w:val="18"/>
                <w:szCs w:val="18"/>
              </w:rPr>
            </w:pPr>
            <w:r w:rsidRPr="006A289D">
              <w:rPr>
                <w:color w:val="000000"/>
                <w:sz w:val="18"/>
                <w:szCs w:val="18"/>
              </w:rPr>
              <w:t>Ministerstvo školstva, vedy, výskumu a športu Slovenskej republiky</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rPr>
                <w:color w:val="000000"/>
                <w:sz w:val="18"/>
                <w:szCs w:val="18"/>
              </w:rPr>
            </w:pPr>
            <w:r w:rsidRPr="006A289D">
              <w:rPr>
                <w:color w:val="000000"/>
                <w:sz w:val="18"/>
                <w:szCs w:val="18"/>
              </w:rPr>
              <w:t xml:space="preserve">Ministerstvo hospodárstva Slovenskej republiky </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rPr>
                <w:color w:val="000000"/>
                <w:sz w:val="18"/>
                <w:szCs w:val="18"/>
              </w:rPr>
            </w:pPr>
            <w:r w:rsidRPr="006A289D">
              <w:rPr>
                <w:color w:val="000000"/>
                <w:sz w:val="18"/>
                <w:szCs w:val="18"/>
              </w:rPr>
              <w:t>Ministerstvo práce, sociálnych vecí a rodiny Slovenskej republiky</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rPr>
                <w:color w:val="000000"/>
                <w:sz w:val="18"/>
                <w:szCs w:val="18"/>
              </w:rPr>
            </w:pPr>
            <w:r w:rsidRPr="006A289D">
              <w:rPr>
                <w:color w:val="000000"/>
                <w:sz w:val="18"/>
                <w:szCs w:val="18"/>
              </w:rPr>
              <w:t>Úrad vlády Slovenskej republiky</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jc w:val="both"/>
              <w:rPr>
                <w:color w:val="000000"/>
                <w:sz w:val="18"/>
                <w:szCs w:val="18"/>
              </w:rPr>
            </w:pPr>
            <w:r w:rsidRPr="006A289D">
              <w:rPr>
                <w:color w:val="000000"/>
                <w:sz w:val="18"/>
                <w:szCs w:val="18"/>
              </w:rPr>
              <w:t>Zástupca mimovládnych neziskových organizácií na základe</w:t>
            </w:r>
            <w:r w:rsidR="00872E87">
              <w:rPr>
                <w:color w:val="000000"/>
                <w:sz w:val="18"/>
                <w:szCs w:val="18"/>
              </w:rPr>
              <w:t xml:space="preserve"> nominácie </w:t>
            </w:r>
            <w:r w:rsidRPr="006A289D">
              <w:rPr>
                <w:color w:val="000000"/>
                <w:sz w:val="18"/>
                <w:szCs w:val="18"/>
              </w:rPr>
              <w:t>Úradu splnomocnenca vlády SR pre rozvoj občianskej spoločnosti</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rPr>
                <w:color w:val="000000"/>
                <w:sz w:val="18"/>
                <w:szCs w:val="18"/>
              </w:rPr>
            </w:pPr>
            <w:r w:rsidRPr="006A289D">
              <w:rPr>
                <w:color w:val="000000"/>
                <w:sz w:val="18"/>
                <w:szCs w:val="18"/>
              </w:rPr>
              <w:t>Združenie samosprávnych krajov SK8</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6A289D" w:rsidRPr="006A289D" w:rsidTr="00A127CB">
        <w:trPr>
          <w:trHeight w:val="284"/>
          <w:jc w:val="center"/>
        </w:trPr>
        <w:tc>
          <w:tcPr>
            <w:tcW w:w="675" w:type="dxa"/>
            <w:vAlign w:val="center"/>
          </w:tcPr>
          <w:p w:rsidR="006A289D" w:rsidRPr="006A289D" w:rsidRDefault="006A289D" w:rsidP="00FE6025">
            <w:pPr>
              <w:widowControl w:val="0"/>
              <w:numPr>
                <w:ilvl w:val="0"/>
                <w:numId w:val="25"/>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6A289D" w:rsidRPr="006A289D" w:rsidRDefault="006A289D" w:rsidP="006A289D">
            <w:pPr>
              <w:autoSpaceDE w:val="0"/>
              <w:autoSpaceDN w:val="0"/>
              <w:adjustRightInd w:val="0"/>
              <w:ind w:left="0"/>
              <w:rPr>
                <w:color w:val="000000"/>
                <w:sz w:val="18"/>
                <w:szCs w:val="18"/>
              </w:rPr>
            </w:pPr>
            <w:r w:rsidRPr="006A289D">
              <w:rPr>
                <w:color w:val="000000"/>
                <w:sz w:val="18"/>
                <w:szCs w:val="18"/>
              </w:rPr>
              <w:t>Združenie miest a obcí Slovenska</w:t>
            </w:r>
          </w:p>
        </w:tc>
        <w:tc>
          <w:tcPr>
            <w:tcW w:w="2525" w:type="dxa"/>
            <w:vAlign w:val="center"/>
          </w:tcPr>
          <w:p w:rsidR="006A289D" w:rsidRPr="006A289D" w:rsidRDefault="006A289D" w:rsidP="006A289D">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bl>
    <w:p w:rsidR="00717C03" w:rsidRDefault="00717C03" w:rsidP="00717C03">
      <w:pPr>
        <w:pStyle w:val="Nadpis1"/>
        <w:sectPr w:rsidR="00717C03" w:rsidSect="00D1658B">
          <w:headerReference w:type="default" r:id="rId61"/>
          <w:footerReference w:type="default" r:id="rId62"/>
          <w:pgSz w:w="11906" w:h="16838"/>
          <w:pgMar w:top="1418" w:right="1361" w:bottom="1304" w:left="1474" w:header="709" w:footer="709" w:gutter="0"/>
          <w:cols w:space="708"/>
          <w:docGrid w:linePitch="360"/>
        </w:sectPr>
      </w:pPr>
    </w:p>
    <w:p w:rsidR="006A289D" w:rsidRDefault="00717C03" w:rsidP="00717C03">
      <w:pPr>
        <w:pStyle w:val="Nadpis1"/>
      </w:pPr>
      <w:bookmarkStart w:id="182" w:name="_Toc385310778"/>
      <w:r>
        <w:lastRenderedPageBreak/>
        <w:t>Prílohy</w:t>
      </w:r>
      <w:bookmarkEnd w:id="182"/>
    </w:p>
    <w:p w:rsidR="00717C03" w:rsidRDefault="00717C03" w:rsidP="00544A1F">
      <w:pPr>
        <w:pStyle w:val="Nadpis2"/>
        <w:spacing w:after="120"/>
      </w:pPr>
      <w:bookmarkStart w:id="183" w:name="_Toc385310779"/>
      <w:r>
        <w:t>Záverečná správa z ex ante hodnotenia OPII</w:t>
      </w:r>
      <w:bookmarkEnd w:id="183"/>
    </w:p>
    <w:p w:rsidR="00ED6B9C" w:rsidRPr="00ED6B9C" w:rsidRDefault="00ED6B9C" w:rsidP="00ED6B9C">
      <w:r>
        <w:t>Pozri prílohu č. 1.</w:t>
      </w:r>
    </w:p>
    <w:p w:rsidR="00717C03" w:rsidRDefault="00544A1F" w:rsidP="00544A1F">
      <w:pPr>
        <w:pStyle w:val="Nadpis2"/>
        <w:spacing w:before="180" w:after="120"/>
      </w:pPr>
      <w:bookmarkStart w:id="184" w:name="_Toc385310780"/>
      <w:r>
        <w:t>Zoznam skratiek</w:t>
      </w:r>
      <w:bookmarkEnd w:id="184"/>
    </w:p>
    <w:p w:rsidR="00ED6B9C" w:rsidRPr="00ED6B9C" w:rsidRDefault="00ED6B9C" w:rsidP="00ED6B9C">
      <w:r>
        <w:t>Pozri prílohu č. 2.</w:t>
      </w:r>
    </w:p>
    <w:p w:rsidR="00ED6B9C" w:rsidRPr="00ED6B9C" w:rsidRDefault="00ED6B9C" w:rsidP="00ED6B9C"/>
    <w:p w:rsidR="00544A1F" w:rsidRPr="00544A1F" w:rsidRDefault="00544A1F" w:rsidP="00544A1F"/>
    <w:p w:rsidR="00544A1F" w:rsidRPr="00544A1F" w:rsidRDefault="00544A1F" w:rsidP="00544A1F"/>
    <w:sectPr w:rsidR="00544A1F" w:rsidRPr="00544A1F" w:rsidSect="00D1658B">
      <w:headerReference w:type="default" r:id="rId63"/>
      <w:pgSz w:w="11906" w:h="16838"/>
      <w:pgMar w:top="1418" w:right="1361" w:bottom="1304" w:left="147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2DA2" w:rsidRDefault="00532DA2">
      <w:r>
        <w:separator/>
      </w:r>
    </w:p>
  </w:endnote>
  <w:endnote w:type="continuationSeparator" w:id="0">
    <w:p w:rsidR="00532DA2" w:rsidRDefault="00532DA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 w:name="Cambria">
    <w:panose1 w:val="02040503050406030204"/>
    <w:charset w:val="EE"/>
    <w:family w:val="roman"/>
    <w:pitch w:val="variable"/>
    <w:sig w:usb0="E00002FF" w:usb1="400004FF" w:usb2="00000000" w:usb3="00000000" w:csb0="0000019F" w:csb1="00000000"/>
  </w:font>
  <w:font w:name="TimesNewRoman">
    <w:altName w:val="Times New Roman"/>
    <w:panose1 w:val="00000000000000000000"/>
    <w:charset w:val="00"/>
    <w:family w:val="roman"/>
    <w:notTrueType/>
    <w:pitch w:val="default"/>
    <w:sig w:usb0="00000007" w:usb1="00000000" w:usb2="00000000" w:usb3="00000000" w:csb0="00000003" w:csb1="00000000"/>
  </w:font>
  <w:font w:name="Arial Unicode MS">
    <w:panose1 w:val="020B0604020202020204"/>
    <w:charset w:val="80"/>
    <w:family w:val="swiss"/>
    <w:pitch w:val="variable"/>
    <w:sig w:usb0="F7FFAFFF" w:usb1="E9DFFFFF" w:usb2="0000003F" w:usb3="00000000" w:csb0="003F01FF" w:csb1="00000000"/>
  </w:font>
  <w:font w:name="EUAlbertina">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C6154C" w:rsidRDefault="00532DA2" w:rsidP="00C6154C">
    <w:pPr>
      <w:pStyle w:val="Pta"/>
      <w:tabs>
        <w:tab w:val="clear" w:pos="9072"/>
        <w:tab w:val="left" w:pos="360"/>
        <w:tab w:val="right" w:pos="9001"/>
        <w:tab w:val="right" w:pos="14040"/>
      </w:tabs>
      <w:jc w:val="center"/>
      <w:rPr>
        <w:sz w:val="23"/>
        <w:szCs w:val="23"/>
      </w:rPr>
    </w:pPr>
    <w:r>
      <w:rPr>
        <w:rStyle w:val="slostrany"/>
        <w:sz w:val="20"/>
        <w:szCs w:val="20"/>
      </w:rPr>
      <w:tab/>
    </w:r>
    <w:r>
      <w:rPr>
        <w:rStyle w:val="slostrany"/>
        <w:sz w:val="20"/>
        <w:szCs w:val="20"/>
      </w:rPr>
      <w:tab/>
    </w:r>
    <w:r>
      <w:rPr>
        <w:rStyle w:val="slostrany"/>
        <w:sz w:val="20"/>
        <w:szCs w:val="20"/>
      </w:rPr>
      <w:tab/>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C6154C" w:rsidRDefault="00532DA2" w:rsidP="00C6154C">
    <w:pPr>
      <w:pStyle w:val="Pta"/>
      <w:tabs>
        <w:tab w:val="clear" w:pos="9072"/>
        <w:tab w:val="left" w:pos="360"/>
        <w:tab w:val="right" w:pos="9001"/>
        <w:tab w:val="right" w:pos="14040"/>
      </w:tabs>
      <w:jc w:val="center"/>
      <w:rPr>
        <w:sz w:val="23"/>
        <w:szCs w:val="23"/>
      </w:rPr>
    </w:pPr>
    <w:r>
      <w:rPr>
        <w:rStyle w:val="slostrany"/>
        <w:sz w:val="20"/>
        <w:szCs w:val="20"/>
      </w:rPr>
      <w:tab/>
    </w:r>
    <w:r>
      <w:rPr>
        <w:rStyle w:val="slostrany"/>
        <w:sz w:val="20"/>
        <w:szCs w:val="20"/>
      </w:rPr>
      <w:tab/>
    </w:r>
    <w:r>
      <w:rPr>
        <w:rStyle w:val="slostrany"/>
        <w:sz w:val="20"/>
        <w:szCs w:val="20"/>
      </w:rPr>
      <w:tab/>
    </w:r>
    <w:r w:rsidRPr="00C6154C">
      <w:rPr>
        <w:rStyle w:val="slostrany"/>
        <w:sz w:val="23"/>
        <w:szCs w:val="23"/>
      </w:rPr>
      <w:fldChar w:fldCharType="begin"/>
    </w:r>
    <w:r w:rsidRPr="00C6154C">
      <w:rPr>
        <w:rStyle w:val="slostrany"/>
        <w:sz w:val="23"/>
        <w:szCs w:val="23"/>
      </w:rPr>
      <w:instrText xml:space="preserve"> PAGE </w:instrText>
    </w:r>
    <w:r w:rsidRPr="00C6154C">
      <w:rPr>
        <w:rStyle w:val="slostrany"/>
        <w:sz w:val="23"/>
        <w:szCs w:val="23"/>
      </w:rPr>
      <w:fldChar w:fldCharType="separate"/>
    </w:r>
    <w:r w:rsidR="00103384">
      <w:rPr>
        <w:rStyle w:val="slostrany"/>
        <w:noProof/>
        <w:sz w:val="23"/>
        <w:szCs w:val="23"/>
      </w:rPr>
      <w:t>6</w:t>
    </w:r>
    <w:r w:rsidRPr="00C6154C">
      <w:rPr>
        <w:rStyle w:val="slostrany"/>
        <w:sz w:val="23"/>
        <w:szCs w:val="23"/>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C6154C" w:rsidRDefault="00532DA2" w:rsidP="00C6154C">
    <w:pPr>
      <w:pStyle w:val="Pta"/>
      <w:tabs>
        <w:tab w:val="clear" w:pos="9072"/>
        <w:tab w:val="left" w:pos="360"/>
        <w:tab w:val="right" w:pos="9001"/>
        <w:tab w:val="right" w:pos="14040"/>
      </w:tabs>
      <w:jc w:val="center"/>
      <w:rPr>
        <w:sz w:val="23"/>
        <w:szCs w:val="23"/>
      </w:rPr>
    </w:pPr>
    <w:r>
      <w:rPr>
        <w:rStyle w:val="slostrany"/>
        <w:sz w:val="20"/>
        <w:szCs w:val="20"/>
      </w:rPr>
      <w:tab/>
    </w:r>
    <w:r>
      <w:rPr>
        <w:rStyle w:val="slostrany"/>
        <w:sz w:val="20"/>
        <w:szCs w:val="20"/>
      </w:rPr>
      <w:tab/>
    </w:r>
    <w:r>
      <w:rPr>
        <w:rStyle w:val="slostrany"/>
        <w:sz w:val="20"/>
        <w:szCs w:val="20"/>
      </w:rPr>
      <w:tab/>
    </w:r>
    <w:r>
      <w:rPr>
        <w:rStyle w:val="slostrany"/>
        <w:sz w:val="20"/>
        <w:szCs w:val="20"/>
      </w:rPr>
      <w:tab/>
    </w:r>
    <w:r w:rsidRPr="00C6154C">
      <w:rPr>
        <w:rStyle w:val="slostrany"/>
        <w:sz w:val="23"/>
        <w:szCs w:val="23"/>
      </w:rPr>
      <w:fldChar w:fldCharType="begin"/>
    </w:r>
    <w:r w:rsidRPr="00C6154C">
      <w:rPr>
        <w:rStyle w:val="slostrany"/>
        <w:sz w:val="23"/>
        <w:szCs w:val="23"/>
      </w:rPr>
      <w:instrText xml:space="preserve"> PAGE </w:instrText>
    </w:r>
    <w:r w:rsidRPr="00C6154C">
      <w:rPr>
        <w:rStyle w:val="slostrany"/>
        <w:sz w:val="23"/>
        <w:szCs w:val="23"/>
      </w:rPr>
      <w:fldChar w:fldCharType="separate"/>
    </w:r>
    <w:r w:rsidR="00103384">
      <w:rPr>
        <w:rStyle w:val="slostrany"/>
        <w:noProof/>
        <w:sz w:val="23"/>
        <w:szCs w:val="23"/>
      </w:rPr>
      <w:t>23</w:t>
    </w:r>
    <w:r w:rsidRPr="00C6154C">
      <w:rPr>
        <w:rStyle w:val="slostrany"/>
        <w:sz w:val="23"/>
        <w:szCs w:val="23"/>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C6154C" w:rsidRDefault="00532DA2" w:rsidP="00C6154C">
    <w:pPr>
      <w:pStyle w:val="Pta"/>
      <w:tabs>
        <w:tab w:val="clear" w:pos="9072"/>
        <w:tab w:val="left" w:pos="360"/>
        <w:tab w:val="right" w:pos="9001"/>
        <w:tab w:val="right" w:pos="14040"/>
      </w:tabs>
      <w:jc w:val="center"/>
      <w:rPr>
        <w:sz w:val="23"/>
        <w:szCs w:val="23"/>
      </w:rPr>
    </w:pPr>
    <w:r>
      <w:rPr>
        <w:rStyle w:val="slostrany"/>
        <w:sz w:val="20"/>
        <w:szCs w:val="20"/>
      </w:rPr>
      <w:tab/>
    </w:r>
    <w:r>
      <w:rPr>
        <w:rStyle w:val="slostrany"/>
        <w:sz w:val="20"/>
        <w:szCs w:val="20"/>
      </w:rPr>
      <w:tab/>
    </w:r>
    <w:r>
      <w:rPr>
        <w:rStyle w:val="slostrany"/>
        <w:sz w:val="20"/>
        <w:szCs w:val="20"/>
      </w:rPr>
      <w:tab/>
    </w:r>
    <w:r w:rsidRPr="00C6154C">
      <w:rPr>
        <w:rStyle w:val="slostrany"/>
        <w:sz w:val="23"/>
        <w:szCs w:val="23"/>
      </w:rPr>
      <w:fldChar w:fldCharType="begin"/>
    </w:r>
    <w:r w:rsidRPr="00C6154C">
      <w:rPr>
        <w:rStyle w:val="slostrany"/>
        <w:sz w:val="23"/>
        <w:szCs w:val="23"/>
      </w:rPr>
      <w:instrText xml:space="preserve"> PAGE </w:instrText>
    </w:r>
    <w:r w:rsidRPr="00C6154C">
      <w:rPr>
        <w:rStyle w:val="slostrany"/>
        <w:sz w:val="23"/>
        <w:szCs w:val="23"/>
      </w:rPr>
      <w:fldChar w:fldCharType="separate"/>
    </w:r>
    <w:r w:rsidR="00103384">
      <w:rPr>
        <w:rStyle w:val="slostrany"/>
        <w:noProof/>
        <w:sz w:val="23"/>
        <w:szCs w:val="23"/>
      </w:rPr>
      <w:t>33</w:t>
    </w:r>
    <w:r w:rsidRPr="00C6154C">
      <w:rPr>
        <w:rStyle w:val="slostrany"/>
        <w:sz w:val="23"/>
        <w:szCs w:val="23"/>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C6154C" w:rsidRDefault="00532DA2" w:rsidP="00C6154C">
    <w:pPr>
      <w:pStyle w:val="Pta"/>
      <w:tabs>
        <w:tab w:val="clear" w:pos="9072"/>
        <w:tab w:val="left" w:pos="360"/>
        <w:tab w:val="right" w:pos="9001"/>
        <w:tab w:val="right" w:pos="14040"/>
      </w:tabs>
      <w:jc w:val="center"/>
      <w:rPr>
        <w:sz w:val="23"/>
        <w:szCs w:val="23"/>
      </w:rPr>
    </w:pPr>
    <w:r>
      <w:rPr>
        <w:rStyle w:val="slostrany"/>
        <w:sz w:val="20"/>
        <w:szCs w:val="20"/>
      </w:rPr>
      <w:tab/>
    </w:r>
    <w:r>
      <w:rPr>
        <w:rStyle w:val="slostrany"/>
        <w:sz w:val="20"/>
        <w:szCs w:val="20"/>
      </w:rPr>
      <w:tab/>
    </w:r>
    <w:r>
      <w:rPr>
        <w:rStyle w:val="slostrany"/>
        <w:sz w:val="20"/>
        <w:szCs w:val="20"/>
      </w:rPr>
      <w:tab/>
    </w:r>
    <w:r>
      <w:rPr>
        <w:rStyle w:val="slostrany"/>
        <w:sz w:val="20"/>
        <w:szCs w:val="20"/>
      </w:rPr>
      <w:tab/>
    </w:r>
    <w:r w:rsidRPr="00C6154C">
      <w:rPr>
        <w:rStyle w:val="slostrany"/>
        <w:sz w:val="23"/>
        <w:szCs w:val="23"/>
      </w:rPr>
      <w:fldChar w:fldCharType="begin"/>
    </w:r>
    <w:r w:rsidRPr="00C6154C">
      <w:rPr>
        <w:rStyle w:val="slostrany"/>
        <w:sz w:val="23"/>
        <w:szCs w:val="23"/>
      </w:rPr>
      <w:instrText xml:space="preserve"> PAGE </w:instrText>
    </w:r>
    <w:r w:rsidRPr="00C6154C">
      <w:rPr>
        <w:rStyle w:val="slostrany"/>
        <w:sz w:val="23"/>
        <w:szCs w:val="23"/>
      </w:rPr>
      <w:fldChar w:fldCharType="separate"/>
    </w:r>
    <w:r>
      <w:rPr>
        <w:rStyle w:val="slostrany"/>
        <w:noProof/>
        <w:sz w:val="23"/>
        <w:szCs w:val="23"/>
      </w:rPr>
      <w:t>113</w:t>
    </w:r>
    <w:r w:rsidRPr="00C6154C">
      <w:rPr>
        <w:rStyle w:val="slostrany"/>
        <w:sz w:val="23"/>
        <w:szCs w:val="23"/>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C6154C" w:rsidRDefault="00532DA2" w:rsidP="00C6154C">
    <w:pPr>
      <w:pStyle w:val="Pta"/>
      <w:tabs>
        <w:tab w:val="clear" w:pos="9072"/>
        <w:tab w:val="left" w:pos="360"/>
        <w:tab w:val="right" w:pos="9001"/>
        <w:tab w:val="right" w:pos="14040"/>
      </w:tabs>
      <w:jc w:val="center"/>
      <w:rPr>
        <w:sz w:val="23"/>
        <w:szCs w:val="23"/>
      </w:rPr>
    </w:pPr>
    <w:r>
      <w:rPr>
        <w:rStyle w:val="slostrany"/>
        <w:sz w:val="20"/>
        <w:szCs w:val="20"/>
      </w:rPr>
      <w:tab/>
    </w:r>
    <w:r>
      <w:rPr>
        <w:rStyle w:val="slostrany"/>
        <w:sz w:val="20"/>
        <w:szCs w:val="20"/>
      </w:rPr>
      <w:tab/>
    </w:r>
    <w:r>
      <w:rPr>
        <w:rStyle w:val="slostrany"/>
        <w:sz w:val="20"/>
        <w:szCs w:val="20"/>
      </w:rPr>
      <w:tab/>
    </w:r>
    <w:r>
      <w:rPr>
        <w:rStyle w:val="slostrany"/>
        <w:sz w:val="20"/>
        <w:szCs w:val="20"/>
      </w:rPr>
      <w:tab/>
    </w:r>
    <w:r w:rsidRPr="00C6154C">
      <w:rPr>
        <w:rStyle w:val="slostrany"/>
        <w:sz w:val="23"/>
        <w:szCs w:val="23"/>
      </w:rPr>
      <w:fldChar w:fldCharType="begin"/>
    </w:r>
    <w:r w:rsidRPr="00C6154C">
      <w:rPr>
        <w:rStyle w:val="slostrany"/>
        <w:sz w:val="23"/>
        <w:szCs w:val="23"/>
      </w:rPr>
      <w:instrText xml:space="preserve"> PAGE </w:instrText>
    </w:r>
    <w:r w:rsidRPr="00C6154C">
      <w:rPr>
        <w:rStyle w:val="slostrany"/>
        <w:sz w:val="23"/>
        <w:szCs w:val="23"/>
      </w:rPr>
      <w:fldChar w:fldCharType="separate"/>
    </w:r>
    <w:r>
      <w:rPr>
        <w:rStyle w:val="slostrany"/>
        <w:noProof/>
        <w:sz w:val="23"/>
        <w:szCs w:val="23"/>
      </w:rPr>
      <w:t>115</w:t>
    </w:r>
    <w:r w:rsidRPr="00C6154C">
      <w:rPr>
        <w:rStyle w:val="slostrany"/>
        <w:sz w:val="23"/>
        <w:szCs w:val="23"/>
      </w:rPr>
      <w:fldChar w:fldCharType="end"/>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C6154C" w:rsidRDefault="00532DA2" w:rsidP="00C6154C">
    <w:pPr>
      <w:pStyle w:val="Pta"/>
      <w:tabs>
        <w:tab w:val="clear" w:pos="9072"/>
        <w:tab w:val="left" w:pos="360"/>
        <w:tab w:val="right" w:pos="9001"/>
        <w:tab w:val="right" w:pos="14040"/>
      </w:tabs>
      <w:jc w:val="center"/>
      <w:rPr>
        <w:sz w:val="23"/>
        <w:szCs w:val="23"/>
      </w:rPr>
    </w:pPr>
    <w:r>
      <w:rPr>
        <w:rStyle w:val="slostrany"/>
        <w:sz w:val="20"/>
        <w:szCs w:val="20"/>
      </w:rPr>
      <w:tab/>
    </w:r>
    <w:r>
      <w:rPr>
        <w:rStyle w:val="slostrany"/>
        <w:sz w:val="20"/>
        <w:szCs w:val="20"/>
      </w:rPr>
      <w:tab/>
    </w:r>
    <w:r>
      <w:rPr>
        <w:rStyle w:val="slostrany"/>
        <w:sz w:val="20"/>
        <w:szCs w:val="20"/>
      </w:rPr>
      <w:tab/>
    </w:r>
    <w:r w:rsidRPr="00C6154C">
      <w:rPr>
        <w:rStyle w:val="slostrany"/>
        <w:sz w:val="23"/>
        <w:szCs w:val="23"/>
      </w:rPr>
      <w:fldChar w:fldCharType="begin"/>
    </w:r>
    <w:r w:rsidRPr="00C6154C">
      <w:rPr>
        <w:rStyle w:val="slostrany"/>
        <w:sz w:val="23"/>
        <w:szCs w:val="23"/>
      </w:rPr>
      <w:instrText xml:space="preserve"> PAGE </w:instrText>
    </w:r>
    <w:r w:rsidRPr="00C6154C">
      <w:rPr>
        <w:rStyle w:val="slostrany"/>
        <w:sz w:val="23"/>
        <w:szCs w:val="23"/>
      </w:rPr>
      <w:fldChar w:fldCharType="separate"/>
    </w:r>
    <w:r>
      <w:rPr>
        <w:rStyle w:val="slostrany"/>
        <w:noProof/>
        <w:sz w:val="23"/>
        <w:szCs w:val="23"/>
      </w:rPr>
      <w:t>127</w:t>
    </w:r>
    <w:r w:rsidRPr="00C6154C">
      <w:rPr>
        <w:rStyle w:val="slostrany"/>
        <w:sz w:val="23"/>
        <w:szCs w:val="23"/>
      </w:rPr>
      <w:fldChar w:fldCharType="end"/>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C6154C" w:rsidRDefault="00532DA2" w:rsidP="00C6154C">
    <w:pPr>
      <w:pStyle w:val="Pta"/>
      <w:tabs>
        <w:tab w:val="clear" w:pos="9072"/>
        <w:tab w:val="left" w:pos="360"/>
        <w:tab w:val="right" w:pos="9001"/>
        <w:tab w:val="right" w:pos="14040"/>
      </w:tabs>
      <w:jc w:val="center"/>
      <w:rPr>
        <w:sz w:val="23"/>
        <w:szCs w:val="23"/>
      </w:rPr>
    </w:pPr>
    <w:r>
      <w:rPr>
        <w:rStyle w:val="slostrany"/>
        <w:sz w:val="20"/>
        <w:szCs w:val="20"/>
      </w:rPr>
      <w:tab/>
    </w:r>
    <w:r>
      <w:rPr>
        <w:rStyle w:val="slostrany"/>
        <w:sz w:val="20"/>
        <w:szCs w:val="20"/>
      </w:rPr>
      <w:tab/>
    </w:r>
    <w:r>
      <w:rPr>
        <w:rStyle w:val="slostrany"/>
        <w:sz w:val="20"/>
        <w:szCs w:val="20"/>
      </w:rPr>
      <w:tab/>
    </w:r>
    <w:r>
      <w:rPr>
        <w:rStyle w:val="slostrany"/>
        <w:sz w:val="20"/>
        <w:szCs w:val="20"/>
      </w:rPr>
      <w:tab/>
    </w:r>
    <w:r w:rsidRPr="00C6154C">
      <w:rPr>
        <w:rStyle w:val="slostrany"/>
        <w:sz w:val="23"/>
        <w:szCs w:val="23"/>
      </w:rPr>
      <w:fldChar w:fldCharType="begin"/>
    </w:r>
    <w:r w:rsidRPr="00C6154C">
      <w:rPr>
        <w:rStyle w:val="slostrany"/>
        <w:sz w:val="23"/>
        <w:szCs w:val="23"/>
      </w:rPr>
      <w:instrText xml:space="preserve"> PAGE </w:instrText>
    </w:r>
    <w:r w:rsidRPr="00C6154C">
      <w:rPr>
        <w:rStyle w:val="slostrany"/>
        <w:sz w:val="23"/>
        <w:szCs w:val="23"/>
      </w:rPr>
      <w:fldChar w:fldCharType="separate"/>
    </w:r>
    <w:r>
      <w:rPr>
        <w:rStyle w:val="slostrany"/>
        <w:noProof/>
        <w:sz w:val="23"/>
        <w:szCs w:val="23"/>
      </w:rPr>
      <w:t>144</w:t>
    </w:r>
    <w:r w:rsidRPr="00C6154C">
      <w:rPr>
        <w:rStyle w:val="slostrany"/>
        <w:sz w:val="23"/>
        <w:szCs w:val="23"/>
      </w:rPr>
      <w:fldChar w:fldCharType="end"/>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C6154C" w:rsidRDefault="00532DA2" w:rsidP="00C6154C">
    <w:pPr>
      <w:pStyle w:val="Pta"/>
      <w:tabs>
        <w:tab w:val="clear" w:pos="9072"/>
        <w:tab w:val="left" w:pos="360"/>
        <w:tab w:val="right" w:pos="9001"/>
        <w:tab w:val="right" w:pos="14040"/>
      </w:tabs>
      <w:jc w:val="center"/>
      <w:rPr>
        <w:sz w:val="23"/>
        <w:szCs w:val="23"/>
      </w:rPr>
    </w:pPr>
    <w:r>
      <w:rPr>
        <w:rStyle w:val="slostrany"/>
        <w:sz w:val="20"/>
        <w:szCs w:val="20"/>
      </w:rPr>
      <w:tab/>
    </w:r>
    <w:r>
      <w:rPr>
        <w:rStyle w:val="slostrany"/>
        <w:sz w:val="20"/>
        <w:szCs w:val="20"/>
      </w:rPr>
      <w:tab/>
    </w:r>
    <w:r>
      <w:rPr>
        <w:rStyle w:val="slostrany"/>
        <w:sz w:val="20"/>
        <w:szCs w:val="20"/>
      </w:rPr>
      <w:tab/>
    </w:r>
    <w:r w:rsidRPr="00C6154C">
      <w:rPr>
        <w:rStyle w:val="slostrany"/>
        <w:sz w:val="23"/>
        <w:szCs w:val="23"/>
      </w:rPr>
      <w:fldChar w:fldCharType="begin"/>
    </w:r>
    <w:r w:rsidRPr="00C6154C">
      <w:rPr>
        <w:rStyle w:val="slostrany"/>
        <w:sz w:val="23"/>
        <w:szCs w:val="23"/>
      </w:rPr>
      <w:instrText xml:space="preserve"> PAGE </w:instrText>
    </w:r>
    <w:r w:rsidRPr="00C6154C">
      <w:rPr>
        <w:rStyle w:val="slostrany"/>
        <w:sz w:val="23"/>
        <w:szCs w:val="23"/>
      </w:rPr>
      <w:fldChar w:fldCharType="separate"/>
    </w:r>
    <w:r>
      <w:rPr>
        <w:rStyle w:val="slostrany"/>
        <w:noProof/>
        <w:sz w:val="23"/>
        <w:szCs w:val="23"/>
      </w:rPr>
      <w:t>150</w:t>
    </w:r>
    <w:r w:rsidRPr="00C6154C">
      <w:rPr>
        <w:rStyle w:val="slostrany"/>
        <w:sz w:val="23"/>
        <w:szCs w:val="23"/>
      </w:rPr>
      <w:fldChar w:fldCharType="end"/>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C6154C" w:rsidRDefault="00532DA2" w:rsidP="00173210">
    <w:pPr>
      <w:pStyle w:val="Pta"/>
      <w:tabs>
        <w:tab w:val="clear" w:pos="9072"/>
        <w:tab w:val="left" w:pos="360"/>
        <w:tab w:val="right" w:pos="9001"/>
        <w:tab w:val="right" w:pos="14317"/>
      </w:tabs>
      <w:jc w:val="center"/>
      <w:rPr>
        <w:sz w:val="23"/>
        <w:szCs w:val="23"/>
      </w:rPr>
    </w:pPr>
    <w:r>
      <w:rPr>
        <w:rStyle w:val="slostrany"/>
        <w:sz w:val="20"/>
        <w:szCs w:val="20"/>
      </w:rPr>
      <w:tab/>
    </w:r>
    <w:r>
      <w:rPr>
        <w:rStyle w:val="slostrany"/>
        <w:sz w:val="20"/>
        <w:szCs w:val="20"/>
      </w:rPr>
      <w:tab/>
    </w:r>
    <w:r>
      <w:rPr>
        <w:rStyle w:val="slostrany"/>
        <w:sz w:val="20"/>
        <w:szCs w:val="20"/>
      </w:rPr>
      <w:tab/>
    </w:r>
    <w:r>
      <w:rPr>
        <w:rStyle w:val="slostrany"/>
        <w:sz w:val="20"/>
        <w:szCs w:val="20"/>
      </w:rPr>
      <w:tab/>
    </w:r>
    <w:r w:rsidRPr="00C6154C">
      <w:rPr>
        <w:rStyle w:val="slostrany"/>
        <w:sz w:val="23"/>
        <w:szCs w:val="23"/>
      </w:rPr>
      <w:fldChar w:fldCharType="begin"/>
    </w:r>
    <w:r w:rsidRPr="00C6154C">
      <w:rPr>
        <w:rStyle w:val="slostrany"/>
        <w:sz w:val="23"/>
        <w:szCs w:val="23"/>
      </w:rPr>
      <w:instrText xml:space="preserve"> PAGE </w:instrText>
    </w:r>
    <w:r w:rsidRPr="00C6154C">
      <w:rPr>
        <w:rStyle w:val="slostrany"/>
        <w:sz w:val="23"/>
        <w:szCs w:val="23"/>
      </w:rPr>
      <w:fldChar w:fldCharType="separate"/>
    </w:r>
    <w:r>
      <w:rPr>
        <w:rStyle w:val="slostrany"/>
        <w:noProof/>
        <w:sz w:val="23"/>
        <w:szCs w:val="23"/>
      </w:rPr>
      <w:t>152</w:t>
    </w:r>
    <w:r w:rsidRPr="00C6154C">
      <w:rPr>
        <w:rStyle w:val="slostrany"/>
        <w:sz w:val="23"/>
        <w:szCs w:val="23"/>
      </w:rPr>
      <w:fldChar w:fldCharType="end"/>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C6154C" w:rsidRDefault="00532DA2" w:rsidP="00FA4C5A">
    <w:pPr>
      <w:pStyle w:val="Pta"/>
      <w:tabs>
        <w:tab w:val="clear" w:pos="9072"/>
        <w:tab w:val="left" w:pos="360"/>
        <w:tab w:val="right" w:pos="9001"/>
        <w:tab w:val="right" w:pos="14040"/>
      </w:tabs>
      <w:rPr>
        <w:sz w:val="23"/>
        <w:szCs w:val="23"/>
      </w:rPr>
    </w:pPr>
    <w:r>
      <w:rPr>
        <w:rStyle w:val="slostrany"/>
        <w:sz w:val="20"/>
        <w:szCs w:val="20"/>
      </w:rPr>
      <w:tab/>
    </w:r>
    <w:r>
      <w:rPr>
        <w:rStyle w:val="slostrany"/>
        <w:sz w:val="20"/>
        <w:szCs w:val="20"/>
      </w:rPr>
      <w:tab/>
    </w:r>
    <w:r>
      <w:rPr>
        <w:rStyle w:val="slostrany"/>
        <w:sz w:val="20"/>
        <w:szCs w:val="20"/>
      </w:rPr>
      <w:tab/>
    </w:r>
    <w:r w:rsidRPr="00C6154C">
      <w:rPr>
        <w:rStyle w:val="slostrany"/>
        <w:sz w:val="23"/>
        <w:szCs w:val="23"/>
      </w:rPr>
      <w:fldChar w:fldCharType="begin"/>
    </w:r>
    <w:r w:rsidRPr="00C6154C">
      <w:rPr>
        <w:rStyle w:val="slostrany"/>
        <w:sz w:val="23"/>
        <w:szCs w:val="23"/>
      </w:rPr>
      <w:instrText xml:space="preserve"> PAGE </w:instrText>
    </w:r>
    <w:r w:rsidRPr="00C6154C">
      <w:rPr>
        <w:rStyle w:val="slostrany"/>
        <w:sz w:val="23"/>
        <w:szCs w:val="23"/>
      </w:rPr>
      <w:fldChar w:fldCharType="separate"/>
    </w:r>
    <w:r>
      <w:rPr>
        <w:rStyle w:val="slostrany"/>
        <w:noProof/>
        <w:sz w:val="23"/>
        <w:szCs w:val="23"/>
      </w:rPr>
      <w:t>155</w:t>
    </w:r>
    <w:r w:rsidRPr="00C6154C">
      <w:rPr>
        <w:rStyle w:val="slostrany"/>
        <w:sz w:val="23"/>
        <w:szCs w:val="23"/>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2DA2" w:rsidRDefault="00532DA2">
      <w:r>
        <w:separator/>
      </w:r>
    </w:p>
  </w:footnote>
  <w:footnote w:type="continuationSeparator" w:id="0">
    <w:p w:rsidR="00532DA2" w:rsidRDefault="00532DA2">
      <w:r>
        <w:continuationSeparator/>
      </w:r>
    </w:p>
  </w:footnote>
  <w:footnote w:id="1">
    <w:p w:rsidR="00532DA2" w:rsidRPr="004C77FC" w:rsidRDefault="00532DA2" w:rsidP="004C77FC">
      <w:pPr>
        <w:pStyle w:val="Textpoznmkypodiarou"/>
        <w:jc w:val="both"/>
        <w:rPr>
          <w:sz w:val="18"/>
          <w:szCs w:val="18"/>
        </w:rPr>
      </w:pPr>
      <w:r w:rsidRPr="004C77FC">
        <w:rPr>
          <w:rStyle w:val="Odkaznapoznmkupodiarou"/>
          <w:sz w:val="18"/>
          <w:szCs w:val="18"/>
        </w:rPr>
        <w:footnoteRef/>
      </w:r>
      <w:r w:rsidRPr="004C77FC">
        <w:rPr>
          <w:sz w:val="18"/>
          <w:szCs w:val="18"/>
        </w:rPr>
        <w:t xml:space="preserve"> COM(2010) 2020 final</w:t>
      </w:r>
    </w:p>
  </w:footnote>
  <w:footnote w:id="2">
    <w:p w:rsidR="00532DA2" w:rsidRPr="004C77FC" w:rsidRDefault="00532DA2">
      <w:pPr>
        <w:pStyle w:val="Textpoznmkypodiarou"/>
        <w:rPr>
          <w:sz w:val="18"/>
          <w:szCs w:val="18"/>
        </w:rPr>
      </w:pPr>
      <w:r w:rsidRPr="004C77FC">
        <w:rPr>
          <w:rStyle w:val="Odkaznapoznmkupodiarou"/>
          <w:sz w:val="18"/>
          <w:szCs w:val="18"/>
        </w:rPr>
        <w:footnoteRef/>
      </w:r>
      <w:r>
        <w:rPr>
          <w:bCs/>
          <w:color w:val="000000"/>
          <w:sz w:val="18"/>
          <w:szCs w:val="18"/>
        </w:rPr>
        <w:t xml:space="preserve">  </w:t>
      </w:r>
      <w:r w:rsidRPr="004C77FC">
        <w:rPr>
          <w:bCs/>
          <w:color w:val="000000"/>
          <w:sz w:val="18"/>
          <w:szCs w:val="18"/>
        </w:rPr>
        <w:t>čl. 9 nariadenia</w:t>
      </w:r>
      <w:r>
        <w:rPr>
          <w:bCs/>
          <w:color w:val="000000"/>
          <w:sz w:val="18"/>
          <w:szCs w:val="18"/>
        </w:rPr>
        <w:t xml:space="preserve"> Európskeho parlamentu a Rady (EÚ) č.</w:t>
      </w:r>
      <w:r w:rsidRPr="004C77FC">
        <w:rPr>
          <w:bCs/>
          <w:color w:val="000000"/>
          <w:sz w:val="18"/>
          <w:szCs w:val="18"/>
        </w:rPr>
        <w:t xml:space="preserve"> 1303/2013</w:t>
      </w:r>
      <w:r>
        <w:rPr>
          <w:bCs/>
          <w:color w:val="000000"/>
          <w:sz w:val="18"/>
          <w:szCs w:val="18"/>
        </w:rPr>
        <w:t xml:space="preserve"> zo 17. decembra 2013</w:t>
      </w:r>
    </w:p>
  </w:footnote>
  <w:footnote w:id="3">
    <w:p w:rsidR="00532DA2" w:rsidRDefault="00532DA2" w:rsidP="004C77FC">
      <w:pPr>
        <w:pStyle w:val="Textpoznmkypodiarou"/>
        <w:jc w:val="both"/>
      </w:pPr>
      <w:r w:rsidRPr="004C77FC">
        <w:rPr>
          <w:rStyle w:val="Odkaznapoznmkupodiarou"/>
          <w:sz w:val="18"/>
          <w:szCs w:val="18"/>
        </w:rPr>
        <w:footnoteRef/>
      </w:r>
      <w:r w:rsidRPr="004C77FC">
        <w:rPr>
          <w:sz w:val="18"/>
          <w:szCs w:val="18"/>
        </w:rPr>
        <w:t xml:space="preserve"> nariadenie Európskeho parlamentu a Rady (EÚ) č. 1316/2013 z 11. decembra 2013 o zriadení Nástroja na prepájanie Európy, ktorým sa mení nariadenie (EÚ) č. 913/2010 a zrušujú sa nariadenia (ES) č. 680/2007 a (ES) č. 67/2010</w:t>
      </w:r>
    </w:p>
  </w:footnote>
  <w:footnote w:id="4">
    <w:p w:rsidR="00532DA2" w:rsidRPr="0044578F" w:rsidRDefault="00532DA2" w:rsidP="00DB79F5">
      <w:pPr>
        <w:pStyle w:val="Textpoznmkypodiarou"/>
      </w:pPr>
      <w:r w:rsidRPr="0044578F">
        <w:rPr>
          <w:rStyle w:val="Odkaznapoznmkupodiarou"/>
        </w:rPr>
        <w:footnoteRef/>
      </w:r>
      <w:r w:rsidRPr="0044578F">
        <w:t xml:space="preserve"> Národný program reforiem Slovenskej republiky 2013 bol schválený UV SR č. 198 z 24. apríla 2013</w:t>
      </w:r>
    </w:p>
  </w:footnote>
  <w:footnote w:id="5">
    <w:p w:rsidR="00532DA2" w:rsidRDefault="00532DA2" w:rsidP="00841ABF">
      <w:pPr>
        <w:pStyle w:val="Textpoznmkypodiarou"/>
        <w:jc w:val="both"/>
      </w:pPr>
      <w:r>
        <w:rPr>
          <w:rStyle w:val="Odkaznapoznmkupodiarou"/>
        </w:rPr>
        <w:footnoteRef/>
      </w:r>
      <w:r>
        <w:t xml:space="preserve"> </w:t>
      </w:r>
      <w:r w:rsidRPr="0011392B">
        <w:t>NPR SR 2013, príl. 1: Index sa pre danú krajinu vypočíta ako vážený priemer nasledujúcich troch indikátorov: dostupnosť e-governmentu (váha 50 %), využitie e-governmentu jednotlivcami (25 %) a využitie e-governmentu podnikmi (váha 25 %). Dostupnosť e-governmentu meria ponuku dvadsiatich základných služieb e-governmentu. Indikátor udáva podiel služieb dostupných prostredníctvom internetu z definovaných dvadsiatich verejných služieb. Aby bola služba považovaná za dostupnú, musí dosahovať určitý stupeň sofistikácie. Využitie e-governmentu jednotlivcami, resp. podnikmi merajú koľko percent ľudí, resp. podnikov využilo v posledných troch mesiacoch internet na komunikáciu s verejnými inštitúciami (získanie informácii z web stránky, stiahnutie oficiálneho formulára alebo zaslanie vyplneného formulára). Zdroj: Eurostat</w:t>
      </w:r>
    </w:p>
  </w:footnote>
  <w:footnote w:id="6">
    <w:p w:rsidR="00532DA2" w:rsidRPr="00A32FFD" w:rsidRDefault="00532DA2">
      <w:pPr>
        <w:pStyle w:val="Textpoznmkypodiarou"/>
        <w:rPr>
          <w:sz w:val="18"/>
          <w:szCs w:val="18"/>
        </w:rPr>
      </w:pPr>
      <w:r w:rsidRPr="00A32FFD">
        <w:rPr>
          <w:rStyle w:val="Odkaznapoznmkupodiarou"/>
          <w:sz w:val="18"/>
          <w:szCs w:val="18"/>
        </w:rPr>
        <w:footnoteRef/>
      </w:r>
      <w:r w:rsidRPr="00A32FFD">
        <w:rPr>
          <w:sz w:val="18"/>
          <w:szCs w:val="18"/>
        </w:rPr>
        <w:t xml:space="preserve"> </w:t>
      </w:r>
      <w:r>
        <w:rPr>
          <w:sz w:val="18"/>
          <w:szCs w:val="18"/>
        </w:rPr>
        <w:t xml:space="preserve">detailnejšie informácie o strategických dokumentoch sú uvedené </w:t>
      </w:r>
      <w:r w:rsidRPr="00A32FFD">
        <w:rPr>
          <w:sz w:val="18"/>
          <w:szCs w:val="18"/>
        </w:rPr>
        <w:t>str. 12 a 13</w:t>
      </w:r>
    </w:p>
  </w:footnote>
  <w:footnote w:id="7">
    <w:p w:rsidR="00532DA2" w:rsidRPr="008F7124" w:rsidRDefault="00532DA2">
      <w:pPr>
        <w:pStyle w:val="Textpoznmkypodiarou"/>
        <w:rPr>
          <w:sz w:val="18"/>
          <w:szCs w:val="18"/>
        </w:rPr>
      </w:pPr>
      <w:r w:rsidRPr="008F7124">
        <w:rPr>
          <w:rStyle w:val="Odkaznapoznmkupodiarou"/>
          <w:sz w:val="18"/>
          <w:szCs w:val="18"/>
        </w:rPr>
        <w:footnoteRef/>
      </w:r>
      <w:r w:rsidRPr="008F7124">
        <w:rPr>
          <w:sz w:val="18"/>
          <w:szCs w:val="18"/>
        </w:rPr>
        <w:t xml:space="preserve"> úsek Bratislava Rača – Nové Mesto nad Váhom systémom ETCS L1</w:t>
      </w:r>
    </w:p>
  </w:footnote>
  <w:footnote w:id="8">
    <w:p w:rsidR="00532DA2" w:rsidRDefault="00532DA2">
      <w:pPr>
        <w:pStyle w:val="Textpoznmkypodiarou"/>
      </w:pPr>
      <w:r>
        <w:rPr>
          <w:rStyle w:val="Odkaznapoznmkupodiarou"/>
        </w:rPr>
        <w:footnoteRef/>
      </w:r>
      <w:r>
        <w:t xml:space="preserve"> </w:t>
      </w:r>
      <w:hyperlink r:id="rId1" w:history="1">
        <w:r w:rsidRPr="0023305A">
          <w:rPr>
            <w:rStyle w:val="Hypertextovprepojenie"/>
            <w:sz w:val="18"/>
            <w:szCs w:val="18"/>
          </w:rPr>
          <w:t>http://www.telecom.gov.sk/files/statistika_vud/preprava_nakl.htm</w:t>
        </w:r>
      </w:hyperlink>
      <w:r>
        <w:rPr>
          <w:sz w:val="18"/>
          <w:szCs w:val="18"/>
        </w:rPr>
        <w:t xml:space="preserve"> </w:t>
      </w:r>
    </w:p>
  </w:footnote>
  <w:footnote w:id="9">
    <w:p w:rsidR="00532DA2" w:rsidRPr="008F7124" w:rsidRDefault="00532DA2">
      <w:pPr>
        <w:pStyle w:val="Textpoznmkypodiarou"/>
        <w:rPr>
          <w:sz w:val="18"/>
          <w:szCs w:val="18"/>
        </w:rPr>
      </w:pPr>
      <w:r w:rsidRPr="008F7124">
        <w:rPr>
          <w:rStyle w:val="Odkaznapoznmkupodiarou"/>
          <w:sz w:val="18"/>
          <w:szCs w:val="18"/>
        </w:rPr>
        <w:footnoteRef/>
      </w:r>
      <w:r w:rsidRPr="008F7124">
        <w:rPr>
          <w:sz w:val="18"/>
          <w:szCs w:val="18"/>
        </w:rPr>
        <w:t xml:space="preserve"> Regiojet, a.s.</w:t>
      </w:r>
      <w:r>
        <w:rPr>
          <w:sz w:val="18"/>
          <w:szCs w:val="18"/>
        </w:rPr>
        <w:t xml:space="preserve"> prevádzkujúci železničnú osobnú dopravu v úseku Bratislava - Komárno</w:t>
      </w:r>
    </w:p>
  </w:footnote>
  <w:footnote w:id="10">
    <w:p w:rsidR="00532DA2" w:rsidRPr="00032E50" w:rsidRDefault="00532DA2" w:rsidP="00B95FD1">
      <w:pPr>
        <w:pStyle w:val="Textpoznmkypodiarou"/>
        <w:rPr>
          <w:sz w:val="18"/>
          <w:szCs w:val="18"/>
        </w:rPr>
      </w:pPr>
      <w:r w:rsidRPr="00032E50">
        <w:rPr>
          <w:rStyle w:val="Odkaznapoznmkupodiarou"/>
          <w:sz w:val="18"/>
          <w:szCs w:val="18"/>
        </w:rPr>
        <w:footnoteRef/>
      </w:r>
      <w:r w:rsidRPr="00032E50">
        <w:rPr>
          <w:sz w:val="18"/>
          <w:szCs w:val="18"/>
        </w:rPr>
        <w:t xml:space="preserve"> Prieskum bol realizovaný Železničnou spoločnosťou Slovensko, a.s. v novembri 2012 (</w:t>
      </w:r>
      <w:hyperlink r:id="rId2" w:history="1">
        <w:r w:rsidRPr="00032E50">
          <w:rPr>
            <w:rStyle w:val="Hypertextovprepojenie"/>
            <w:sz w:val="18"/>
            <w:szCs w:val="18"/>
          </w:rPr>
          <w:t>www.zssk.sk</w:t>
        </w:r>
      </w:hyperlink>
      <w:r w:rsidRPr="00032E50">
        <w:rPr>
          <w:sz w:val="18"/>
          <w:szCs w:val="18"/>
        </w:rPr>
        <w:t xml:space="preserve">) </w:t>
      </w:r>
    </w:p>
  </w:footnote>
  <w:footnote w:id="11">
    <w:p w:rsidR="00532DA2" w:rsidRDefault="00532DA2" w:rsidP="008F350F">
      <w:pPr>
        <w:pStyle w:val="Textpoznmkypodiarou"/>
        <w:jc w:val="both"/>
      </w:pPr>
      <w:r>
        <w:rPr>
          <w:rStyle w:val="Odkaznapoznmkupodiarou"/>
        </w:rPr>
        <w:footnoteRef/>
      </w:r>
      <w:r>
        <w:t xml:space="preserve"> </w:t>
      </w:r>
      <w:r w:rsidRPr="0079404A">
        <w:rPr>
          <w:sz w:val="18"/>
          <w:szCs w:val="18"/>
        </w:rPr>
        <w:t xml:space="preserve">Úloha C.2 uznesenia vlády SR č. </w:t>
      </w:r>
      <w:r>
        <w:rPr>
          <w:sz w:val="18"/>
          <w:szCs w:val="18"/>
        </w:rPr>
        <w:t xml:space="preserve">736 z 18. decembra 2013 k Postupu implementácie finančných nástrojov </w:t>
      </w:r>
      <w:r w:rsidRPr="0079404A">
        <w:rPr>
          <w:sz w:val="18"/>
          <w:szCs w:val="18"/>
        </w:rPr>
        <w:t>cez Slovenský investičný holding v programovom období 2014 - 2020</w:t>
      </w:r>
    </w:p>
  </w:footnote>
  <w:footnote w:id="12">
    <w:p w:rsidR="00532DA2" w:rsidRDefault="00532DA2">
      <w:pPr>
        <w:pStyle w:val="Textpoznmkypodiarou"/>
      </w:pPr>
      <w:r>
        <w:rPr>
          <w:rStyle w:val="Odkaznapoznmkupodiarou"/>
        </w:rPr>
        <w:footnoteRef/>
      </w:r>
      <w:r>
        <w:rPr>
          <w:sz w:val="18"/>
          <w:szCs w:val="18"/>
        </w:rPr>
        <w:t xml:space="preserve"> Zdroj: </w:t>
      </w:r>
      <w:hyperlink r:id="rId3" w:history="1">
        <w:r w:rsidRPr="0023305A">
          <w:rPr>
            <w:rStyle w:val="Hypertextovprepojenie"/>
            <w:sz w:val="18"/>
            <w:szCs w:val="18"/>
          </w:rPr>
          <w:t>http://www.telecom.gov.sk/files/statistika_vud/preprava_nakl.htm</w:t>
        </w:r>
      </w:hyperlink>
      <w:r>
        <w:rPr>
          <w:sz w:val="18"/>
          <w:szCs w:val="18"/>
        </w:rPr>
        <w:t xml:space="preserve"> </w:t>
      </w:r>
    </w:p>
  </w:footnote>
  <w:footnote w:id="13">
    <w:p w:rsidR="00532DA2" w:rsidRDefault="00532DA2" w:rsidP="003C1464">
      <w:pPr>
        <w:pStyle w:val="Textpoznmkypodiarou"/>
        <w:jc w:val="both"/>
      </w:pPr>
      <w:r>
        <w:rPr>
          <w:rStyle w:val="Odkaznapoznmkupodiarou"/>
        </w:rPr>
        <w:footnoteRef/>
      </w:r>
      <w:r>
        <w:t xml:space="preserve"> Zdroj: Strategický plán rozvoja dopravnej infraštruktúry SR do roku 2020 (výpočet MDVRR SR na základe vývoja dopravných výkonov podľa druhu ciest v tis. vozokm za priemerný deň roka (údaje za rok 2010)).</w:t>
      </w:r>
    </w:p>
  </w:footnote>
  <w:footnote w:id="14">
    <w:p w:rsidR="00532DA2" w:rsidRPr="007B4B46" w:rsidRDefault="00532DA2" w:rsidP="003C1464">
      <w:pPr>
        <w:pStyle w:val="Textpoznmkypodiarou"/>
        <w:jc w:val="both"/>
        <w:rPr>
          <w:sz w:val="18"/>
          <w:szCs w:val="18"/>
        </w:rPr>
      </w:pPr>
      <w:r>
        <w:rPr>
          <w:rStyle w:val="Odkaznapoznmkupodiarou"/>
        </w:rPr>
        <w:footnoteRef/>
      </w:r>
      <w:r>
        <w:t xml:space="preserve"> </w:t>
      </w:r>
      <w:r>
        <w:rPr>
          <w:sz w:val="18"/>
          <w:szCs w:val="18"/>
        </w:rPr>
        <w:t xml:space="preserve">Výpočet MDVRR SR na základe údajov z Cestnej databanky (zdroj: </w:t>
      </w:r>
      <w:hyperlink r:id="rId4" w:history="1">
        <w:r w:rsidRPr="002C5A30">
          <w:rPr>
            <w:rStyle w:val="Hypertextovprepojenie"/>
            <w:sz w:val="18"/>
            <w:szCs w:val="18"/>
          </w:rPr>
          <w:t>http://www.cdb.sk/sk/Vystupy-CDB/Statisticke-prehlady/Dlzky-cestnych-komunikacii.alej</w:t>
        </w:r>
      </w:hyperlink>
      <w:r>
        <w:rPr>
          <w:sz w:val="18"/>
          <w:szCs w:val="18"/>
        </w:rPr>
        <w:t xml:space="preserve">) </w:t>
      </w:r>
    </w:p>
  </w:footnote>
  <w:footnote w:id="15">
    <w:p w:rsidR="00532DA2" w:rsidRPr="0079404A" w:rsidRDefault="00532DA2">
      <w:pPr>
        <w:pStyle w:val="Textpoznmkypodiarou"/>
        <w:rPr>
          <w:sz w:val="18"/>
          <w:szCs w:val="18"/>
        </w:rPr>
      </w:pPr>
      <w:r w:rsidRPr="0079404A">
        <w:rPr>
          <w:rStyle w:val="Odkaznapoznmkupodiarou"/>
          <w:sz w:val="18"/>
          <w:szCs w:val="18"/>
        </w:rPr>
        <w:footnoteRef/>
      </w:r>
      <w:r w:rsidRPr="0079404A">
        <w:rPr>
          <w:sz w:val="18"/>
          <w:szCs w:val="18"/>
        </w:rPr>
        <w:t xml:space="preserve"> schválený uznesením vlády SR č. 798 zo 14. decembra 2011</w:t>
      </w:r>
    </w:p>
  </w:footnote>
  <w:footnote w:id="16">
    <w:p w:rsidR="00532DA2" w:rsidRDefault="00532DA2" w:rsidP="00FA4C5A">
      <w:pPr>
        <w:pStyle w:val="Textpoznmkypodiarou"/>
      </w:pPr>
      <w:r>
        <w:rPr>
          <w:rStyle w:val="Odkaznapoznmkupodiarou"/>
        </w:rPr>
        <w:footnoteRef/>
      </w:r>
      <w:hyperlink r:id="rId5" w:history="1">
        <w:r w:rsidRPr="003E4EA1">
          <w:rPr>
            <w:rStyle w:val="Hypertextovprepojenie"/>
          </w:rPr>
          <w:t>http://epp.eurostat.ec.europa.eu/statistics_explained/index.php?title=File:Modal_split_of_inland_freight_transport,_2000_and_2010_(1)_(%25_of_total_inland_tkm).png&amp;filetimestamp=20121016055006</w:t>
        </w:r>
      </w:hyperlink>
    </w:p>
  </w:footnote>
  <w:footnote w:id="17">
    <w:p w:rsidR="00532DA2" w:rsidRPr="007828EF" w:rsidRDefault="00532DA2" w:rsidP="002F2B02">
      <w:pPr>
        <w:pStyle w:val="Textpoznmkypodiarou"/>
        <w:rPr>
          <w:sz w:val="18"/>
          <w:szCs w:val="18"/>
        </w:rPr>
      </w:pPr>
      <w:r w:rsidRPr="007828EF">
        <w:rPr>
          <w:rStyle w:val="Odkaznapoznmkupodiarou"/>
          <w:sz w:val="18"/>
          <w:szCs w:val="18"/>
        </w:rPr>
        <w:footnoteRef/>
      </w:r>
      <w:r w:rsidRPr="007828EF">
        <w:rPr>
          <w:sz w:val="18"/>
          <w:szCs w:val="18"/>
        </w:rPr>
        <w:t xml:space="preserve"> klasifikácia v zmysle Európsk</w:t>
      </w:r>
      <w:r>
        <w:rPr>
          <w:sz w:val="18"/>
          <w:szCs w:val="18"/>
        </w:rPr>
        <w:t>ej</w:t>
      </w:r>
      <w:r w:rsidRPr="007828EF">
        <w:rPr>
          <w:sz w:val="18"/>
          <w:szCs w:val="18"/>
        </w:rPr>
        <w:t xml:space="preserve"> dohod</w:t>
      </w:r>
      <w:r>
        <w:rPr>
          <w:sz w:val="18"/>
          <w:szCs w:val="18"/>
        </w:rPr>
        <w:t>y</w:t>
      </w:r>
      <w:r w:rsidRPr="007828EF">
        <w:rPr>
          <w:sz w:val="18"/>
          <w:szCs w:val="18"/>
        </w:rPr>
        <w:t xml:space="preserve"> o hlavných vnútrozemských vodných cestách medzinárodného významu (AGN)</w:t>
      </w:r>
    </w:p>
  </w:footnote>
  <w:footnote w:id="18">
    <w:p w:rsidR="00532DA2" w:rsidRPr="002F56BA" w:rsidRDefault="00532DA2" w:rsidP="002F2B02">
      <w:pPr>
        <w:pStyle w:val="Textpoznmkypodiarou"/>
        <w:jc w:val="both"/>
        <w:rPr>
          <w:sz w:val="18"/>
          <w:szCs w:val="18"/>
        </w:rPr>
      </w:pPr>
      <w:r w:rsidRPr="002F56BA">
        <w:rPr>
          <w:rStyle w:val="Odkaznapoznmkupodiarou"/>
          <w:sz w:val="18"/>
          <w:szCs w:val="18"/>
        </w:rPr>
        <w:footnoteRef/>
      </w:r>
      <w:r w:rsidRPr="002F56BA">
        <w:rPr>
          <w:sz w:val="18"/>
          <w:szCs w:val="18"/>
        </w:rPr>
        <w:t xml:space="preserve"> Dňa 9. decembra 2010 Európska komisia zverejnila návrh Oznámenia o Stratégii EÚ pre dunajský región </w:t>
      </w:r>
      <w:r>
        <w:rPr>
          <w:sz w:val="18"/>
          <w:szCs w:val="18"/>
        </w:rPr>
        <w:t>(</w:t>
      </w:r>
      <w:hyperlink r:id="rId6" w:history="1">
        <w:r w:rsidRPr="00173762">
          <w:rPr>
            <w:rStyle w:val="Hypertextovprepojenie"/>
            <w:sz w:val="18"/>
            <w:szCs w:val="18"/>
          </w:rPr>
          <w:t>odkaz</w:t>
        </w:r>
      </w:hyperlink>
      <w:r>
        <w:rPr>
          <w:sz w:val="18"/>
          <w:szCs w:val="18"/>
        </w:rPr>
        <w:t xml:space="preserve">) </w:t>
      </w:r>
      <w:r w:rsidRPr="002F56BA">
        <w:rPr>
          <w:sz w:val="18"/>
          <w:szCs w:val="18"/>
        </w:rPr>
        <w:t>a sprievodný, pracovný dokument - Akčný plán Stratégie EÚ pre dunajský región. Rada pre všeobecné zále</w:t>
      </w:r>
      <w:r>
        <w:rPr>
          <w:sz w:val="18"/>
          <w:szCs w:val="18"/>
        </w:rPr>
        <w:t>žitosti na svojom zasadnutí dňa </w:t>
      </w:r>
      <w:r w:rsidRPr="002F56BA">
        <w:rPr>
          <w:sz w:val="18"/>
          <w:szCs w:val="18"/>
        </w:rPr>
        <w:t>13. apríla 2011 schválila závery Rady k Dunajskej stratégií. Dunajská stratégia bola schválená na zasadnutí Európskej rady 24. júna 2011. Aktualizovaná Národná pozícia k Stratégii EÚ pre dunajský región a návrh je</w:t>
      </w:r>
      <w:r>
        <w:rPr>
          <w:sz w:val="18"/>
          <w:szCs w:val="18"/>
        </w:rPr>
        <w:t>j koordinácie bola schválená UV </w:t>
      </w:r>
      <w:r w:rsidRPr="002F56BA">
        <w:rPr>
          <w:sz w:val="18"/>
          <w:szCs w:val="18"/>
        </w:rPr>
        <w:t>SR č. 229/2011</w:t>
      </w:r>
      <w:r>
        <w:rPr>
          <w:sz w:val="18"/>
          <w:szCs w:val="18"/>
        </w:rPr>
        <w:t xml:space="preserve"> (</w:t>
      </w:r>
      <w:hyperlink r:id="rId7" w:history="1">
        <w:r w:rsidRPr="002F56BA">
          <w:rPr>
            <w:rStyle w:val="Hypertextovprepojenie"/>
            <w:sz w:val="18"/>
            <w:szCs w:val="18"/>
          </w:rPr>
          <w:t>odkaz</w:t>
        </w:r>
      </w:hyperlink>
      <w:r>
        <w:rPr>
          <w:sz w:val="18"/>
          <w:szCs w:val="18"/>
        </w:rPr>
        <w:t>)</w:t>
      </w:r>
      <w:r w:rsidRPr="002F56BA">
        <w:rPr>
          <w:sz w:val="18"/>
          <w:szCs w:val="18"/>
        </w:rPr>
        <w:t>.</w:t>
      </w:r>
    </w:p>
  </w:footnote>
  <w:footnote w:id="19">
    <w:p w:rsidR="00532DA2" w:rsidRDefault="00532DA2">
      <w:pPr>
        <w:pStyle w:val="Textpoznmkypodiarou"/>
      </w:pPr>
      <w:r>
        <w:rPr>
          <w:rStyle w:val="Odkaznapoznmkupodiarou"/>
        </w:rPr>
        <w:footnoteRef/>
      </w:r>
      <w:r>
        <w:t xml:space="preserve"> </w:t>
      </w:r>
      <w:r w:rsidRPr="008F7124">
        <w:rPr>
          <w:sz w:val="18"/>
          <w:szCs w:val="18"/>
        </w:rPr>
        <w:t>úsek Bratislava Rača – Nové Mesto nad Váhom systémom ETCS L1</w:t>
      </w:r>
    </w:p>
  </w:footnote>
  <w:footnote w:id="20">
    <w:p w:rsidR="00532DA2" w:rsidRPr="004C77FC" w:rsidRDefault="00532DA2">
      <w:pPr>
        <w:pStyle w:val="Textpoznmkypodiarou"/>
        <w:rPr>
          <w:sz w:val="18"/>
          <w:szCs w:val="18"/>
        </w:rPr>
      </w:pPr>
      <w:r w:rsidRPr="004C77FC">
        <w:rPr>
          <w:rStyle w:val="Odkaznapoznmkupodiarou"/>
          <w:sz w:val="18"/>
          <w:szCs w:val="18"/>
        </w:rPr>
        <w:footnoteRef/>
      </w:r>
      <w:r w:rsidRPr="004C77FC">
        <w:rPr>
          <w:sz w:val="18"/>
          <w:szCs w:val="18"/>
        </w:rPr>
        <w:t xml:space="preserve"> </w:t>
      </w:r>
      <w:r>
        <w:rPr>
          <w:sz w:val="18"/>
          <w:szCs w:val="18"/>
        </w:rPr>
        <w:t>S</w:t>
      </w:r>
      <w:r w:rsidRPr="004C77FC">
        <w:rPr>
          <w:sz w:val="18"/>
          <w:szCs w:val="18"/>
        </w:rPr>
        <w:t>chválený uznesením vlády SR č. 798 zo 14. d</w:t>
      </w:r>
      <w:r>
        <w:rPr>
          <w:sz w:val="18"/>
          <w:szCs w:val="18"/>
        </w:rPr>
        <w:t>ecembra 2011</w:t>
      </w:r>
    </w:p>
  </w:footnote>
  <w:footnote w:id="21">
    <w:p w:rsidR="00532DA2" w:rsidRPr="001E09F3" w:rsidRDefault="00532DA2">
      <w:pPr>
        <w:pStyle w:val="Textpoznmkypodiarou"/>
      </w:pPr>
      <w:r>
        <w:rPr>
          <w:rStyle w:val="Odkaznapoznmkupodiarou"/>
        </w:rPr>
        <w:footnoteRef/>
      </w:r>
      <w:r>
        <w:t xml:space="preserve"> § 7 (1)</w:t>
      </w:r>
    </w:p>
  </w:footnote>
  <w:footnote w:id="22">
    <w:p w:rsidR="00532DA2" w:rsidRDefault="00532DA2" w:rsidP="00445E30">
      <w:pPr>
        <w:pStyle w:val="Textpoznmkypodiarou"/>
      </w:pPr>
      <w:r>
        <w:rPr>
          <w:rStyle w:val="Odkaznapoznmkupodiarou"/>
        </w:rPr>
        <w:footnoteRef/>
      </w:r>
      <w:r>
        <w:t xml:space="preserve"> </w:t>
      </w:r>
      <w:r w:rsidRPr="00487D03">
        <w:t>http://www.epractice.eu/en/library/5283331</w:t>
      </w:r>
    </w:p>
  </w:footnote>
  <w:footnote w:id="23">
    <w:p w:rsidR="00532DA2" w:rsidRDefault="00532DA2" w:rsidP="00B80F3A">
      <w:pPr>
        <w:pStyle w:val="Textpoznmkypodiarou"/>
      </w:pPr>
      <w:r>
        <w:rPr>
          <w:rStyle w:val="Odkaznapoznmkupodiarou"/>
        </w:rPr>
        <w:footnoteRef/>
      </w:r>
      <w:r>
        <w:t xml:space="preserve"> </w:t>
      </w:r>
      <w:r w:rsidRPr="00487D03">
        <w:t>http://www.epractice.eu/en/library/5283331</w:t>
      </w:r>
    </w:p>
  </w:footnote>
  <w:footnote w:id="24">
    <w:p w:rsidR="00532DA2" w:rsidRDefault="00532DA2" w:rsidP="00B80F3A">
      <w:pPr>
        <w:pStyle w:val="Textpoznmkypodiarou"/>
        <w:jc w:val="both"/>
      </w:pPr>
      <w:r>
        <w:rPr>
          <w:rStyle w:val="Odkaznapoznmkupodiarou"/>
        </w:rPr>
        <w:footnoteRef/>
      </w:r>
      <w:r>
        <w:t xml:space="preserve"> </w:t>
      </w:r>
      <w:r>
        <w:rPr>
          <w:lang w:eastAsia="de-DE"/>
        </w:rPr>
        <w:t>Znevýhodnenú skupinu občanov tvoria z veľkej časti ľudia vo veku od 55 do 74 rokov, ľudia s nízkymi príjmami, nezamestnaní a ľudia s nižším vzdelaním alebo postihnutím.</w:t>
      </w:r>
    </w:p>
  </w:footnote>
  <w:footnote w:id="25">
    <w:p w:rsidR="00532DA2" w:rsidRDefault="00532DA2" w:rsidP="00582AB1">
      <w:pPr>
        <w:pStyle w:val="Textpoznmkypodiarou"/>
      </w:pPr>
      <w:r>
        <w:rPr>
          <w:rStyle w:val="Odkaznapoznmkupodiarou"/>
        </w:rPr>
        <w:footnoteRef/>
      </w:r>
      <w:r>
        <w:t xml:space="preserve"> </w:t>
      </w:r>
      <w:r w:rsidRPr="00487D03">
        <w:t>http://informatizacia.sk/strategicky-dokument/16604s</w:t>
      </w:r>
    </w:p>
  </w:footnote>
  <w:footnote w:id="26">
    <w:p w:rsidR="00532DA2" w:rsidRDefault="00532DA2" w:rsidP="00582AB1">
      <w:pPr>
        <w:pStyle w:val="Textpoznmkypodiarou"/>
      </w:pPr>
      <w:r>
        <w:rPr>
          <w:rStyle w:val="Odkaznapoznmkupodiarou"/>
        </w:rPr>
        <w:footnoteRef/>
      </w:r>
      <w:r>
        <w:t xml:space="preserve"> </w:t>
      </w:r>
      <w:r w:rsidRPr="00487D03">
        <w:t>http://www.informatizacia.sk/narodna-strategia-pre-ib/6783s</w:t>
      </w:r>
    </w:p>
  </w:footnote>
  <w:footnote w:id="27">
    <w:p w:rsidR="00532DA2" w:rsidRPr="001E09F3" w:rsidRDefault="00532DA2" w:rsidP="001E09F3">
      <w:pPr>
        <w:pStyle w:val="Textpoznmkypodiarou"/>
        <w:jc w:val="both"/>
        <w:rPr>
          <w:sz w:val="18"/>
          <w:szCs w:val="18"/>
        </w:rPr>
      </w:pPr>
      <w:r w:rsidRPr="001E09F3">
        <w:rPr>
          <w:rStyle w:val="Odkaznapoznmkupodiarou"/>
          <w:sz w:val="18"/>
          <w:szCs w:val="18"/>
        </w:rPr>
        <w:footnoteRef/>
      </w:r>
      <w:r w:rsidRPr="001E09F3">
        <w:rPr>
          <w:sz w:val="18"/>
          <w:szCs w:val="18"/>
        </w:rPr>
        <w:t xml:space="preserve"> v znení </w:t>
      </w:r>
      <w:r>
        <w:rPr>
          <w:sz w:val="18"/>
          <w:szCs w:val="18"/>
        </w:rPr>
        <w:t>n</w:t>
      </w:r>
      <w:r w:rsidRPr="001E09F3">
        <w:rPr>
          <w:sz w:val="18"/>
          <w:szCs w:val="18"/>
        </w:rPr>
        <w:t xml:space="preserve">ariadenia vlády Slovenskej republiky č. 461/2011 Z. z. zo 16. novembra 2011, </w:t>
      </w:r>
      <w:r>
        <w:rPr>
          <w:sz w:val="18"/>
          <w:szCs w:val="18"/>
        </w:rPr>
        <w:t>ktorým sa vyhlasujú zmeny a </w:t>
      </w:r>
      <w:r w:rsidRPr="001E09F3">
        <w:rPr>
          <w:sz w:val="18"/>
          <w:szCs w:val="18"/>
        </w:rPr>
        <w:t>doplnky záväznej časti Koncepcie územného rozvoja Slovenska 2001</w:t>
      </w:r>
    </w:p>
  </w:footnote>
  <w:footnote w:id="28">
    <w:p w:rsidR="00532DA2" w:rsidRDefault="00532DA2" w:rsidP="00B476FF">
      <w:pPr>
        <w:pStyle w:val="Textpoznmkypodiarou"/>
      </w:pPr>
      <w:r>
        <w:rPr>
          <w:rStyle w:val="Odkaznapoznmkupodiarou"/>
        </w:rPr>
        <w:footnoteRef/>
      </w:r>
      <w:r>
        <w:t xml:space="preserve"> </w:t>
      </w:r>
      <w:r>
        <w:rPr>
          <w:szCs w:val="16"/>
        </w:rPr>
        <w:t>A</w:t>
      </w:r>
      <w:r w:rsidRPr="00D828C9">
        <w:rPr>
          <w:szCs w:val="16"/>
        </w:rPr>
        <w:t xml:space="preserve">tlas rómskych </w:t>
      </w:r>
      <w:r>
        <w:rPr>
          <w:szCs w:val="16"/>
        </w:rPr>
        <w:t>k</w:t>
      </w:r>
      <w:r w:rsidRPr="00D828C9">
        <w:rPr>
          <w:szCs w:val="16"/>
        </w:rPr>
        <w:t>omunít 2013 (</w:t>
      </w:r>
      <w:hyperlink r:id="rId8" w:history="1">
        <w:r w:rsidRPr="003030E7">
          <w:rPr>
            <w:rStyle w:val="Hypertextovprepojenie"/>
            <w:szCs w:val="16"/>
          </w:rPr>
          <w:t>http://www.minv.sk/?atlas_2013</w:t>
        </w:r>
      </w:hyperlink>
      <w:r w:rsidRPr="00D828C9">
        <w:rPr>
          <w:szCs w:val="16"/>
        </w:rPr>
        <w:t>)</w:t>
      </w:r>
    </w:p>
  </w:footnote>
  <w:footnote w:id="29">
    <w:p w:rsidR="00532DA2" w:rsidRDefault="00532DA2" w:rsidP="00B476FF">
      <w:pPr>
        <w:pStyle w:val="Textpoznmkypodiarou"/>
      </w:pPr>
      <w:r>
        <w:rPr>
          <w:rStyle w:val="Odkaznapoznmkupodiarou"/>
        </w:rPr>
        <w:footnoteRef/>
      </w:r>
      <w:r>
        <w:t xml:space="preserve"> </w:t>
      </w:r>
      <w:hyperlink r:id="rId9" w:history="1">
        <w:r w:rsidRPr="003030E7">
          <w:rPr>
            <w:rStyle w:val="Hypertextovprepojenie"/>
            <w:szCs w:val="16"/>
          </w:rPr>
          <w:t>http://www.minv.sk/swift_data/source/romovia/dokumenty/StrategiaSR_integraciaRomov.pdf</w:t>
        </w:r>
      </w:hyperlink>
    </w:p>
  </w:footnote>
  <w:footnote w:id="30">
    <w:p w:rsidR="00532DA2" w:rsidRDefault="00532DA2" w:rsidP="00B476FF">
      <w:pPr>
        <w:pStyle w:val="Textpoznmkypodiarou"/>
      </w:pPr>
      <w:r>
        <w:rPr>
          <w:rStyle w:val="Odkaznapoznmkupodiarou"/>
        </w:rPr>
        <w:footnoteRef/>
      </w:r>
      <w:r>
        <w:t xml:space="preserve"> </w:t>
      </w:r>
      <w:hyperlink r:id="rId10" w:history="1">
        <w:r w:rsidRPr="003030E7">
          <w:rPr>
            <w:rStyle w:val="Hypertextovprepojenie"/>
            <w:szCs w:val="16"/>
          </w:rPr>
          <w:t>http://www.minv.sk/?romske-komunity-uvod&amp;subor=160529</w:t>
        </w:r>
      </w:hyperlink>
    </w:p>
  </w:footnote>
  <w:footnote w:id="31">
    <w:p w:rsidR="00532DA2" w:rsidRDefault="00532DA2" w:rsidP="00B476FF">
      <w:pPr>
        <w:pStyle w:val="Textpoznmkypodiarou"/>
      </w:pPr>
      <w:r>
        <w:rPr>
          <w:rStyle w:val="Odkaznapoznmkupodiarou"/>
        </w:rPr>
        <w:footnoteRef/>
      </w:r>
      <w:r>
        <w:t xml:space="preserve"> </w:t>
      </w:r>
      <w:r w:rsidRPr="00D828C9">
        <w:rPr>
          <w:szCs w:val="16"/>
        </w:rPr>
        <w:t xml:space="preserve">COM(2013) 460 final </w:t>
      </w:r>
      <w:hyperlink r:id="rId11" w:history="1">
        <w:r w:rsidRPr="00E07889">
          <w:rPr>
            <w:rStyle w:val="Hypertextovprepojenie"/>
            <w:szCs w:val="16"/>
          </w:rPr>
          <w:t>http://ec.europa.eu/justice/discrimination/files/com_2013_460_en.pdf</w:t>
        </w:r>
      </w:hyperlink>
    </w:p>
  </w:footnote>
  <w:footnote w:id="32">
    <w:p w:rsidR="00532DA2" w:rsidRDefault="00532DA2" w:rsidP="00B476FF">
      <w:pPr>
        <w:pStyle w:val="Textpoznmkypodiarou"/>
      </w:pPr>
      <w:r>
        <w:rPr>
          <w:rStyle w:val="Odkaznapoznmkupodiarou"/>
        </w:rPr>
        <w:footnoteRef/>
      </w:r>
      <w:r>
        <w:t xml:space="preserve"> </w:t>
      </w:r>
      <w:r w:rsidRPr="00D828C9">
        <w:rPr>
          <w:szCs w:val="16"/>
        </w:rPr>
        <w:t xml:space="preserve">COM(2013) 83 final </w:t>
      </w:r>
      <w:hyperlink r:id="rId12" w:history="1">
        <w:r w:rsidRPr="00E07889">
          <w:rPr>
            <w:rStyle w:val="Hypertextovprepojenie"/>
            <w:szCs w:val="16"/>
          </w:rPr>
          <w:t>http://eur-lex.europa.eu/LexUriServ/LexUriServ.do?uri=COM:2013:0083:FIN:SK:PDF</w:t>
        </w:r>
      </w:hyperlink>
    </w:p>
  </w:footnote>
  <w:footnote w:id="33">
    <w:p w:rsidR="00532DA2" w:rsidRPr="003162B7" w:rsidRDefault="00532DA2">
      <w:pPr>
        <w:pStyle w:val="Textpoznmkypodiarou"/>
        <w:rPr>
          <w:sz w:val="18"/>
          <w:szCs w:val="18"/>
        </w:rPr>
      </w:pPr>
      <w:r>
        <w:rPr>
          <w:rStyle w:val="Odkaznapoznmkupodiarou"/>
        </w:rPr>
        <w:footnoteRef/>
      </w:r>
      <w:r>
        <w:t xml:space="preserve"> </w:t>
      </w:r>
      <w:r>
        <w:rPr>
          <w:sz w:val="18"/>
          <w:szCs w:val="18"/>
        </w:rPr>
        <w:t>nariadenie Európskeho parlamentu a Rady (EÚ) č. 1316 z 11. decembra 2013, bod (15)</w:t>
      </w:r>
    </w:p>
  </w:footnote>
  <w:footnote w:id="34">
    <w:p w:rsidR="00532DA2" w:rsidRDefault="00532DA2" w:rsidP="00EA5B5E">
      <w:pPr>
        <w:pStyle w:val="Textpoznmkypodiarou"/>
        <w:jc w:val="both"/>
      </w:pPr>
      <w:r w:rsidRPr="00924F25">
        <w:rPr>
          <w:rStyle w:val="Odkaznapoznmkupodiarou"/>
        </w:rPr>
        <w:footnoteRef/>
      </w:r>
      <w:r w:rsidRPr="00924F25">
        <w:t xml:space="preserve"> V legislatí</w:t>
      </w:r>
      <w:r w:rsidRPr="008824FA">
        <w:t xml:space="preserve">ve </w:t>
      </w:r>
      <w:r>
        <w:t xml:space="preserve">SR </w:t>
      </w:r>
      <w:r w:rsidRPr="008824FA">
        <w:t xml:space="preserve">nie je </w:t>
      </w:r>
      <w:r w:rsidRPr="00924F25">
        <w:t>zásada „znečisťovateľ platí“  definovaná, avšak vo všeobecnosti možno pod touto zásadou rozumieť pravidlo, že ten, kto svojou činnosťou, prípadne nekonaním môže spôsobiť</w:t>
      </w:r>
      <w:r>
        <w:t>,</w:t>
      </w:r>
      <w:r w:rsidRPr="00924F25">
        <w:t xml:space="preserve"> alebo spôsobil znečisťovanie alebo poškodzovanie životného prostredia, by mal znášať </w:t>
      </w:r>
      <w:r>
        <w:t>aj</w:t>
      </w:r>
      <w:r w:rsidRPr="00924F25">
        <w:t> náklady na prevenčné a nápravné opatrenia predchádzajúce</w:t>
      </w:r>
      <w:r>
        <w:t>,</w:t>
      </w:r>
      <w:r w:rsidRPr="00924F25">
        <w:t xml:space="preserve"> alebo zabraňujúce znečisťovaniu alebo poškodzovaniu. </w:t>
      </w:r>
      <w:r w:rsidRPr="0015331F">
        <w:t xml:space="preserve">V prípade, ak nápravné opatrenia nie je možné vykonať tak, že sa životné prostredie uvedie do pôvodného stavu, mal by znečisťovateľ znášať takú kompenzáciu poškodenia, alebo znečistenia životného prostredia, ktorá bude úmerná miere svojho podielu tohto znečistenia, alebo poškodenia životného prostredia. Príslušný orgán verejnej správy môže prijať nevyhnutné preventívne alebo nápravné opatrenia, ale len v prípade, ak znečisťovateľ nie je schopný </w:t>
      </w:r>
      <w:r w:rsidRPr="00924F25">
        <w:t>tieto opatrenia realizovať sám. Zásada znečisťovateľ platí zahŕňa prevenčnú a nápravnú zložku.</w:t>
      </w:r>
      <w:r>
        <w:t xml:space="preserve"> </w:t>
      </w:r>
      <w:r w:rsidRPr="00C32A57">
        <w:rPr>
          <w:rFonts w:cs="Calibri"/>
          <w:szCs w:val="16"/>
        </w:rPr>
        <w:t xml:space="preserve">Prevenčná zložka – znamená, že každý, kto svojou akoukoľvek činnosťou, resp. opomenutím konania môže spôsobiť poškodenie životného prostredia, je povinný vykonať na vlastné náklady také opatrenia, ktoré predchádzajú znečisťovaniu alebo poškodzovaniu životného prostredia, prípadne tieto nežiaduce negatívne vplyvy vlastnej činnosti minimalizujú na úroveň, ktorá je prípustná z hľadiska osobitných predpisov (ide o prípustné limity znečisťovania ovzdušia, vody, pôdy a pod.). Nápravná zložka </w:t>
      </w:r>
      <w:r>
        <w:rPr>
          <w:rFonts w:cs="Calibri"/>
          <w:szCs w:val="16"/>
        </w:rPr>
        <w:t>–</w:t>
      </w:r>
      <w:r w:rsidRPr="00C32A57">
        <w:rPr>
          <w:rFonts w:cs="Calibri"/>
          <w:szCs w:val="16"/>
        </w:rPr>
        <w:t xml:space="preserve"> znamená, že každý, kto spôsobil závažné poškodenie alebo znečistenie životného prostredia, je povinný v súlade s príslušným všeobecne záväzným právnym predpisom na vlastné náklady toto znečistenie prípadne poškodenie životného prostredia odstrániť a uviesť životné prostredie do pôvodného stavu, prípadne do stavu, ktorý v čo najmenšej miere poškodzuje životné prostredie a z</w:t>
      </w:r>
      <w:r>
        <w:rPr>
          <w:rFonts w:cs="Calibri"/>
          <w:szCs w:val="16"/>
        </w:rPr>
        <w:t>nečisťuje jednotlivé jeho zložky</w:t>
      </w:r>
    </w:p>
  </w:footnote>
  <w:footnote w:id="35">
    <w:p w:rsidR="00532DA2" w:rsidRDefault="00532DA2" w:rsidP="00EA5B5E">
      <w:pPr>
        <w:pStyle w:val="Textpoznmkypodiarou"/>
      </w:pPr>
      <w:r w:rsidRPr="00CB7030">
        <w:rPr>
          <w:rStyle w:val="Odkaznapoznmkupodiarou"/>
        </w:rPr>
        <w:footnoteRef/>
      </w:r>
      <w:r w:rsidRPr="00CB7030">
        <w:t xml:space="preserve"> </w:t>
      </w:r>
      <w:hyperlink r:id="rId13" w:history="1">
        <w:r w:rsidRPr="00E07889">
          <w:rPr>
            <w:rStyle w:val="Hypertextovprepojenie"/>
            <w:szCs w:val="16"/>
          </w:rPr>
          <w:t>http://www.rokovania.sk/File.aspx/ViewDocumentHtml/Mater-Dokum-141217?prefixFile=m_</w:t>
        </w:r>
      </w:hyperlink>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776478">
    <w:pPr>
      <w:pStyle w:val="Hlavika"/>
      <w:tabs>
        <w:tab w:val="clear" w:pos="9072"/>
        <w:tab w:val="right" w:pos="9071"/>
        <w:tab w:val="right" w:pos="13860"/>
      </w:tabs>
      <w:rPr>
        <w:caps/>
        <w:sz w:val="20"/>
        <w:szCs w:val="20"/>
      </w:rPr>
    </w:pPr>
    <w:r>
      <w:rPr>
        <w:sz w:val="20"/>
        <w:szCs w:val="20"/>
      </w:rPr>
      <w:tab/>
    </w:r>
    <w:r>
      <w:rPr>
        <w:sz w:val="20"/>
        <w:szCs w:val="20"/>
      </w:rPr>
      <w:tab/>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776478">
    <w:pPr>
      <w:pStyle w:val="Hlavika"/>
      <w:tabs>
        <w:tab w:val="clear" w:pos="9072"/>
        <w:tab w:val="right" w:pos="9071"/>
        <w:tab w:val="right" w:pos="13860"/>
      </w:tabs>
      <w:rPr>
        <w:caps/>
        <w:sz w:val="20"/>
        <w:szCs w:val="20"/>
      </w:rPr>
    </w:pPr>
    <w:r>
      <w:rPr>
        <w:sz w:val="20"/>
        <w:szCs w:val="20"/>
      </w:rPr>
      <w:tab/>
    </w:r>
    <w:r>
      <w:rPr>
        <w:sz w:val="20"/>
        <w:szCs w:val="20"/>
      </w:rPr>
      <w:tab/>
    </w:r>
    <w:r>
      <w:rPr>
        <w:sz w:val="20"/>
        <w:szCs w:val="20"/>
      </w:rPr>
      <w:tab/>
    </w:r>
    <w:r>
      <w:rPr>
        <w:sz w:val="20"/>
        <w:szCs w:val="20"/>
      </w:rPr>
      <w:tab/>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776478">
    <w:pPr>
      <w:pStyle w:val="Hlavika"/>
      <w:tabs>
        <w:tab w:val="clear" w:pos="9072"/>
        <w:tab w:val="right" w:pos="9071"/>
        <w:tab w:val="right" w:pos="13860"/>
      </w:tabs>
      <w:rPr>
        <w:caps/>
        <w:sz w:val="20"/>
        <w:szCs w:val="20"/>
      </w:rPr>
    </w:pPr>
    <w:r>
      <w:rPr>
        <w:sz w:val="20"/>
        <w:szCs w:val="20"/>
      </w:rPr>
      <w:t>Operačný program Integrovaná infraštruktúra</w:t>
    </w:r>
    <w:r>
      <w:rPr>
        <w:sz w:val="20"/>
        <w:szCs w:val="20"/>
      </w:rPr>
      <w:tab/>
    </w:r>
    <w:r>
      <w:rPr>
        <w:sz w:val="20"/>
        <w:szCs w:val="20"/>
      </w:rPr>
      <w:tab/>
      <w:t>STRATÉGIA</w:t>
    </w:r>
    <w:r>
      <w:rPr>
        <w:sz w:val="20"/>
        <w:szCs w:val="20"/>
      </w:rPr>
      <w:tab/>
    </w:r>
    <w:r>
      <w:rPr>
        <w:sz w:val="20"/>
        <w:szCs w:val="20"/>
      </w:rPr>
      <w:tab/>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C87B04">
    <w:pPr>
      <w:pStyle w:val="Hlavika"/>
      <w:tabs>
        <w:tab w:val="clear" w:pos="9072"/>
        <w:tab w:val="right" w:pos="9071"/>
        <w:tab w:val="right" w:pos="14124"/>
      </w:tabs>
      <w:rPr>
        <w:caps/>
        <w:sz w:val="20"/>
        <w:szCs w:val="20"/>
      </w:rPr>
    </w:pPr>
    <w:r>
      <w:rPr>
        <w:sz w:val="20"/>
        <w:szCs w:val="20"/>
      </w:rPr>
      <w:t>Operačný program Integrovaná infraštruktúra</w:t>
    </w:r>
    <w:r>
      <w:rPr>
        <w:sz w:val="20"/>
        <w:szCs w:val="20"/>
      </w:rPr>
      <w:tab/>
    </w:r>
    <w:r>
      <w:rPr>
        <w:sz w:val="20"/>
        <w:szCs w:val="20"/>
      </w:rPr>
      <w:tab/>
    </w:r>
    <w:r>
      <w:rPr>
        <w:sz w:val="20"/>
        <w:szCs w:val="20"/>
      </w:rPr>
      <w:tab/>
      <w:t>STRATÉGIA</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C87B04">
    <w:pPr>
      <w:pStyle w:val="Hlavika"/>
      <w:tabs>
        <w:tab w:val="clear" w:pos="9072"/>
        <w:tab w:val="right" w:pos="9071"/>
        <w:tab w:val="right" w:pos="14124"/>
      </w:tabs>
      <w:rPr>
        <w:caps/>
        <w:sz w:val="20"/>
        <w:szCs w:val="20"/>
      </w:rPr>
    </w:pPr>
    <w:r>
      <w:rPr>
        <w:sz w:val="20"/>
        <w:szCs w:val="20"/>
      </w:rPr>
      <w:t>Operačný program Integrovaná infraštruktúra</w:t>
    </w:r>
    <w:r>
      <w:rPr>
        <w:sz w:val="20"/>
        <w:szCs w:val="20"/>
      </w:rPr>
      <w:tab/>
    </w:r>
    <w:r>
      <w:rPr>
        <w:sz w:val="20"/>
        <w:szCs w:val="20"/>
      </w:rPr>
      <w:tab/>
      <w:t>PRIORITNÉ OSI/ PO 1</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776478">
    <w:pPr>
      <w:pStyle w:val="Hlavika"/>
      <w:tabs>
        <w:tab w:val="clear" w:pos="9072"/>
        <w:tab w:val="right" w:pos="9071"/>
        <w:tab w:val="right" w:pos="13860"/>
      </w:tabs>
      <w:rPr>
        <w:caps/>
        <w:sz w:val="20"/>
        <w:szCs w:val="20"/>
      </w:rPr>
    </w:pPr>
    <w:r>
      <w:rPr>
        <w:sz w:val="20"/>
        <w:szCs w:val="20"/>
      </w:rPr>
      <w:t>Operačný program Integrovaná infraštruktúra</w:t>
    </w:r>
    <w:r>
      <w:rPr>
        <w:sz w:val="20"/>
        <w:szCs w:val="20"/>
      </w:rPr>
      <w:tab/>
    </w:r>
    <w:r>
      <w:rPr>
        <w:sz w:val="20"/>
        <w:szCs w:val="20"/>
      </w:rPr>
      <w:tab/>
      <w:t>PRIORITNÉ OSI/ PO 2</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B64495" w:rsidRDefault="00532DA2" w:rsidP="00776478">
    <w:pPr>
      <w:pStyle w:val="Hlavika"/>
      <w:tabs>
        <w:tab w:val="clear" w:pos="9072"/>
        <w:tab w:val="right" w:pos="9071"/>
        <w:tab w:val="right" w:pos="13860"/>
      </w:tabs>
      <w:rPr>
        <w:sz w:val="20"/>
        <w:szCs w:val="20"/>
      </w:rPr>
    </w:pPr>
    <w:r>
      <w:rPr>
        <w:sz w:val="20"/>
        <w:szCs w:val="20"/>
      </w:rPr>
      <w:t>Operačný program Integrovaná infraštruktúra</w:t>
    </w:r>
    <w:r>
      <w:rPr>
        <w:sz w:val="20"/>
        <w:szCs w:val="20"/>
      </w:rPr>
      <w:tab/>
    </w:r>
    <w:r>
      <w:rPr>
        <w:sz w:val="20"/>
        <w:szCs w:val="20"/>
      </w:rPr>
      <w:tab/>
      <w:t>PRIORITNÉ OSI/ PO 3</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B64495" w:rsidRDefault="00532DA2" w:rsidP="00776478">
    <w:pPr>
      <w:pStyle w:val="Hlavika"/>
      <w:tabs>
        <w:tab w:val="clear" w:pos="9072"/>
        <w:tab w:val="right" w:pos="9071"/>
        <w:tab w:val="right" w:pos="13860"/>
      </w:tabs>
      <w:rPr>
        <w:sz w:val="20"/>
        <w:szCs w:val="20"/>
      </w:rPr>
    </w:pPr>
    <w:r>
      <w:rPr>
        <w:sz w:val="20"/>
        <w:szCs w:val="20"/>
      </w:rPr>
      <w:t>Operačný program Integrovaná infraštruktúra</w:t>
    </w:r>
    <w:r>
      <w:rPr>
        <w:sz w:val="20"/>
        <w:szCs w:val="20"/>
      </w:rPr>
      <w:tab/>
    </w:r>
    <w:r>
      <w:rPr>
        <w:sz w:val="20"/>
        <w:szCs w:val="20"/>
      </w:rPr>
      <w:tab/>
      <w:t>PRIORITNÉ OSI/ PO 4</w: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B64495" w:rsidRDefault="00532DA2" w:rsidP="00776478">
    <w:pPr>
      <w:pStyle w:val="Hlavika"/>
      <w:tabs>
        <w:tab w:val="clear" w:pos="9072"/>
        <w:tab w:val="right" w:pos="9071"/>
        <w:tab w:val="right" w:pos="13860"/>
      </w:tabs>
      <w:rPr>
        <w:sz w:val="20"/>
        <w:szCs w:val="20"/>
      </w:rPr>
    </w:pPr>
    <w:r>
      <w:rPr>
        <w:sz w:val="20"/>
        <w:szCs w:val="20"/>
      </w:rPr>
      <w:t>Operačný program Integrovaná infraštruktúra</w:t>
    </w:r>
    <w:r>
      <w:rPr>
        <w:sz w:val="20"/>
        <w:szCs w:val="20"/>
      </w:rPr>
      <w:tab/>
    </w:r>
    <w:r>
      <w:rPr>
        <w:sz w:val="20"/>
        <w:szCs w:val="20"/>
      </w:rPr>
      <w:tab/>
      <w:t>PRIORITNÉ OSI/ PO 5</w: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B64495" w:rsidRDefault="00532DA2" w:rsidP="00776478">
    <w:pPr>
      <w:pStyle w:val="Hlavika"/>
      <w:tabs>
        <w:tab w:val="clear" w:pos="9072"/>
        <w:tab w:val="right" w:pos="9071"/>
        <w:tab w:val="right" w:pos="13860"/>
      </w:tabs>
      <w:rPr>
        <w:sz w:val="20"/>
        <w:szCs w:val="20"/>
      </w:rPr>
    </w:pPr>
    <w:r>
      <w:rPr>
        <w:sz w:val="20"/>
        <w:szCs w:val="20"/>
      </w:rPr>
      <w:t>Operačný program Integrovaná infraštruktúra</w:t>
    </w:r>
    <w:r>
      <w:rPr>
        <w:sz w:val="20"/>
        <w:szCs w:val="20"/>
      </w:rPr>
      <w:tab/>
    </w:r>
    <w:r>
      <w:rPr>
        <w:sz w:val="20"/>
        <w:szCs w:val="20"/>
      </w:rPr>
      <w:tab/>
      <w:t>PRIORITNÉ OSI/ PO 6</w: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B64495" w:rsidRDefault="00532DA2" w:rsidP="00776478">
    <w:pPr>
      <w:pStyle w:val="Hlavika"/>
      <w:tabs>
        <w:tab w:val="clear" w:pos="9072"/>
        <w:tab w:val="right" w:pos="9071"/>
        <w:tab w:val="right" w:pos="13860"/>
      </w:tabs>
      <w:rPr>
        <w:sz w:val="20"/>
        <w:szCs w:val="20"/>
      </w:rPr>
    </w:pPr>
    <w:r>
      <w:rPr>
        <w:sz w:val="20"/>
        <w:szCs w:val="20"/>
      </w:rPr>
      <w:t>Operačný program Integrovaná infraštruktúra</w:t>
    </w:r>
    <w:r>
      <w:rPr>
        <w:sz w:val="20"/>
        <w:szCs w:val="20"/>
      </w:rPr>
      <w:tab/>
    </w:r>
    <w:r>
      <w:rPr>
        <w:sz w:val="20"/>
        <w:szCs w:val="20"/>
      </w:rPr>
      <w:tab/>
      <w:t>PRIORITNÉ OSI/ PO 7</w: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B64495" w:rsidRDefault="00532DA2" w:rsidP="00776478">
    <w:pPr>
      <w:pStyle w:val="Hlavika"/>
      <w:tabs>
        <w:tab w:val="clear" w:pos="9072"/>
        <w:tab w:val="right" w:pos="9071"/>
        <w:tab w:val="right" w:pos="13860"/>
      </w:tabs>
      <w:rPr>
        <w:sz w:val="20"/>
        <w:szCs w:val="20"/>
      </w:rPr>
    </w:pPr>
    <w:r>
      <w:rPr>
        <w:sz w:val="20"/>
        <w:szCs w:val="20"/>
      </w:rPr>
      <w:t>Operačný program Integrovaná infraštruktúra</w:t>
    </w:r>
    <w:r>
      <w:rPr>
        <w:sz w:val="20"/>
        <w:szCs w:val="20"/>
      </w:rPr>
      <w:tab/>
    </w:r>
    <w:r>
      <w:rPr>
        <w:sz w:val="20"/>
        <w:szCs w:val="20"/>
      </w:rPr>
      <w:tab/>
      <w:t>PRIORITNÉ OSI/ PO 8</w: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2E2353">
    <w:pPr>
      <w:pStyle w:val="Hlavika"/>
      <w:tabs>
        <w:tab w:val="clear" w:pos="9072"/>
        <w:tab w:val="right" w:pos="9071"/>
        <w:tab w:val="right" w:pos="14264"/>
      </w:tabs>
      <w:rPr>
        <w:caps/>
        <w:sz w:val="20"/>
        <w:szCs w:val="20"/>
      </w:rPr>
    </w:pPr>
    <w:r>
      <w:rPr>
        <w:sz w:val="20"/>
        <w:szCs w:val="20"/>
      </w:rPr>
      <w:t>Operačný program Integrovaná infraštruktúra</w:t>
    </w:r>
    <w:r>
      <w:rPr>
        <w:sz w:val="20"/>
        <w:szCs w:val="20"/>
      </w:rPr>
      <w:tab/>
    </w:r>
    <w:r>
      <w:rPr>
        <w:sz w:val="20"/>
        <w:szCs w:val="20"/>
      </w:rPr>
      <w:tab/>
    </w:r>
    <w:r>
      <w:rPr>
        <w:sz w:val="20"/>
        <w:szCs w:val="20"/>
      </w:rPr>
      <w:tab/>
      <w:t>FINANČNÝ PLÁN</w: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79492E">
    <w:pPr>
      <w:pStyle w:val="Hlavika"/>
      <w:tabs>
        <w:tab w:val="clear" w:pos="9072"/>
        <w:tab w:val="right" w:pos="9071"/>
        <w:tab w:val="right" w:pos="14034"/>
      </w:tabs>
      <w:rPr>
        <w:caps/>
        <w:sz w:val="20"/>
        <w:szCs w:val="20"/>
      </w:rPr>
    </w:pPr>
    <w:r>
      <w:rPr>
        <w:sz w:val="20"/>
        <w:szCs w:val="20"/>
      </w:rPr>
      <w:t>Operačný program Integrovaná infraštruktúra</w:t>
    </w:r>
    <w:r>
      <w:rPr>
        <w:sz w:val="20"/>
        <w:szCs w:val="20"/>
      </w:rPr>
      <w:tab/>
    </w:r>
    <w:r>
      <w:rPr>
        <w:sz w:val="20"/>
        <w:szCs w:val="20"/>
      </w:rPr>
      <w:tab/>
      <w:t>INTEGROVANÝ PRÍSTUP</w: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79492E">
    <w:pPr>
      <w:pStyle w:val="Hlavika"/>
      <w:tabs>
        <w:tab w:val="clear" w:pos="9072"/>
        <w:tab w:val="right" w:pos="9071"/>
        <w:tab w:val="right" w:pos="14034"/>
      </w:tabs>
      <w:rPr>
        <w:caps/>
        <w:sz w:val="20"/>
        <w:szCs w:val="20"/>
      </w:rPr>
    </w:pPr>
    <w:r>
      <w:rPr>
        <w:sz w:val="20"/>
        <w:szCs w:val="20"/>
      </w:rPr>
      <w:t>Operačný program Integrovaná infraštruktúra</w:t>
    </w:r>
    <w:r>
      <w:rPr>
        <w:sz w:val="20"/>
        <w:szCs w:val="20"/>
      </w:rPr>
      <w:tab/>
    </w:r>
    <w:r>
      <w:rPr>
        <w:sz w:val="20"/>
        <w:szCs w:val="20"/>
      </w:rPr>
      <w:tab/>
      <w:t>ŠPECIFICKÉ POTREBY</w: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79492E">
    <w:pPr>
      <w:pStyle w:val="Hlavika"/>
      <w:tabs>
        <w:tab w:val="clear" w:pos="9072"/>
        <w:tab w:val="right" w:pos="9071"/>
        <w:tab w:val="right" w:pos="14034"/>
      </w:tabs>
      <w:rPr>
        <w:caps/>
        <w:sz w:val="20"/>
        <w:szCs w:val="20"/>
      </w:rPr>
    </w:pPr>
    <w:r>
      <w:rPr>
        <w:sz w:val="20"/>
        <w:szCs w:val="20"/>
      </w:rPr>
      <w:t>Operačný program Integrovaná infraštruktúra</w:t>
    </w:r>
    <w:r>
      <w:rPr>
        <w:sz w:val="20"/>
        <w:szCs w:val="20"/>
      </w:rPr>
      <w:tab/>
    </w:r>
    <w:r>
      <w:rPr>
        <w:sz w:val="20"/>
        <w:szCs w:val="20"/>
      </w:rPr>
      <w:tab/>
      <w:t>SUBJEKTY ZAPOJENÉ DO IMPLEMENTÁCIE</w: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79492E">
    <w:pPr>
      <w:pStyle w:val="Hlavika"/>
      <w:tabs>
        <w:tab w:val="clear" w:pos="9072"/>
        <w:tab w:val="right" w:pos="9071"/>
        <w:tab w:val="right" w:pos="14034"/>
      </w:tabs>
      <w:rPr>
        <w:caps/>
        <w:sz w:val="20"/>
        <w:szCs w:val="20"/>
      </w:rPr>
    </w:pPr>
    <w:r>
      <w:rPr>
        <w:sz w:val="20"/>
        <w:szCs w:val="20"/>
      </w:rPr>
      <w:t>Operačný program Integrovaná infraštruktúra</w:t>
    </w:r>
    <w:r>
      <w:rPr>
        <w:sz w:val="20"/>
        <w:szCs w:val="20"/>
      </w:rPr>
      <w:tab/>
    </w:r>
    <w:r>
      <w:rPr>
        <w:sz w:val="20"/>
        <w:szCs w:val="20"/>
      </w:rPr>
      <w:tab/>
      <w:t>KOORDINÁCIA S INÝMI OP</w: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1A49CC">
    <w:pPr>
      <w:pStyle w:val="Hlavika"/>
      <w:tabs>
        <w:tab w:val="clear" w:pos="9072"/>
        <w:tab w:val="right" w:pos="9071"/>
        <w:tab w:val="right" w:pos="14208"/>
      </w:tabs>
      <w:rPr>
        <w:caps/>
        <w:sz w:val="20"/>
        <w:szCs w:val="20"/>
      </w:rPr>
    </w:pPr>
    <w:r>
      <w:rPr>
        <w:sz w:val="20"/>
        <w:szCs w:val="20"/>
      </w:rPr>
      <w:t>Operačný program Integrovaná infraštruktúra</w:t>
    </w:r>
    <w:r>
      <w:rPr>
        <w:sz w:val="20"/>
        <w:szCs w:val="20"/>
      </w:rPr>
      <w:tab/>
    </w:r>
    <w:r>
      <w:rPr>
        <w:sz w:val="20"/>
        <w:szCs w:val="20"/>
      </w:rPr>
      <w:tab/>
    </w:r>
    <w:r>
      <w:rPr>
        <w:sz w:val="20"/>
        <w:szCs w:val="20"/>
      </w:rPr>
      <w:tab/>
      <w:t>EX ANTE KONDICIONALITY</w: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ED5953" w:rsidRDefault="00532DA2" w:rsidP="0079492E">
    <w:pPr>
      <w:pStyle w:val="Hlavika"/>
      <w:tabs>
        <w:tab w:val="clear" w:pos="9072"/>
        <w:tab w:val="right" w:pos="9071"/>
        <w:tab w:val="right" w:pos="14034"/>
      </w:tabs>
      <w:rPr>
        <w:caps/>
        <w:sz w:val="20"/>
        <w:szCs w:val="20"/>
      </w:rPr>
    </w:pPr>
    <w:r>
      <w:rPr>
        <w:sz w:val="20"/>
        <w:szCs w:val="20"/>
      </w:rPr>
      <w:t>Operačný program Integrovaná infraštruktúra</w:t>
    </w:r>
    <w:r>
      <w:rPr>
        <w:sz w:val="20"/>
        <w:szCs w:val="20"/>
      </w:rPr>
      <w:tab/>
    </w:r>
    <w:r>
      <w:rPr>
        <w:sz w:val="20"/>
        <w:szCs w:val="20"/>
      </w:rPr>
      <w:tab/>
      <w:t>ZNÍŽENIE ADMINISTRATÍVNEJ ZÁŤAŽE</w: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79492E">
    <w:pPr>
      <w:pStyle w:val="Hlavika"/>
      <w:tabs>
        <w:tab w:val="clear" w:pos="9072"/>
        <w:tab w:val="right" w:pos="9071"/>
        <w:tab w:val="right" w:pos="14034"/>
      </w:tabs>
      <w:rPr>
        <w:caps/>
        <w:sz w:val="20"/>
        <w:szCs w:val="20"/>
      </w:rPr>
    </w:pPr>
    <w:r>
      <w:rPr>
        <w:sz w:val="20"/>
        <w:szCs w:val="20"/>
      </w:rPr>
      <w:t>Operačný program Integrovaná infraštruktúra</w:t>
    </w:r>
    <w:r>
      <w:rPr>
        <w:sz w:val="20"/>
        <w:szCs w:val="20"/>
      </w:rPr>
      <w:tab/>
    </w:r>
    <w:r>
      <w:rPr>
        <w:sz w:val="20"/>
        <w:szCs w:val="20"/>
      </w:rPr>
      <w:tab/>
      <w:t>HORIZONTÁLNE PRINCÍPY</w: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ED5953">
    <w:pPr>
      <w:pStyle w:val="Hlavika"/>
      <w:tabs>
        <w:tab w:val="clear" w:pos="9072"/>
        <w:tab w:val="right" w:pos="9071"/>
        <w:tab w:val="right" w:pos="14317"/>
      </w:tabs>
      <w:rPr>
        <w:caps/>
        <w:sz w:val="20"/>
        <w:szCs w:val="20"/>
      </w:rPr>
    </w:pPr>
    <w:r>
      <w:rPr>
        <w:sz w:val="20"/>
        <w:szCs w:val="20"/>
      </w:rPr>
      <w:t>Operačný program Integrovaná infraštruktúra</w:t>
    </w:r>
    <w:r>
      <w:rPr>
        <w:sz w:val="20"/>
        <w:szCs w:val="20"/>
      </w:rPr>
      <w:tab/>
    </w:r>
    <w:r>
      <w:rPr>
        <w:sz w:val="20"/>
        <w:szCs w:val="20"/>
      </w:rPr>
      <w:tab/>
    </w:r>
    <w:r>
      <w:rPr>
        <w:sz w:val="20"/>
        <w:szCs w:val="20"/>
      </w:rPr>
      <w:tab/>
      <w:t>SAMOSTATNÉ ČASTI</w: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79492E">
    <w:pPr>
      <w:pStyle w:val="Hlavika"/>
      <w:tabs>
        <w:tab w:val="clear" w:pos="9072"/>
        <w:tab w:val="right" w:pos="9071"/>
        <w:tab w:val="right" w:pos="14034"/>
      </w:tabs>
      <w:rPr>
        <w:caps/>
        <w:sz w:val="20"/>
        <w:szCs w:val="20"/>
      </w:rPr>
    </w:pPr>
    <w:r>
      <w:rPr>
        <w:sz w:val="20"/>
        <w:szCs w:val="20"/>
      </w:rPr>
      <w:t>Operačný program Integrovaná infraštruktúra</w:t>
    </w:r>
    <w:r>
      <w:rPr>
        <w:sz w:val="20"/>
        <w:szCs w:val="20"/>
      </w:rPr>
      <w:tab/>
    </w:r>
    <w:r>
      <w:rPr>
        <w:sz w:val="20"/>
        <w:szCs w:val="20"/>
      </w:rPr>
      <w:tab/>
      <w:t>VÝKONNOSTNÝ RÁMEC</w: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DA2" w:rsidRPr="004D502F" w:rsidRDefault="00532DA2" w:rsidP="0079492E">
    <w:pPr>
      <w:pStyle w:val="Hlavika"/>
      <w:tabs>
        <w:tab w:val="clear" w:pos="9072"/>
        <w:tab w:val="right" w:pos="9071"/>
        <w:tab w:val="right" w:pos="14034"/>
      </w:tabs>
      <w:rPr>
        <w:caps/>
        <w:sz w:val="20"/>
        <w:szCs w:val="20"/>
      </w:rPr>
    </w:pPr>
    <w:r>
      <w:rPr>
        <w:sz w:val="20"/>
        <w:szCs w:val="20"/>
      </w:rPr>
      <w:t>Operačný program Integrovaná infraštruktúra</w:t>
    </w:r>
    <w:r>
      <w:rPr>
        <w:sz w:val="20"/>
        <w:szCs w:val="20"/>
      </w:rPr>
      <w:tab/>
    </w:r>
    <w:r>
      <w:rPr>
        <w:sz w:val="20"/>
        <w:szCs w:val="20"/>
      </w:rPr>
      <w:tab/>
      <w:t>PRÍLOHY</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BA689A0A"/>
    <w:lvl w:ilvl="0">
      <w:start w:val="1"/>
      <w:numFmt w:val="decimal"/>
      <w:pStyle w:val="slovanzoznam5"/>
      <w:lvlText w:val="%1."/>
      <w:lvlJc w:val="left"/>
      <w:pPr>
        <w:tabs>
          <w:tab w:val="num" w:pos="1492"/>
        </w:tabs>
        <w:ind w:left="1492" w:hanging="360"/>
      </w:pPr>
    </w:lvl>
  </w:abstractNum>
  <w:abstractNum w:abstractNumId="1">
    <w:nsid w:val="FFFFFF7D"/>
    <w:multiLevelType w:val="singleLevel"/>
    <w:tmpl w:val="00D69324"/>
    <w:lvl w:ilvl="0">
      <w:start w:val="1"/>
      <w:numFmt w:val="decimal"/>
      <w:pStyle w:val="slovanzoznam4"/>
      <w:lvlText w:val="%1."/>
      <w:lvlJc w:val="left"/>
      <w:pPr>
        <w:tabs>
          <w:tab w:val="num" w:pos="1209"/>
        </w:tabs>
        <w:ind w:left="1209" w:hanging="360"/>
      </w:pPr>
    </w:lvl>
  </w:abstractNum>
  <w:abstractNum w:abstractNumId="2">
    <w:nsid w:val="FFFFFF7E"/>
    <w:multiLevelType w:val="singleLevel"/>
    <w:tmpl w:val="360CEFDC"/>
    <w:lvl w:ilvl="0">
      <w:start w:val="1"/>
      <w:numFmt w:val="decimal"/>
      <w:pStyle w:val="slovanzoznam3"/>
      <w:lvlText w:val="%1."/>
      <w:lvlJc w:val="left"/>
      <w:pPr>
        <w:tabs>
          <w:tab w:val="num" w:pos="926"/>
        </w:tabs>
        <w:ind w:left="926" w:hanging="360"/>
      </w:pPr>
    </w:lvl>
  </w:abstractNum>
  <w:abstractNum w:abstractNumId="3">
    <w:nsid w:val="FFFFFF7F"/>
    <w:multiLevelType w:val="singleLevel"/>
    <w:tmpl w:val="C1EE737C"/>
    <w:lvl w:ilvl="0">
      <w:start w:val="1"/>
      <w:numFmt w:val="decimal"/>
      <w:pStyle w:val="slovanzoznam2"/>
      <w:lvlText w:val="%1."/>
      <w:lvlJc w:val="left"/>
      <w:pPr>
        <w:tabs>
          <w:tab w:val="num" w:pos="643"/>
        </w:tabs>
        <w:ind w:left="643" w:hanging="360"/>
      </w:pPr>
    </w:lvl>
  </w:abstractNum>
  <w:abstractNum w:abstractNumId="4">
    <w:nsid w:val="FFFFFF80"/>
    <w:multiLevelType w:val="singleLevel"/>
    <w:tmpl w:val="A0E4CA8C"/>
    <w:lvl w:ilvl="0">
      <w:start w:val="1"/>
      <w:numFmt w:val="bullet"/>
      <w:pStyle w:val="Zoznamsodrkami5"/>
      <w:lvlText w:val=""/>
      <w:lvlJc w:val="left"/>
      <w:pPr>
        <w:tabs>
          <w:tab w:val="num" w:pos="1492"/>
        </w:tabs>
        <w:ind w:left="1492" w:hanging="360"/>
      </w:pPr>
      <w:rPr>
        <w:rFonts w:ascii="Symbol" w:hAnsi="Symbol" w:hint="default"/>
      </w:rPr>
    </w:lvl>
  </w:abstractNum>
  <w:abstractNum w:abstractNumId="5">
    <w:nsid w:val="FFFFFF81"/>
    <w:multiLevelType w:val="singleLevel"/>
    <w:tmpl w:val="6E9EFFC2"/>
    <w:lvl w:ilvl="0">
      <w:start w:val="1"/>
      <w:numFmt w:val="bullet"/>
      <w:pStyle w:val="Zoznamsodrkami4"/>
      <w:lvlText w:val=""/>
      <w:lvlJc w:val="left"/>
      <w:pPr>
        <w:tabs>
          <w:tab w:val="num" w:pos="1209"/>
        </w:tabs>
        <w:ind w:left="1209" w:hanging="360"/>
      </w:pPr>
      <w:rPr>
        <w:rFonts w:ascii="Symbol" w:hAnsi="Symbol" w:hint="default"/>
      </w:rPr>
    </w:lvl>
  </w:abstractNum>
  <w:abstractNum w:abstractNumId="6">
    <w:nsid w:val="FFFFFF82"/>
    <w:multiLevelType w:val="singleLevel"/>
    <w:tmpl w:val="7584E0DA"/>
    <w:lvl w:ilvl="0">
      <w:start w:val="1"/>
      <w:numFmt w:val="bullet"/>
      <w:pStyle w:val="Zoznamsodrkami3"/>
      <w:lvlText w:val=""/>
      <w:lvlJc w:val="left"/>
      <w:pPr>
        <w:tabs>
          <w:tab w:val="num" w:pos="926"/>
        </w:tabs>
        <w:ind w:left="926" w:hanging="360"/>
      </w:pPr>
      <w:rPr>
        <w:rFonts w:ascii="Symbol" w:hAnsi="Symbol" w:hint="default"/>
      </w:rPr>
    </w:lvl>
  </w:abstractNum>
  <w:abstractNum w:abstractNumId="7">
    <w:nsid w:val="FFFFFF83"/>
    <w:multiLevelType w:val="singleLevel"/>
    <w:tmpl w:val="3DC2C14E"/>
    <w:lvl w:ilvl="0">
      <w:start w:val="1"/>
      <w:numFmt w:val="bullet"/>
      <w:pStyle w:val="Zoznamsodrkami2"/>
      <w:lvlText w:val=""/>
      <w:lvlJc w:val="left"/>
      <w:pPr>
        <w:tabs>
          <w:tab w:val="num" w:pos="643"/>
        </w:tabs>
        <w:ind w:left="643" w:hanging="360"/>
      </w:pPr>
      <w:rPr>
        <w:rFonts w:ascii="Symbol" w:hAnsi="Symbol" w:hint="default"/>
      </w:rPr>
    </w:lvl>
  </w:abstractNum>
  <w:abstractNum w:abstractNumId="8">
    <w:nsid w:val="FFFFFF88"/>
    <w:multiLevelType w:val="singleLevel"/>
    <w:tmpl w:val="56D46CC4"/>
    <w:lvl w:ilvl="0">
      <w:start w:val="1"/>
      <w:numFmt w:val="decimal"/>
      <w:pStyle w:val="slovanzoznam"/>
      <w:lvlText w:val="%1."/>
      <w:lvlJc w:val="left"/>
      <w:pPr>
        <w:tabs>
          <w:tab w:val="num" w:pos="360"/>
        </w:tabs>
        <w:ind w:left="360" w:hanging="360"/>
      </w:pPr>
    </w:lvl>
  </w:abstractNum>
  <w:abstractNum w:abstractNumId="9">
    <w:nsid w:val="011E105F"/>
    <w:multiLevelType w:val="multilevel"/>
    <w:tmpl w:val="AB1C019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b/>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03C145A3"/>
    <w:multiLevelType w:val="hybridMultilevel"/>
    <w:tmpl w:val="B058A224"/>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nsid w:val="04DA401B"/>
    <w:multiLevelType w:val="hybridMultilevel"/>
    <w:tmpl w:val="F4E0DDB2"/>
    <w:lvl w:ilvl="0" w:tplc="1D98B184">
      <w:start w:val="1"/>
      <w:numFmt w:val="bullet"/>
      <w:lvlText w:val="─"/>
      <w:lvlJc w:val="left"/>
      <w:pPr>
        <w:ind w:left="1800" w:hanging="360"/>
      </w:pPr>
      <w:rPr>
        <w:rFonts w:ascii="Arial Narrow" w:hAnsi="Arial Narrow" w:hint="default"/>
      </w:rPr>
    </w:lvl>
    <w:lvl w:ilvl="1" w:tplc="041B0003" w:tentative="1">
      <w:start w:val="1"/>
      <w:numFmt w:val="bullet"/>
      <w:lvlText w:val="o"/>
      <w:lvlJc w:val="left"/>
      <w:pPr>
        <w:ind w:left="2520" w:hanging="360"/>
      </w:pPr>
      <w:rPr>
        <w:rFonts w:ascii="Courier New" w:hAnsi="Courier New" w:cs="Courier New" w:hint="default"/>
      </w:rPr>
    </w:lvl>
    <w:lvl w:ilvl="2" w:tplc="041B0005" w:tentative="1">
      <w:start w:val="1"/>
      <w:numFmt w:val="bullet"/>
      <w:lvlText w:val=""/>
      <w:lvlJc w:val="left"/>
      <w:pPr>
        <w:ind w:left="3240" w:hanging="360"/>
      </w:pPr>
      <w:rPr>
        <w:rFonts w:ascii="Wingdings" w:hAnsi="Wingdings" w:hint="default"/>
      </w:rPr>
    </w:lvl>
    <w:lvl w:ilvl="3" w:tplc="041B0001" w:tentative="1">
      <w:start w:val="1"/>
      <w:numFmt w:val="bullet"/>
      <w:lvlText w:val=""/>
      <w:lvlJc w:val="left"/>
      <w:pPr>
        <w:ind w:left="3960" w:hanging="360"/>
      </w:pPr>
      <w:rPr>
        <w:rFonts w:ascii="Symbol" w:hAnsi="Symbol" w:hint="default"/>
      </w:rPr>
    </w:lvl>
    <w:lvl w:ilvl="4" w:tplc="041B0003" w:tentative="1">
      <w:start w:val="1"/>
      <w:numFmt w:val="bullet"/>
      <w:lvlText w:val="o"/>
      <w:lvlJc w:val="left"/>
      <w:pPr>
        <w:ind w:left="4680" w:hanging="360"/>
      </w:pPr>
      <w:rPr>
        <w:rFonts w:ascii="Courier New" w:hAnsi="Courier New" w:cs="Courier New" w:hint="default"/>
      </w:rPr>
    </w:lvl>
    <w:lvl w:ilvl="5" w:tplc="041B0005" w:tentative="1">
      <w:start w:val="1"/>
      <w:numFmt w:val="bullet"/>
      <w:lvlText w:val=""/>
      <w:lvlJc w:val="left"/>
      <w:pPr>
        <w:ind w:left="5400" w:hanging="360"/>
      </w:pPr>
      <w:rPr>
        <w:rFonts w:ascii="Wingdings" w:hAnsi="Wingdings" w:hint="default"/>
      </w:rPr>
    </w:lvl>
    <w:lvl w:ilvl="6" w:tplc="041B0001" w:tentative="1">
      <w:start w:val="1"/>
      <w:numFmt w:val="bullet"/>
      <w:lvlText w:val=""/>
      <w:lvlJc w:val="left"/>
      <w:pPr>
        <w:ind w:left="6120" w:hanging="360"/>
      </w:pPr>
      <w:rPr>
        <w:rFonts w:ascii="Symbol" w:hAnsi="Symbol" w:hint="default"/>
      </w:rPr>
    </w:lvl>
    <w:lvl w:ilvl="7" w:tplc="041B0003" w:tentative="1">
      <w:start w:val="1"/>
      <w:numFmt w:val="bullet"/>
      <w:lvlText w:val="o"/>
      <w:lvlJc w:val="left"/>
      <w:pPr>
        <w:ind w:left="6840" w:hanging="360"/>
      </w:pPr>
      <w:rPr>
        <w:rFonts w:ascii="Courier New" w:hAnsi="Courier New" w:cs="Courier New" w:hint="default"/>
      </w:rPr>
    </w:lvl>
    <w:lvl w:ilvl="8" w:tplc="041B0005" w:tentative="1">
      <w:start w:val="1"/>
      <w:numFmt w:val="bullet"/>
      <w:lvlText w:val=""/>
      <w:lvlJc w:val="left"/>
      <w:pPr>
        <w:ind w:left="7560" w:hanging="360"/>
      </w:pPr>
      <w:rPr>
        <w:rFonts w:ascii="Wingdings" w:hAnsi="Wingdings" w:hint="default"/>
      </w:rPr>
    </w:lvl>
  </w:abstractNum>
  <w:abstractNum w:abstractNumId="12">
    <w:nsid w:val="050071E8"/>
    <w:multiLevelType w:val="hybridMultilevel"/>
    <w:tmpl w:val="8F729FC4"/>
    <w:lvl w:ilvl="0" w:tplc="04090001">
      <w:start w:val="1"/>
      <w:numFmt w:val="bullet"/>
      <w:lvlText w:val=""/>
      <w:lvlJc w:val="left"/>
      <w:pPr>
        <w:ind w:left="720" w:hanging="360"/>
      </w:pPr>
      <w:rPr>
        <w:rFonts w:ascii="Symbol" w:hAnsi="Symbol" w:hint="default"/>
      </w:rPr>
    </w:lvl>
    <w:lvl w:ilvl="1" w:tplc="C3DA2BA8">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6A755A9"/>
    <w:multiLevelType w:val="hybridMultilevel"/>
    <w:tmpl w:val="B02E867E"/>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nsid w:val="083E5C1C"/>
    <w:multiLevelType w:val="hybridMultilevel"/>
    <w:tmpl w:val="F6A48FE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nsid w:val="08555B19"/>
    <w:multiLevelType w:val="hybridMultilevel"/>
    <w:tmpl w:val="8806BED6"/>
    <w:lvl w:ilvl="0" w:tplc="04050001">
      <w:start w:val="1"/>
      <w:numFmt w:val="bullet"/>
      <w:pStyle w:val="odsaden"/>
      <w:lvlText w:val=""/>
      <w:lvlJc w:val="left"/>
      <w:pPr>
        <w:tabs>
          <w:tab w:val="num" w:pos="360"/>
        </w:tabs>
        <w:ind w:left="360" w:hanging="360"/>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16">
    <w:nsid w:val="08BC378D"/>
    <w:multiLevelType w:val="hybridMultilevel"/>
    <w:tmpl w:val="9E70B6E4"/>
    <w:lvl w:ilvl="0" w:tplc="041B0001">
      <w:start w:val="1"/>
      <w:numFmt w:val="bullet"/>
      <w:lvlText w:val=""/>
      <w:lvlJc w:val="left"/>
      <w:pPr>
        <w:ind w:left="1004" w:hanging="360"/>
      </w:pPr>
      <w:rPr>
        <w:rFonts w:ascii="Symbol" w:hAnsi="Symbol" w:hint="default"/>
      </w:rPr>
    </w:lvl>
    <w:lvl w:ilvl="1" w:tplc="041B0003" w:tentative="1">
      <w:start w:val="1"/>
      <w:numFmt w:val="bullet"/>
      <w:lvlText w:val="o"/>
      <w:lvlJc w:val="left"/>
      <w:pPr>
        <w:ind w:left="1724" w:hanging="360"/>
      </w:pPr>
      <w:rPr>
        <w:rFonts w:ascii="Courier New" w:hAnsi="Courier New" w:cs="Courier New" w:hint="default"/>
      </w:rPr>
    </w:lvl>
    <w:lvl w:ilvl="2" w:tplc="041B0005" w:tentative="1">
      <w:start w:val="1"/>
      <w:numFmt w:val="bullet"/>
      <w:lvlText w:val=""/>
      <w:lvlJc w:val="left"/>
      <w:pPr>
        <w:ind w:left="2444" w:hanging="360"/>
      </w:pPr>
      <w:rPr>
        <w:rFonts w:ascii="Wingdings" w:hAnsi="Wingdings" w:hint="default"/>
      </w:rPr>
    </w:lvl>
    <w:lvl w:ilvl="3" w:tplc="041B0001" w:tentative="1">
      <w:start w:val="1"/>
      <w:numFmt w:val="bullet"/>
      <w:lvlText w:val=""/>
      <w:lvlJc w:val="left"/>
      <w:pPr>
        <w:ind w:left="3164" w:hanging="360"/>
      </w:pPr>
      <w:rPr>
        <w:rFonts w:ascii="Symbol" w:hAnsi="Symbol" w:hint="default"/>
      </w:rPr>
    </w:lvl>
    <w:lvl w:ilvl="4" w:tplc="041B0003" w:tentative="1">
      <w:start w:val="1"/>
      <w:numFmt w:val="bullet"/>
      <w:lvlText w:val="o"/>
      <w:lvlJc w:val="left"/>
      <w:pPr>
        <w:ind w:left="3884" w:hanging="360"/>
      </w:pPr>
      <w:rPr>
        <w:rFonts w:ascii="Courier New" w:hAnsi="Courier New" w:cs="Courier New" w:hint="default"/>
      </w:rPr>
    </w:lvl>
    <w:lvl w:ilvl="5" w:tplc="041B0005" w:tentative="1">
      <w:start w:val="1"/>
      <w:numFmt w:val="bullet"/>
      <w:lvlText w:val=""/>
      <w:lvlJc w:val="left"/>
      <w:pPr>
        <w:ind w:left="4604" w:hanging="360"/>
      </w:pPr>
      <w:rPr>
        <w:rFonts w:ascii="Wingdings" w:hAnsi="Wingdings" w:hint="default"/>
      </w:rPr>
    </w:lvl>
    <w:lvl w:ilvl="6" w:tplc="041B0001" w:tentative="1">
      <w:start w:val="1"/>
      <w:numFmt w:val="bullet"/>
      <w:lvlText w:val=""/>
      <w:lvlJc w:val="left"/>
      <w:pPr>
        <w:ind w:left="5324" w:hanging="360"/>
      </w:pPr>
      <w:rPr>
        <w:rFonts w:ascii="Symbol" w:hAnsi="Symbol" w:hint="default"/>
      </w:rPr>
    </w:lvl>
    <w:lvl w:ilvl="7" w:tplc="041B0003" w:tentative="1">
      <w:start w:val="1"/>
      <w:numFmt w:val="bullet"/>
      <w:lvlText w:val="o"/>
      <w:lvlJc w:val="left"/>
      <w:pPr>
        <w:ind w:left="6044" w:hanging="360"/>
      </w:pPr>
      <w:rPr>
        <w:rFonts w:ascii="Courier New" w:hAnsi="Courier New" w:cs="Courier New" w:hint="default"/>
      </w:rPr>
    </w:lvl>
    <w:lvl w:ilvl="8" w:tplc="041B0005" w:tentative="1">
      <w:start w:val="1"/>
      <w:numFmt w:val="bullet"/>
      <w:lvlText w:val=""/>
      <w:lvlJc w:val="left"/>
      <w:pPr>
        <w:ind w:left="6764" w:hanging="360"/>
      </w:pPr>
      <w:rPr>
        <w:rFonts w:ascii="Wingdings" w:hAnsi="Wingdings" w:hint="default"/>
      </w:rPr>
    </w:lvl>
  </w:abstractNum>
  <w:abstractNum w:abstractNumId="17">
    <w:nsid w:val="0AE938FB"/>
    <w:multiLevelType w:val="hybridMultilevel"/>
    <w:tmpl w:val="4A7CD48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nsid w:val="0B5E55A2"/>
    <w:multiLevelType w:val="hybridMultilevel"/>
    <w:tmpl w:val="A42CAFFA"/>
    <w:lvl w:ilvl="0" w:tplc="8D162BDA">
      <w:start w:val="1"/>
      <w:numFmt w:val="decimal"/>
      <w:pStyle w:val="NzovTabuky"/>
      <w:lvlText w:val="Tab. %1"/>
      <w:lvlJc w:val="left"/>
      <w:pPr>
        <w:tabs>
          <w:tab w:val="num" w:pos="0"/>
        </w:tabs>
        <w:ind w:left="851" w:hanging="851"/>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1" w:tplc="04050019">
      <w:start w:val="1"/>
      <w:numFmt w:val="lowerLetter"/>
      <w:lvlText w:val="%2."/>
      <w:lvlJc w:val="left"/>
      <w:pPr>
        <w:tabs>
          <w:tab w:val="num" w:pos="1440"/>
        </w:tabs>
        <w:ind w:left="1440" w:hanging="360"/>
      </w:pPr>
    </w:lvl>
    <w:lvl w:ilvl="2" w:tplc="53E614DE">
      <w:start w:val="1"/>
      <w:numFmt w:val="lowerLetter"/>
      <w:lvlText w:val="%3)"/>
      <w:lvlJc w:val="left"/>
      <w:pPr>
        <w:tabs>
          <w:tab w:val="num" w:pos="2685"/>
        </w:tabs>
        <w:ind w:left="2685" w:hanging="705"/>
      </w:pPr>
      <w:rPr>
        <w:rFonts w:hint="default"/>
      </w:rPr>
    </w:lvl>
    <w:lvl w:ilvl="3" w:tplc="0405000F">
      <w:start w:val="1"/>
      <w:numFmt w:val="decimal"/>
      <w:lvlText w:val="%4."/>
      <w:lvlJc w:val="left"/>
      <w:pPr>
        <w:tabs>
          <w:tab w:val="num" w:pos="2880"/>
        </w:tabs>
        <w:ind w:left="2880" w:hanging="360"/>
      </w:pPr>
      <w:rPr>
        <w:rFonts w:hint="default"/>
        <w:sz w:val="23"/>
        <w:szCs w:val="23"/>
      </w:r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9">
    <w:nsid w:val="0B765348"/>
    <w:multiLevelType w:val="hybridMultilevel"/>
    <w:tmpl w:val="F6A48FE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nsid w:val="0CB40F0D"/>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nsid w:val="0DBE76E8"/>
    <w:multiLevelType w:val="hybridMultilevel"/>
    <w:tmpl w:val="E670ED06"/>
    <w:lvl w:ilvl="0" w:tplc="AF9C6B26">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nsid w:val="0FFA0ECF"/>
    <w:multiLevelType w:val="multilevel"/>
    <w:tmpl w:val="AB1C019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b/>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nsid w:val="11BC01FC"/>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nsid w:val="11C56233"/>
    <w:multiLevelType w:val="hybridMultilevel"/>
    <w:tmpl w:val="F6A48FE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135717ED"/>
    <w:multiLevelType w:val="hybridMultilevel"/>
    <w:tmpl w:val="FD6E2A3C"/>
    <w:lvl w:ilvl="0" w:tplc="9EFCD042">
      <w:start w:val="1"/>
      <w:numFmt w:val="upp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26">
    <w:nsid w:val="13D04A22"/>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148E3159"/>
    <w:multiLevelType w:val="hybridMultilevel"/>
    <w:tmpl w:val="0DD62EEE"/>
    <w:lvl w:ilvl="0" w:tplc="885C9E44">
      <w:start w:val="1"/>
      <w:numFmt w:val="decimal"/>
      <w:pStyle w:val="NzovObrzku"/>
      <w:lvlText w:val="Obr. %1"/>
      <w:lvlJc w:val="left"/>
      <w:pPr>
        <w:tabs>
          <w:tab w:val="num" w:pos="180"/>
        </w:tabs>
        <w:ind w:left="1031" w:hanging="851"/>
      </w:pPr>
      <w:rPr>
        <w:rFonts w:hint="default"/>
      </w:rPr>
    </w:lvl>
    <w:lvl w:ilvl="1" w:tplc="04A6A25A">
      <w:start w:val="1"/>
      <w:numFmt w:val="lowerLetter"/>
      <w:lvlText w:val="%2)"/>
      <w:lvlJc w:val="left"/>
      <w:pPr>
        <w:tabs>
          <w:tab w:val="num" w:pos="1650"/>
        </w:tabs>
        <w:ind w:left="1650" w:hanging="570"/>
      </w:pPr>
      <w:rPr>
        <w:rFonts w:hint="default"/>
      </w:r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8">
    <w:nsid w:val="17762D0C"/>
    <w:multiLevelType w:val="hybridMultilevel"/>
    <w:tmpl w:val="E2F42E62"/>
    <w:lvl w:ilvl="0" w:tplc="090ED596">
      <w:start w:val="1"/>
      <w:numFmt w:val="bullet"/>
      <w:lvlText w:val="-"/>
      <w:lvlJc w:val="left"/>
      <w:pPr>
        <w:ind w:left="1004" w:hanging="360"/>
      </w:pPr>
      <w:rPr>
        <w:rFonts w:ascii="Arial" w:hAnsi="Arial" w:hint="default"/>
      </w:rPr>
    </w:lvl>
    <w:lvl w:ilvl="1" w:tplc="D35AB388">
      <w:numFmt w:val="bullet"/>
      <w:lvlText w:val="•"/>
      <w:lvlJc w:val="left"/>
      <w:pPr>
        <w:ind w:left="2069" w:hanging="705"/>
      </w:pPr>
      <w:rPr>
        <w:rFonts w:ascii="Times New Roman" w:eastAsia="Times New Roman" w:hAnsi="Times New Roman" w:cs="Times New Roman" w:hint="default"/>
      </w:rPr>
    </w:lvl>
    <w:lvl w:ilvl="2" w:tplc="041B0005" w:tentative="1">
      <w:start w:val="1"/>
      <w:numFmt w:val="bullet"/>
      <w:lvlText w:val=""/>
      <w:lvlJc w:val="left"/>
      <w:pPr>
        <w:ind w:left="2444" w:hanging="360"/>
      </w:pPr>
      <w:rPr>
        <w:rFonts w:ascii="Wingdings" w:hAnsi="Wingdings" w:hint="default"/>
      </w:rPr>
    </w:lvl>
    <w:lvl w:ilvl="3" w:tplc="041B0001" w:tentative="1">
      <w:start w:val="1"/>
      <w:numFmt w:val="bullet"/>
      <w:lvlText w:val=""/>
      <w:lvlJc w:val="left"/>
      <w:pPr>
        <w:ind w:left="3164" w:hanging="360"/>
      </w:pPr>
      <w:rPr>
        <w:rFonts w:ascii="Symbol" w:hAnsi="Symbol" w:hint="default"/>
      </w:rPr>
    </w:lvl>
    <w:lvl w:ilvl="4" w:tplc="041B0003" w:tentative="1">
      <w:start w:val="1"/>
      <w:numFmt w:val="bullet"/>
      <w:lvlText w:val="o"/>
      <w:lvlJc w:val="left"/>
      <w:pPr>
        <w:ind w:left="3884" w:hanging="360"/>
      </w:pPr>
      <w:rPr>
        <w:rFonts w:ascii="Courier New" w:hAnsi="Courier New" w:cs="Courier New" w:hint="default"/>
      </w:rPr>
    </w:lvl>
    <w:lvl w:ilvl="5" w:tplc="041B0005" w:tentative="1">
      <w:start w:val="1"/>
      <w:numFmt w:val="bullet"/>
      <w:lvlText w:val=""/>
      <w:lvlJc w:val="left"/>
      <w:pPr>
        <w:ind w:left="4604" w:hanging="360"/>
      </w:pPr>
      <w:rPr>
        <w:rFonts w:ascii="Wingdings" w:hAnsi="Wingdings" w:hint="default"/>
      </w:rPr>
    </w:lvl>
    <w:lvl w:ilvl="6" w:tplc="041B0001" w:tentative="1">
      <w:start w:val="1"/>
      <w:numFmt w:val="bullet"/>
      <w:lvlText w:val=""/>
      <w:lvlJc w:val="left"/>
      <w:pPr>
        <w:ind w:left="5324" w:hanging="360"/>
      </w:pPr>
      <w:rPr>
        <w:rFonts w:ascii="Symbol" w:hAnsi="Symbol" w:hint="default"/>
      </w:rPr>
    </w:lvl>
    <w:lvl w:ilvl="7" w:tplc="041B0003" w:tentative="1">
      <w:start w:val="1"/>
      <w:numFmt w:val="bullet"/>
      <w:lvlText w:val="o"/>
      <w:lvlJc w:val="left"/>
      <w:pPr>
        <w:ind w:left="6044" w:hanging="360"/>
      </w:pPr>
      <w:rPr>
        <w:rFonts w:ascii="Courier New" w:hAnsi="Courier New" w:cs="Courier New" w:hint="default"/>
      </w:rPr>
    </w:lvl>
    <w:lvl w:ilvl="8" w:tplc="041B0005" w:tentative="1">
      <w:start w:val="1"/>
      <w:numFmt w:val="bullet"/>
      <w:lvlText w:val=""/>
      <w:lvlJc w:val="left"/>
      <w:pPr>
        <w:ind w:left="6764" w:hanging="360"/>
      </w:pPr>
      <w:rPr>
        <w:rFonts w:ascii="Wingdings" w:hAnsi="Wingdings" w:hint="default"/>
      </w:rPr>
    </w:lvl>
  </w:abstractNum>
  <w:abstractNum w:abstractNumId="29">
    <w:nsid w:val="192D10F9"/>
    <w:multiLevelType w:val="hybridMultilevel"/>
    <w:tmpl w:val="B8F07614"/>
    <w:lvl w:ilvl="0" w:tplc="090ED596">
      <w:start w:val="1"/>
      <w:numFmt w:val="bullet"/>
      <w:lvlText w:val="-"/>
      <w:lvlJc w:val="left"/>
      <w:pPr>
        <w:ind w:left="778" w:hanging="360"/>
      </w:pPr>
      <w:rPr>
        <w:rFonts w:ascii="Arial" w:hAnsi="Arial" w:hint="default"/>
      </w:rPr>
    </w:lvl>
    <w:lvl w:ilvl="1" w:tplc="041B0003" w:tentative="1">
      <w:start w:val="1"/>
      <w:numFmt w:val="bullet"/>
      <w:lvlText w:val="o"/>
      <w:lvlJc w:val="left"/>
      <w:pPr>
        <w:ind w:left="1498" w:hanging="360"/>
      </w:pPr>
      <w:rPr>
        <w:rFonts w:ascii="Courier New" w:hAnsi="Courier New" w:cs="Courier New" w:hint="default"/>
      </w:rPr>
    </w:lvl>
    <w:lvl w:ilvl="2" w:tplc="041B0005">
      <w:start w:val="1"/>
      <w:numFmt w:val="bullet"/>
      <w:lvlText w:val=""/>
      <w:lvlJc w:val="left"/>
      <w:pPr>
        <w:ind w:left="2218" w:hanging="360"/>
      </w:pPr>
      <w:rPr>
        <w:rFonts w:ascii="Wingdings" w:hAnsi="Wingdings" w:hint="default"/>
      </w:rPr>
    </w:lvl>
    <w:lvl w:ilvl="3" w:tplc="041B0001" w:tentative="1">
      <w:start w:val="1"/>
      <w:numFmt w:val="bullet"/>
      <w:lvlText w:val=""/>
      <w:lvlJc w:val="left"/>
      <w:pPr>
        <w:ind w:left="2938" w:hanging="360"/>
      </w:pPr>
      <w:rPr>
        <w:rFonts w:ascii="Symbol" w:hAnsi="Symbol" w:hint="default"/>
      </w:rPr>
    </w:lvl>
    <w:lvl w:ilvl="4" w:tplc="041B0003" w:tentative="1">
      <w:start w:val="1"/>
      <w:numFmt w:val="bullet"/>
      <w:lvlText w:val="o"/>
      <w:lvlJc w:val="left"/>
      <w:pPr>
        <w:ind w:left="3658" w:hanging="360"/>
      </w:pPr>
      <w:rPr>
        <w:rFonts w:ascii="Courier New" w:hAnsi="Courier New" w:cs="Courier New" w:hint="default"/>
      </w:rPr>
    </w:lvl>
    <w:lvl w:ilvl="5" w:tplc="041B0005" w:tentative="1">
      <w:start w:val="1"/>
      <w:numFmt w:val="bullet"/>
      <w:lvlText w:val=""/>
      <w:lvlJc w:val="left"/>
      <w:pPr>
        <w:ind w:left="4378" w:hanging="360"/>
      </w:pPr>
      <w:rPr>
        <w:rFonts w:ascii="Wingdings" w:hAnsi="Wingdings" w:hint="default"/>
      </w:rPr>
    </w:lvl>
    <w:lvl w:ilvl="6" w:tplc="041B0001" w:tentative="1">
      <w:start w:val="1"/>
      <w:numFmt w:val="bullet"/>
      <w:lvlText w:val=""/>
      <w:lvlJc w:val="left"/>
      <w:pPr>
        <w:ind w:left="5098" w:hanging="360"/>
      </w:pPr>
      <w:rPr>
        <w:rFonts w:ascii="Symbol" w:hAnsi="Symbol" w:hint="default"/>
      </w:rPr>
    </w:lvl>
    <w:lvl w:ilvl="7" w:tplc="041B0003" w:tentative="1">
      <w:start w:val="1"/>
      <w:numFmt w:val="bullet"/>
      <w:lvlText w:val="o"/>
      <w:lvlJc w:val="left"/>
      <w:pPr>
        <w:ind w:left="5818" w:hanging="360"/>
      </w:pPr>
      <w:rPr>
        <w:rFonts w:ascii="Courier New" w:hAnsi="Courier New" w:cs="Courier New" w:hint="default"/>
      </w:rPr>
    </w:lvl>
    <w:lvl w:ilvl="8" w:tplc="041B0005" w:tentative="1">
      <w:start w:val="1"/>
      <w:numFmt w:val="bullet"/>
      <w:lvlText w:val=""/>
      <w:lvlJc w:val="left"/>
      <w:pPr>
        <w:ind w:left="6538" w:hanging="360"/>
      </w:pPr>
      <w:rPr>
        <w:rFonts w:ascii="Wingdings" w:hAnsi="Wingdings" w:hint="default"/>
      </w:rPr>
    </w:lvl>
  </w:abstractNum>
  <w:abstractNum w:abstractNumId="30">
    <w:nsid w:val="1A567EE4"/>
    <w:multiLevelType w:val="hybridMultilevel"/>
    <w:tmpl w:val="BCD4A2DE"/>
    <w:lvl w:ilvl="0" w:tplc="ADA07AB4">
      <w:start w:val="1"/>
      <w:numFmt w:val="upperLetter"/>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31">
    <w:nsid w:val="1D95067D"/>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nsid w:val="1DCC6098"/>
    <w:multiLevelType w:val="hybridMultilevel"/>
    <w:tmpl w:val="49325370"/>
    <w:lvl w:ilvl="0" w:tplc="2B7A6EF6">
      <w:start w:val="1"/>
      <w:numFmt w:val="decimal"/>
      <w:pStyle w:val="Obrhajo"/>
      <w:lvlText w:val="Obrázok %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nsid w:val="1F761B4F"/>
    <w:multiLevelType w:val="hybridMultilevel"/>
    <w:tmpl w:val="94169308"/>
    <w:lvl w:ilvl="0" w:tplc="33C44038">
      <w:start w:val="110"/>
      <w:numFmt w:val="bullet"/>
      <w:lvlText w:val="-"/>
      <w:lvlJc w:val="left"/>
      <w:pPr>
        <w:ind w:left="720" w:hanging="360"/>
      </w:pPr>
      <w:rPr>
        <w:rFonts w:ascii="Arial" w:eastAsia="Times New Roman" w:hAnsi="Arial" w:cs="Arial" w:hint="default"/>
        <w:color w:val="1F497D"/>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nsid w:val="20255994"/>
    <w:multiLevelType w:val="hybridMultilevel"/>
    <w:tmpl w:val="6B96CECE"/>
    <w:lvl w:ilvl="0" w:tplc="DB784B00">
      <w:start w:val="1"/>
      <w:numFmt w:val="decimal"/>
      <w:pStyle w:val="Tab"/>
      <w:lvlText w:val="Tab. %1"/>
      <w:lvlJc w:val="left"/>
      <w:pPr>
        <w:ind w:left="360" w:hanging="360"/>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auto"/>
        <w:spacing w:val="0"/>
        <w:w w:val="0"/>
        <w:kern w:val="0"/>
        <w:position w:val="0"/>
        <w:szCs w:val="0"/>
        <w:u w:val="none"/>
        <w:vertAlign w:val="baseline"/>
        <w:em w:val="none"/>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
    <w:nsid w:val="21B14D48"/>
    <w:multiLevelType w:val="hybridMultilevel"/>
    <w:tmpl w:val="0B5AB9C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
    <w:nsid w:val="257F24FC"/>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nsid w:val="2655450F"/>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8">
    <w:nsid w:val="285C0894"/>
    <w:multiLevelType w:val="hybridMultilevel"/>
    <w:tmpl w:val="ACA259F2"/>
    <w:lvl w:ilvl="0" w:tplc="041B0001">
      <w:start w:val="1"/>
      <w:numFmt w:val="bullet"/>
      <w:lvlText w:val=""/>
      <w:lvlJc w:val="left"/>
      <w:pPr>
        <w:ind w:left="1004" w:hanging="360"/>
      </w:pPr>
      <w:rPr>
        <w:rFonts w:ascii="Symbol" w:hAnsi="Symbol" w:hint="default"/>
      </w:rPr>
    </w:lvl>
    <w:lvl w:ilvl="1" w:tplc="041B0001">
      <w:start w:val="1"/>
      <w:numFmt w:val="bullet"/>
      <w:lvlText w:val=""/>
      <w:lvlJc w:val="left"/>
      <w:pPr>
        <w:ind w:left="1724" w:hanging="360"/>
      </w:pPr>
      <w:rPr>
        <w:rFonts w:ascii="Symbol" w:hAnsi="Symbol" w:hint="default"/>
      </w:rPr>
    </w:lvl>
    <w:lvl w:ilvl="2" w:tplc="041B0005" w:tentative="1">
      <w:start w:val="1"/>
      <w:numFmt w:val="bullet"/>
      <w:lvlText w:val=""/>
      <w:lvlJc w:val="left"/>
      <w:pPr>
        <w:ind w:left="2444" w:hanging="360"/>
      </w:pPr>
      <w:rPr>
        <w:rFonts w:ascii="Wingdings" w:hAnsi="Wingdings" w:hint="default"/>
      </w:rPr>
    </w:lvl>
    <w:lvl w:ilvl="3" w:tplc="041B0001" w:tentative="1">
      <w:start w:val="1"/>
      <w:numFmt w:val="bullet"/>
      <w:lvlText w:val=""/>
      <w:lvlJc w:val="left"/>
      <w:pPr>
        <w:ind w:left="3164" w:hanging="360"/>
      </w:pPr>
      <w:rPr>
        <w:rFonts w:ascii="Symbol" w:hAnsi="Symbol" w:hint="default"/>
      </w:rPr>
    </w:lvl>
    <w:lvl w:ilvl="4" w:tplc="041B0003" w:tentative="1">
      <w:start w:val="1"/>
      <w:numFmt w:val="bullet"/>
      <w:lvlText w:val="o"/>
      <w:lvlJc w:val="left"/>
      <w:pPr>
        <w:ind w:left="3884" w:hanging="360"/>
      </w:pPr>
      <w:rPr>
        <w:rFonts w:ascii="Courier New" w:hAnsi="Courier New" w:cs="Courier New" w:hint="default"/>
      </w:rPr>
    </w:lvl>
    <w:lvl w:ilvl="5" w:tplc="041B0005" w:tentative="1">
      <w:start w:val="1"/>
      <w:numFmt w:val="bullet"/>
      <w:lvlText w:val=""/>
      <w:lvlJc w:val="left"/>
      <w:pPr>
        <w:ind w:left="4604" w:hanging="360"/>
      </w:pPr>
      <w:rPr>
        <w:rFonts w:ascii="Wingdings" w:hAnsi="Wingdings" w:hint="default"/>
      </w:rPr>
    </w:lvl>
    <w:lvl w:ilvl="6" w:tplc="041B0001" w:tentative="1">
      <w:start w:val="1"/>
      <w:numFmt w:val="bullet"/>
      <w:lvlText w:val=""/>
      <w:lvlJc w:val="left"/>
      <w:pPr>
        <w:ind w:left="5324" w:hanging="360"/>
      </w:pPr>
      <w:rPr>
        <w:rFonts w:ascii="Symbol" w:hAnsi="Symbol" w:hint="default"/>
      </w:rPr>
    </w:lvl>
    <w:lvl w:ilvl="7" w:tplc="041B0003" w:tentative="1">
      <w:start w:val="1"/>
      <w:numFmt w:val="bullet"/>
      <w:lvlText w:val="o"/>
      <w:lvlJc w:val="left"/>
      <w:pPr>
        <w:ind w:left="6044" w:hanging="360"/>
      </w:pPr>
      <w:rPr>
        <w:rFonts w:ascii="Courier New" w:hAnsi="Courier New" w:cs="Courier New" w:hint="default"/>
      </w:rPr>
    </w:lvl>
    <w:lvl w:ilvl="8" w:tplc="041B0005" w:tentative="1">
      <w:start w:val="1"/>
      <w:numFmt w:val="bullet"/>
      <w:lvlText w:val=""/>
      <w:lvlJc w:val="left"/>
      <w:pPr>
        <w:ind w:left="6764" w:hanging="360"/>
      </w:pPr>
      <w:rPr>
        <w:rFonts w:ascii="Wingdings" w:hAnsi="Wingdings" w:hint="default"/>
      </w:rPr>
    </w:lvl>
  </w:abstractNum>
  <w:abstractNum w:abstractNumId="39">
    <w:nsid w:val="28E46BDE"/>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0">
    <w:nsid w:val="2B9B1498"/>
    <w:multiLevelType w:val="hybridMultilevel"/>
    <w:tmpl w:val="67E67566"/>
    <w:lvl w:ilvl="0" w:tplc="090ED596">
      <w:start w:val="1"/>
      <w:numFmt w:val="bullet"/>
      <w:lvlText w:val="-"/>
      <w:lvlJc w:val="left"/>
      <w:pPr>
        <w:ind w:left="720" w:hanging="360"/>
      </w:pPr>
      <w:rPr>
        <w:rFonts w:ascii="Arial" w:hAnsi="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nsid w:val="2C964247"/>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2">
    <w:nsid w:val="31194597"/>
    <w:multiLevelType w:val="hybridMultilevel"/>
    <w:tmpl w:val="B2561B10"/>
    <w:lvl w:ilvl="0" w:tplc="090ED596">
      <w:start w:val="1"/>
      <w:numFmt w:val="bullet"/>
      <w:lvlText w:val="-"/>
      <w:lvlJc w:val="left"/>
      <w:pPr>
        <w:ind w:left="720" w:hanging="360"/>
      </w:pPr>
      <w:rPr>
        <w:rFonts w:ascii="Arial" w:hAnsi="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nsid w:val="31AB32B4"/>
    <w:multiLevelType w:val="hybridMultilevel"/>
    <w:tmpl w:val="A0161018"/>
    <w:lvl w:ilvl="0" w:tplc="33C44038">
      <w:start w:val="110"/>
      <w:numFmt w:val="bullet"/>
      <w:lvlText w:val="-"/>
      <w:lvlJc w:val="left"/>
      <w:pPr>
        <w:ind w:left="928" w:hanging="360"/>
      </w:pPr>
      <w:rPr>
        <w:rFonts w:ascii="Arial" w:eastAsia="Times New Roman" w:hAnsi="Arial" w:cs="Arial" w:hint="default"/>
        <w:color w:val="1F497D"/>
      </w:rPr>
    </w:lvl>
    <w:lvl w:ilvl="1" w:tplc="A5067A0A">
      <w:start w:val="1"/>
      <w:numFmt w:val="bullet"/>
      <w:lvlText w:val="–"/>
      <w:lvlJc w:val="left"/>
      <w:pPr>
        <w:ind w:left="1440" w:hanging="360"/>
      </w:pPr>
      <w:rPr>
        <w:rFonts w:ascii="Arial" w:hAnsi="Arial" w:hint="default"/>
        <w:color w:val="17365D"/>
        <w:sz w:val="18"/>
      </w:rPr>
    </w:lvl>
    <w:lvl w:ilvl="2" w:tplc="789424A4">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nsid w:val="32CC7788"/>
    <w:multiLevelType w:val="hybridMultilevel"/>
    <w:tmpl w:val="CE2E525C"/>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nsid w:val="344B5E40"/>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6">
    <w:nsid w:val="3A5A4D48"/>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7">
    <w:nsid w:val="3B876431"/>
    <w:multiLevelType w:val="hybridMultilevel"/>
    <w:tmpl w:val="C66EEB4C"/>
    <w:lvl w:ilvl="0" w:tplc="041B000F">
      <w:start w:val="1"/>
      <w:numFmt w:val="decimal"/>
      <w:lvlText w:val="%1."/>
      <w:lvlJc w:val="left"/>
      <w:pPr>
        <w:ind w:left="720" w:hanging="360"/>
      </w:p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8">
    <w:nsid w:val="406804E1"/>
    <w:multiLevelType w:val="hybridMultilevel"/>
    <w:tmpl w:val="F6A48FE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
    <w:nsid w:val="410D4960"/>
    <w:multiLevelType w:val="hybridMultilevel"/>
    <w:tmpl w:val="C66831E2"/>
    <w:lvl w:ilvl="0" w:tplc="111CA83A">
      <w:start w:val="110"/>
      <w:numFmt w:val="bullet"/>
      <w:lvlText w:val="-"/>
      <w:lvlJc w:val="left"/>
      <w:pPr>
        <w:ind w:left="720" w:hanging="360"/>
      </w:pPr>
      <w:rPr>
        <w:rFonts w:ascii="Arial" w:eastAsia="Times New Roman" w:hAnsi="Arial" w:cs="Arial"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nsid w:val="4326417C"/>
    <w:multiLevelType w:val="hybridMultilevel"/>
    <w:tmpl w:val="F6A48FE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nsid w:val="44D31CF4"/>
    <w:multiLevelType w:val="hybridMultilevel"/>
    <w:tmpl w:val="D7A2FCBC"/>
    <w:lvl w:ilvl="0" w:tplc="50CE8436">
      <w:start w:val="1"/>
      <w:numFmt w:val="decimal"/>
      <w:pStyle w:val="Graf"/>
      <w:lvlText w:val="Graf. %1"/>
      <w:lvlJc w:val="left"/>
      <w:pPr>
        <w:ind w:left="720" w:hanging="360"/>
      </w:pPr>
      <w:rPr>
        <w:rFonts w:hint="default"/>
      </w:rPr>
    </w:lvl>
    <w:lvl w:ilvl="1" w:tplc="6EB2001A">
      <w:numFmt w:val="bullet"/>
      <w:lvlText w:val="•"/>
      <w:lvlJc w:val="left"/>
      <w:pPr>
        <w:ind w:left="1440" w:hanging="360"/>
      </w:pPr>
      <w:rPr>
        <w:rFonts w:ascii="Times New Roman" w:eastAsia="Times New Roman" w:hAnsi="Times New Roman" w:cs="Times New Roman"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
    <w:nsid w:val="465D172F"/>
    <w:multiLevelType w:val="multilevel"/>
    <w:tmpl w:val="49B63B14"/>
    <w:lvl w:ilvl="0">
      <w:start w:val="12"/>
      <w:numFmt w:val="decimal"/>
      <w:pStyle w:val="ListNumber1"/>
      <w:lvlText w:val="(%1)"/>
      <w:lvlJc w:val="left"/>
      <w:pPr>
        <w:tabs>
          <w:tab w:val="num" w:pos="1191"/>
        </w:tabs>
        <w:ind w:left="1191" w:hanging="709"/>
      </w:pPr>
      <w:rPr>
        <w:rFonts w:hint="default"/>
      </w:rPr>
    </w:lvl>
    <w:lvl w:ilvl="1">
      <w:start w:val="1"/>
      <w:numFmt w:val="lowerLetter"/>
      <w:pStyle w:val="ListNumber1Level2"/>
      <w:lvlText w:val="(%2)"/>
      <w:lvlJc w:val="left"/>
      <w:pPr>
        <w:tabs>
          <w:tab w:val="num" w:pos="1899"/>
        </w:tabs>
        <w:ind w:left="1899" w:hanging="708"/>
      </w:pPr>
      <w:rPr>
        <w:rFonts w:hint="default"/>
      </w:rPr>
    </w:lvl>
    <w:lvl w:ilvl="2">
      <w:start w:val="1"/>
      <w:numFmt w:val="bullet"/>
      <w:pStyle w:val="ListNumber1Level3"/>
      <w:lvlText w:val="–"/>
      <w:lvlJc w:val="left"/>
      <w:pPr>
        <w:tabs>
          <w:tab w:val="num" w:pos="2608"/>
        </w:tabs>
        <w:ind w:left="2608" w:hanging="709"/>
      </w:pPr>
      <w:rPr>
        <w:rFonts w:ascii="Times New Roman" w:hAnsi="Times New Roman" w:hint="default"/>
      </w:rPr>
    </w:lvl>
    <w:lvl w:ilvl="3">
      <w:start w:val="1"/>
      <w:numFmt w:val="bullet"/>
      <w:pStyle w:val="ListNumber1Level4"/>
      <w:lvlText w:val=""/>
      <w:lvlJc w:val="left"/>
      <w:pPr>
        <w:tabs>
          <w:tab w:val="num" w:pos="3317"/>
        </w:tabs>
        <w:ind w:left="3317" w:hanging="709"/>
      </w:pPr>
      <w:rPr>
        <w:rFonts w:ascii="Symbol" w:hAnsi="Symbol"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3">
    <w:nsid w:val="49353B99"/>
    <w:multiLevelType w:val="hybridMultilevel"/>
    <w:tmpl w:val="F6A48FE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
    <w:nsid w:val="4B0A79C9"/>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5">
    <w:nsid w:val="4C2B458E"/>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6">
    <w:nsid w:val="50E538F1"/>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7">
    <w:nsid w:val="53534DEA"/>
    <w:multiLevelType w:val="multilevel"/>
    <w:tmpl w:val="78A243F6"/>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8">
    <w:nsid w:val="58201BA8"/>
    <w:multiLevelType w:val="multilevel"/>
    <w:tmpl w:val="AB1C019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b/>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9">
    <w:nsid w:val="5BD36A28"/>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0">
    <w:nsid w:val="5E7C7F63"/>
    <w:multiLevelType w:val="hybridMultilevel"/>
    <w:tmpl w:val="B27A784C"/>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1">
    <w:nsid w:val="5F6D302A"/>
    <w:multiLevelType w:val="hybridMultilevel"/>
    <w:tmpl w:val="F6A48FE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2">
    <w:nsid w:val="60B36C32"/>
    <w:multiLevelType w:val="hybridMultilevel"/>
    <w:tmpl w:val="2CE80F6E"/>
    <w:lvl w:ilvl="0" w:tplc="518AAD02">
      <w:start w:val="1"/>
      <w:numFmt w:val="bullet"/>
      <w:pStyle w:val="08Bullet1"/>
      <w:lvlText w:val=""/>
      <w:lvlJc w:val="left"/>
      <w:pPr>
        <w:ind w:left="928" w:hanging="360"/>
      </w:pPr>
      <w:rPr>
        <w:rFonts w:ascii="Wingdings" w:hAnsi="Wingdings" w:hint="default"/>
        <w:color w:val="1F497D"/>
      </w:rPr>
    </w:lvl>
    <w:lvl w:ilvl="1" w:tplc="A5067A0A">
      <w:start w:val="1"/>
      <w:numFmt w:val="bullet"/>
      <w:lvlText w:val="–"/>
      <w:lvlJc w:val="left"/>
      <w:pPr>
        <w:ind w:left="1440" w:hanging="360"/>
      </w:pPr>
      <w:rPr>
        <w:rFonts w:ascii="Arial" w:hAnsi="Arial" w:hint="default"/>
        <w:color w:val="17365D"/>
        <w:sz w:val="18"/>
      </w:rPr>
    </w:lvl>
    <w:lvl w:ilvl="2" w:tplc="789424A4">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nsid w:val="62494C49"/>
    <w:multiLevelType w:val="hybridMultilevel"/>
    <w:tmpl w:val="8542CF92"/>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4">
    <w:nsid w:val="680E35F0"/>
    <w:multiLevelType w:val="hybridMultilevel"/>
    <w:tmpl w:val="F5404DEE"/>
    <w:lvl w:ilvl="0" w:tplc="090ED596">
      <w:start w:val="1"/>
      <w:numFmt w:val="bullet"/>
      <w:lvlText w:val="-"/>
      <w:lvlJc w:val="left"/>
      <w:pPr>
        <w:ind w:left="720" w:hanging="360"/>
      </w:pPr>
      <w:rPr>
        <w:rFonts w:ascii="Arial" w:hAnsi="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nsid w:val="68704BC4"/>
    <w:multiLevelType w:val="hybridMultilevel"/>
    <w:tmpl w:val="4B00BBB2"/>
    <w:lvl w:ilvl="0" w:tplc="090ED596">
      <w:start w:val="1"/>
      <w:numFmt w:val="bullet"/>
      <w:lvlText w:val="-"/>
      <w:lvlJc w:val="left"/>
      <w:pPr>
        <w:ind w:left="720" w:hanging="360"/>
      </w:pPr>
      <w:rPr>
        <w:rFonts w:ascii="Arial" w:hAnsi="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nsid w:val="69A06453"/>
    <w:multiLevelType w:val="hybridMultilevel"/>
    <w:tmpl w:val="F6A48FE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7">
    <w:nsid w:val="69C0285C"/>
    <w:multiLevelType w:val="hybridMultilevel"/>
    <w:tmpl w:val="589021B6"/>
    <w:lvl w:ilvl="0" w:tplc="89D8A05E">
      <w:start w:val="1"/>
      <w:numFmt w:val="bullet"/>
      <w:pStyle w:val="09Bullet2"/>
      <w:lvlText w:val="–"/>
      <w:lvlJc w:val="left"/>
      <w:pPr>
        <w:ind w:left="1800" w:hanging="360"/>
      </w:pPr>
      <w:rPr>
        <w:rFonts w:ascii="Arial" w:hAnsi="Arial" w:hint="default"/>
        <w:color w:val="1F497D" w:themeColor="text2"/>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68">
    <w:nsid w:val="6D4E11A8"/>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9">
    <w:nsid w:val="6DC31758"/>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0">
    <w:nsid w:val="6E307D8B"/>
    <w:multiLevelType w:val="hybridMultilevel"/>
    <w:tmpl w:val="F6A48FE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1">
    <w:nsid w:val="6EDA7AFF"/>
    <w:multiLevelType w:val="hybridMultilevel"/>
    <w:tmpl w:val="F6A48FE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nsid w:val="6EE2156A"/>
    <w:multiLevelType w:val="hybridMultilevel"/>
    <w:tmpl w:val="F6A48FE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3">
    <w:nsid w:val="6F5903C6"/>
    <w:multiLevelType w:val="hybridMultilevel"/>
    <w:tmpl w:val="C2D4D584"/>
    <w:lvl w:ilvl="0" w:tplc="090ED596">
      <w:start w:val="1"/>
      <w:numFmt w:val="bullet"/>
      <w:lvlText w:val="-"/>
      <w:lvlJc w:val="left"/>
      <w:pPr>
        <w:ind w:left="720" w:hanging="360"/>
      </w:pPr>
      <w:rPr>
        <w:rFonts w:ascii="Arial" w:hAnsi="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nsid w:val="6FF55FE2"/>
    <w:multiLevelType w:val="hybridMultilevel"/>
    <w:tmpl w:val="6870F4E6"/>
    <w:lvl w:ilvl="0" w:tplc="0CA44B36">
      <w:numFmt w:val="bullet"/>
      <w:pStyle w:val="tlZkladntextVavo"/>
      <w:lvlText w:val="-"/>
      <w:lvlJc w:val="left"/>
      <w:pPr>
        <w:tabs>
          <w:tab w:val="num" w:pos="360"/>
        </w:tabs>
        <w:ind w:left="360" w:hanging="360"/>
      </w:pPr>
      <w:rPr>
        <w:rFonts w:ascii="Times New Roman" w:eastAsia="Times New Roman" w:hAnsi="Times New Roman" w:cs="Times New Roman" w:hint="default"/>
      </w:rPr>
    </w:lvl>
    <w:lvl w:ilvl="1" w:tplc="041B0019" w:tentative="1">
      <w:start w:val="1"/>
      <w:numFmt w:val="bullet"/>
      <w:lvlText w:val="o"/>
      <w:lvlJc w:val="left"/>
      <w:pPr>
        <w:tabs>
          <w:tab w:val="num" w:pos="1440"/>
        </w:tabs>
        <w:ind w:left="1440" w:hanging="360"/>
      </w:pPr>
      <w:rPr>
        <w:rFonts w:ascii="Courier New" w:hAnsi="Courier New" w:cs="Courier New" w:hint="default"/>
      </w:rPr>
    </w:lvl>
    <w:lvl w:ilvl="2" w:tplc="041B001B"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cs="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cs="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75">
    <w:nsid w:val="732E07A2"/>
    <w:multiLevelType w:val="multilevel"/>
    <w:tmpl w:val="5C6ABE6A"/>
    <w:lvl w:ilvl="0">
      <w:start w:val="1"/>
      <w:numFmt w:val="bullet"/>
      <w:lvlText w:val="–"/>
      <w:lvlJc w:val="left"/>
      <w:pPr>
        <w:tabs>
          <w:tab w:val="num" w:pos="855"/>
        </w:tabs>
        <w:ind w:left="855" w:hanging="855"/>
      </w:pPr>
      <w:rPr>
        <w:rFonts w:ascii="Arial" w:hAnsi="Arial" w:hint="default"/>
        <w:color w:val="17365D"/>
        <w:sz w:val="18"/>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b w:val="0"/>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6">
    <w:nsid w:val="74AF2B79"/>
    <w:multiLevelType w:val="hybridMultilevel"/>
    <w:tmpl w:val="D49852F0"/>
    <w:lvl w:ilvl="0" w:tplc="041B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nsid w:val="75E77074"/>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8">
    <w:nsid w:val="76643BDB"/>
    <w:multiLevelType w:val="multilevel"/>
    <w:tmpl w:val="84100406"/>
    <w:lvl w:ilvl="0">
      <w:start w:val="1"/>
      <w:numFmt w:val="decimal"/>
      <w:pStyle w:val="Nadpis1"/>
      <w:lvlText w:val="%1"/>
      <w:lvlJc w:val="left"/>
      <w:pPr>
        <w:tabs>
          <w:tab w:val="num" w:pos="851"/>
        </w:tabs>
        <w:ind w:left="851" w:hanging="851"/>
      </w:pPr>
      <w:rPr>
        <w:rFonts w:hint="default"/>
      </w:rPr>
    </w:lvl>
    <w:lvl w:ilvl="1">
      <w:start w:val="1"/>
      <w:numFmt w:val="decimal"/>
      <w:pStyle w:val="Nadpis2"/>
      <w:lvlText w:val="%1.%2"/>
      <w:lvlJc w:val="left"/>
      <w:pPr>
        <w:tabs>
          <w:tab w:val="num" w:pos="851"/>
        </w:tabs>
        <w:ind w:left="851" w:hanging="851"/>
      </w:pPr>
      <w:rPr>
        <w:rFonts w:hint="default"/>
      </w:rPr>
    </w:lvl>
    <w:lvl w:ilvl="2">
      <w:start w:val="1"/>
      <w:numFmt w:val="decimal"/>
      <w:pStyle w:val="Nadpis3"/>
      <w:lvlText w:val="%1.%2.%3"/>
      <w:lvlJc w:val="left"/>
      <w:pPr>
        <w:tabs>
          <w:tab w:val="num" w:pos="851"/>
        </w:tabs>
        <w:ind w:left="851" w:hanging="851"/>
      </w:pPr>
      <w:rPr>
        <w:rFonts w:hint="default"/>
        <w:sz w:val="24"/>
        <w:szCs w:val="24"/>
      </w:rPr>
    </w:lvl>
    <w:lvl w:ilvl="3">
      <w:start w:val="1"/>
      <w:numFmt w:val="decimal"/>
      <w:pStyle w:val="Nadpis4"/>
      <w:lvlText w:val="%1.%2.%3.%4"/>
      <w:lvlJc w:val="left"/>
      <w:pPr>
        <w:tabs>
          <w:tab w:val="num" w:pos="864"/>
        </w:tabs>
        <w:ind w:left="864" w:hanging="864"/>
      </w:pPr>
      <w:rPr>
        <w:rFonts w:cs="Times New Roman"/>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79">
    <w:nsid w:val="798E0066"/>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0">
    <w:nsid w:val="7AB65912"/>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1">
    <w:nsid w:val="7F900298"/>
    <w:multiLevelType w:val="multilevel"/>
    <w:tmpl w:val="AB1C019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b/>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2">
    <w:nsid w:val="7FCE53C1"/>
    <w:multiLevelType w:val="hybridMultilevel"/>
    <w:tmpl w:val="12E8A3C0"/>
    <w:lvl w:ilvl="0" w:tplc="1D98B184">
      <w:start w:val="1"/>
      <w:numFmt w:val="bullet"/>
      <w:lvlText w:val="─"/>
      <w:lvlJc w:val="left"/>
      <w:pPr>
        <w:ind w:left="1800" w:hanging="360"/>
      </w:pPr>
      <w:rPr>
        <w:rFonts w:ascii="Arial Narrow" w:hAnsi="Arial Narrow" w:hint="default"/>
        <w:color w:val="17365D"/>
        <w:sz w:val="18"/>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78"/>
  </w:num>
  <w:num w:numId="2">
    <w:abstractNumId w:val="18"/>
  </w:num>
  <w:num w:numId="3">
    <w:abstractNumId w:val="27"/>
  </w:num>
  <w:num w:numId="4">
    <w:abstractNumId w:val="74"/>
  </w:num>
  <w:num w:numId="5">
    <w:abstractNumId w:val="52"/>
  </w:num>
  <w:num w:numId="6">
    <w:abstractNumId w:val="8"/>
  </w:num>
  <w:num w:numId="7">
    <w:abstractNumId w:val="3"/>
  </w:num>
  <w:num w:numId="8">
    <w:abstractNumId w:val="2"/>
  </w:num>
  <w:num w:numId="9">
    <w:abstractNumId w:val="1"/>
  </w:num>
  <w:num w:numId="10">
    <w:abstractNumId w:val="0"/>
  </w:num>
  <w:num w:numId="11">
    <w:abstractNumId w:val="7"/>
  </w:num>
  <w:num w:numId="12">
    <w:abstractNumId w:val="6"/>
  </w:num>
  <w:num w:numId="13">
    <w:abstractNumId w:val="5"/>
  </w:num>
  <w:num w:numId="14">
    <w:abstractNumId w:val="4"/>
  </w:num>
  <w:num w:numId="15">
    <w:abstractNumId w:val="18"/>
    <w:lvlOverride w:ilvl="0">
      <w:startOverride w:val="1"/>
    </w:lvlOverride>
  </w:num>
  <w:num w:numId="16">
    <w:abstractNumId w:val="62"/>
  </w:num>
  <w:num w:numId="17">
    <w:abstractNumId w:val="43"/>
  </w:num>
  <w:num w:numId="18">
    <w:abstractNumId w:val="78"/>
    <w:lvlOverride w:ilvl="0">
      <w:startOverride w:val="2"/>
    </w:lvlOverride>
    <w:lvlOverride w:ilvl="1">
      <w:startOverride w:val="1"/>
    </w:lvlOverride>
    <w:lvlOverride w:ilvl="2">
      <w:startOverride w:val="1"/>
    </w:lvlOverride>
    <w:lvlOverride w:ilvl="3">
      <w:startOverride w:val="1"/>
    </w:lvlOverride>
  </w:num>
  <w:num w:numId="19">
    <w:abstractNumId w:val="34"/>
  </w:num>
  <w:num w:numId="20">
    <w:abstractNumId w:val="20"/>
  </w:num>
  <w:num w:numId="21">
    <w:abstractNumId w:val="37"/>
  </w:num>
  <w:num w:numId="22">
    <w:abstractNumId w:val="65"/>
  </w:num>
  <w:num w:numId="23">
    <w:abstractNumId w:val="32"/>
  </w:num>
  <w:num w:numId="24">
    <w:abstractNumId w:val="35"/>
  </w:num>
  <w:num w:numId="25">
    <w:abstractNumId w:val="47"/>
  </w:num>
  <w:num w:numId="26">
    <w:abstractNumId w:val="31"/>
  </w:num>
  <w:num w:numId="27">
    <w:abstractNumId w:val="36"/>
  </w:num>
  <w:num w:numId="28">
    <w:abstractNumId w:val="40"/>
  </w:num>
  <w:num w:numId="29">
    <w:abstractNumId w:val="51"/>
  </w:num>
  <w:num w:numId="30">
    <w:abstractNumId w:val="46"/>
  </w:num>
  <w:num w:numId="31">
    <w:abstractNumId w:val="9"/>
  </w:num>
  <w:num w:numId="32">
    <w:abstractNumId w:val="26"/>
  </w:num>
  <w:num w:numId="33">
    <w:abstractNumId w:val="22"/>
  </w:num>
  <w:num w:numId="34">
    <w:abstractNumId w:val="69"/>
  </w:num>
  <w:num w:numId="35">
    <w:abstractNumId w:val="81"/>
  </w:num>
  <w:num w:numId="36">
    <w:abstractNumId w:val="77"/>
  </w:num>
  <w:num w:numId="37">
    <w:abstractNumId w:val="58"/>
  </w:num>
  <w:num w:numId="38">
    <w:abstractNumId w:val="54"/>
  </w:num>
  <w:num w:numId="39">
    <w:abstractNumId w:val="68"/>
  </w:num>
  <w:num w:numId="40">
    <w:abstractNumId w:val="17"/>
  </w:num>
  <w:num w:numId="41">
    <w:abstractNumId w:val="38"/>
  </w:num>
  <w:num w:numId="42">
    <w:abstractNumId w:val="16"/>
  </w:num>
  <w:num w:numId="43">
    <w:abstractNumId w:val="42"/>
  </w:num>
  <w:num w:numId="44">
    <w:abstractNumId w:val="50"/>
  </w:num>
  <w:num w:numId="45">
    <w:abstractNumId w:val="44"/>
  </w:num>
  <w:num w:numId="46">
    <w:abstractNumId w:val="14"/>
  </w:num>
  <w:num w:numId="47">
    <w:abstractNumId w:val="66"/>
  </w:num>
  <w:num w:numId="48">
    <w:abstractNumId w:val="53"/>
  </w:num>
  <w:num w:numId="49">
    <w:abstractNumId w:val="61"/>
  </w:num>
  <w:num w:numId="50">
    <w:abstractNumId w:val="24"/>
  </w:num>
  <w:num w:numId="51">
    <w:abstractNumId w:val="19"/>
  </w:num>
  <w:num w:numId="52">
    <w:abstractNumId w:val="72"/>
  </w:num>
  <w:num w:numId="53">
    <w:abstractNumId w:val="15"/>
  </w:num>
  <w:num w:numId="54">
    <w:abstractNumId w:val="23"/>
  </w:num>
  <w:num w:numId="55">
    <w:abstractNumId w:val="57"/>
  </w:num>
  <w:num w:numId="56">
    <w:abstractNumId w:val="64"/>
  </w:num>
  <w:num w:numId="57">
    <w:abstractNumId w:val="73"/>
  </w:num>
  <w:num w:numId="58">
    <w:abstractNumId w:val="21"/>
  </w:num>
  <w:num w:numId="59">
    <w:abstractNumId w:val="75"/>
  </w:num>
  <w:num w:numId="60">
    <w:abstractNumId w:val="49"/>
  </w:num>
  <w:num w:numId="61">
    <w:abstractNumId w:val="29"/>
  </w:num>
  <w:num w:numId="62">
    <w:abstractNumId w:val="33"/>
  </w:num>
  <w:num w:numId="63">
    <w:abstractNumId w:val="63"/>
  </w:num>
  <w:num w:numId="64">
    <w:abstractNumId w:val="67"/>
  </w:num>
  <w:num w:numId="65">
    <w:abstractNumId w:val="13"/>
  </w:num>
  <w:num w:numId="66">
    <w:abstractNumId w:val="30"/>
  </w:num>
  <w:num w:numId="67">
    <w:abstractNumId w:val="25"/>
  </w:num>
  <w:num w:numId="68">
    <w:abstractNumId w:val="11"/>
  </w:num>
  <w:num w:numId="69">
    <w:abstractNumId w:val="10"/>
  </w:num>
  <w:num w:numId="70">
    <w:abstractNumId w:val="60"/>
  </w:num>
  <w:num w:numId="71">
    <w:abstractNumId w:val="76"/>
  </w:num>
  <w:num w:numId="72">
    <w:abstractNumId w:val="28"/>
  </w:num>
  <w:num w:numId="73">
    <w:abstractNumId w:val="82"/>
  </w:num>
  <w:num w:numId="74">
    <w:abstractNumId w:val="48"/>
  </w:num>
  <w:num w:numId="75">
    <w:abstractNumId w:val="41"/>
  </w:num>
  <w:num w:numId="76">
    <w:abstractNumId w:val="79"/>
  </w:num>
  <w:num w:numId="77">
    <w:abstractNumId w:val="59"/>
  </w:num>
  <w:num w:numId="78">
    <w:abstractNumId w:val="55"/>
  </w:num>
  <w:num w:numId="79">
    <w:abstractNumId w:val="39"/>
  </w:num>
  <w:num w:numId="80">
    <w:abstractNumId w:val="56"/>
  </w:num>
  <w:num w:numId="81">
    <w:abstractNumId w:val="71"/>
  </w:num>
  <w:num w:numId="82">
    <w:abstractNumId w:val="70"/>
  </w:num>
  <w:num w:numId="83">
    <w:abstractNumId w:val="80"/>
  </w:num>
  <w:num w:numId="84">
    <w:abstractNumId w:val="45"/>
  </w:num>
  <w:num w:numId="85">
    <w:abstractNumId w:val="12"/>
  </w:num>
  <w:numIdMacAtCleanup w:val="8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proofState w:spelling="clean"/>
  <w:stylePaneFormatFilter w:val="3001"/>
  <w:defaultTabStop w:val="709"/>
  <w:hyphenationZone w:val="425"/>
  <w:drawingGridHorizontalSpacing w:val="120"/>
  <w:displayHorizontalDrawingGridEvery w:val="2"/>
  <w:characterSpacingControl w:val="doNotCompress"/>
  <w:hdrShapeDefaults>
    <o:shapedefaults v:ext="edit" spidmax="91137"/>
  </w:hdrShapeDefaults>
  <w:footnotePr>
    <w:footnote w:id="-1"/>
    <w:footnote w:id="0"/>
  </w:footnotePr>
  <w:endnotePr>
    <w:endnote w:id="-1"/>
    <w:endnote w:id="0"/>
  </w:endnotePr>
  <w:compat/>
  <w:rsids>
    <w:rsidRoot w:val="00040EA8"/>
    <w:rsid w:val="00000103"/>
    <w:rsid w:val="00000145"/>
    <w:rsid w:val="000001AA"/>
    <w:rsid w:val="000002DD"/>
    <w:rsid w:val="00000380"/>
    <w:rsid w:val="00000C32"/>
    <w:rsid w:val="0000158F"/>
    <w:rsid w:val="00001616"/>
    <w:rsid w:val="00001C64"/>
    <w:rsid w:val="00001D48"/>
    <w:rsid w:val="00001DBB"/>
    <w:rsid w:val="00001E19"/>
    <w:rsid w:val="00001E50"/>
    <w:rsid w:val="00001F60"/>
    <w:rsid w:val="00001F7B"/>
    <w:rsid w:val="0000201C"/>
    <w:rsid w:val="000020BE"/>
    <w:rsid w:val="00002108"/>
    <w:rsid w:val="00002408"/>
    <w:rsid w:val="000025A1"/>
    <w:rsid w:val="000026C4"/>
    <w:rsid w:val="00002732"/>
    <w:rsid w:val="00002894"/>
    <w:rsid w:val="000029CC"/>
    <w:rsid w:val="00002A07"/>
    <w:rsid w:val="00002B4A"/>
    <w:rsid w:val="00002DF5"/>
    <w:rsid w:val="00002F06"/>
    <w:rsid w:val="00002FE5"/>
    <w:rsid w:val="000030ED"/>
    <w:rsid w:val="00003144"/>
    <w:rsid w:val="00003243"/>
    <w:rsid w:val="0000339D"/>
    <w:rsid w:val="00003445"/>
    <w:rsid w:val="000035E2"/>
    <w:rsid w:val="000037CE"/>
    <w:rsid w:val="00003863"/>
    <w:rsid w:val="000039F2"/>
    <w:rsid w:val="00003CA7"/>
    <w:rsid w:val="00003E9A"/>
    <w:rsid w:val="00003EB6"/>
    <w:rsid w:val="00003F4A"/>
    <w:rsid w:val="000042CB"/>
    <w:rsid w:val="00004409"/>
    <w:rsid w:val="0000440C"/>
    <w:rsid w:val="00004465"/>
    <w:rsid w:val="00004681"/>
    <w:rsid w:val="00004682"/>
    <w:rsid w:val="000047C0"/>
    <w:rsid w:val="00004869"/>
    <w:rsid w:val="00004A0E"/>
    <w:rsid w:val="00004AD1"/>
    <w:rsid w:val="00004BA7"/>
    <w:rsid w:val="00004D2D"/>
    <w:rsid w:val="00004EAF"/>
    <w:rsid w:val="00005154"/>
    <w:rsid w:val="000052EB"/>
    <w:rsid w:val="000054AA"/>
    <w:rsid w:val="0000572F"/>
    <w:rsid w:val="000057FE"/>
    <w:rsid w:val="00005851"/>
    <w:rsid w:val="00005954"/>
    <w:rsid w:val="00006B17"/>
    <w:rsid w:val="00006C7B"/>
    <w:rsid w:val="00007064"/>
    <w:rsid w:val="0000711C"/>
    <w:rsid w:val="00007144"/>
    <w:rsid w:val="0000738A"/>
    <w:rsid w:val="00007584"/>
    <w:rsid w:val="0000758C"/>
    <w:rsid w:val="0000793E"/>
    <w:rsid w:val="000079AE"/>
    <w:rsid w:val="00007FB8"/>
    <w:rsid w:val="000102FF"/>
    <w:rsid w:val="00010354"/>
    <w:rsid w:val="000105C3"/>
    <w:rsid w:val="0001065E"/>
    <w:rsid w:val="000106F8"/>
    <w:rsid w:val="00010709"/>
    <w:rsid w:val="00010750"/>
    <w:rsid w:val="00010967"/>
    <w:rsid w:val="0001098E"/>
    <w:rsid w:val="00010B4C"/>
    <w:rsid w:val="00010B74"/>
    <w:rsid w:val="00010EE9"/>
    <w:rsid w:val="00010FF5"/>
    <w:rsid w:val="00011114"/>
    <w:rsid w:val="00011391"/>
    <w:rsid w:val="0001144F"/>
    <w:rsid w:val="00011763"/>
    <w:rsid w:val="00011B00"/>
    <w:rsid w:val="00011CBB"/>
    <w:rsid w:val="00011D2D"/>
    <w:rsid w:val="00011DEA"/>
    <w:rsid w:val="00012334"/>
    <w:rsid w:val="00012567"/>
    <w:rsid w:val="000126C7"/>
    <w:rsid w:val="00012781"/>
    <w:rsid w:val="0001286C"/>
    <w:rsid w:val="00012943"/>
    <w:rsid w:val="00012C57"/>
    <w:rsid w:val="00012CBA"/>
    <w:rsid w:val="00012EDA"/>
    <w:rsid w:val="00013012"/>
    <w:rsid w:val="0001303D"/>
    <w:rsid w:val="000130B7"/>
    <w:rsid w:val="000131A8"/>
    <w:rsid w:val="0001322A"/>
    <w:rsid w:val="000135C3"/>
    <w:rsid w:val="0001379D"/>
    <w:rsid w:val="000138C8"/>
    <w:rsid w:val="000139FD"/>
    <w:rsid w:val="00013E24"/>
    <w:rsid w:val="00013F16"/>
    <w:rsid w:val="00014044"/>
    <w:rsid w:val="00014191"/>
    <w:rsid w:val="000141AC"/>
    <w:rsid w:val="00014597"/>
    <w:rsid w:val="00014BE0"/>
    <w:rsid w:val="00014DEF"/>
    <w:rsid w:val="00014E85"/>
    <w:rsid w:val="00014EFA"/>
    <w:rsid w:val="00014F19"/>
    <w:rsid w:val="00015165"/>
    <w:rsid w:val="0001523F"/>
    <w:rsid w:val="000154EF"/>
    <w:rsid w:val="0001551C"/>
    <w:rsid w:val="00015759"/>
    <w:rsid w:val="00015A6B"/>
    <w:rsid w:val="00015E11"/>
    <w:rsid w:val="00015FD0"/>
    <w:rsid w:val="00016774"/>
    <w:rsid w:val="00016777"/>
    <w:rsid w:val="00016869"/>
    <w:rsid w:val="00016C03"/>
    <w:rsid w:val="00016D03"/>
    <w:rsid w:val="00016D05"/>
    <w:rsid w:val="00016E32"/>
    <w:rsid w:val="000171E5"/>
    <w:rsid w:val="00017327"/>
    <w:rsid w:val="0001734B"/>
    <w:rsid w:val="0001739E"/>
    <w:rsid w:val="000175AC"/>
    <w:rsid w:val="000175C6"/>
    <w:rsid w:val="00017683"/>
    <w:rsid w:val="00017AB9"/>
    <w:rsid w:val="00017B79"/>
    <w:rsid w:val="00017CD6"/>
    <w:rsid w:val="00020171"/>
    <w:rsid w:val="00020845"/>
    <w:rsid w:val="000208A1"/>
    <w:rsid w:val="00020921"/>
    <w:rsid w:val="00020952"/>
    <w:rsid w:val="000209DA"/>
    <w:rsid w:val="00020AD9"/>
    <w:rsid w:val="00020E73"/>
    <w:rsid w:val="00021127"/>
    <w:rsid w:val="000211DF"/>
    <w:rsid w:val="000211F0"/>
    <w:rsid w:val="00021478"/>
    <w:rsid w:val="00021485"/>
    <w:rsid w:val="000214A4"/>
    <w:rsid w:val="000214B5"/>
    <w:rsid w:val="000214DD"/>
    <w:rsid w:val="00021669"/>
    <w:rsid w:val="00021679"/>
    <w:rsid w:val="00021741"/>
    <w:rsid w:val="000219EB"/>
    <w:rsid w:val="00021BD6"/>
    <w:rsid w:val="00021BEB"/>
    <w:rsid w:val="00021F73"/>
    <w:rsid w:val="000220AD"/>
    <w:rsid w:val="00022363"/>
    <w:rsid w:val="00022543"/>
    <w:rsid w:val="0002277A"/>
    <w:rsid w:val="000229EC"/>
    <w:rsid w:val="00022B1A"/>
    <w:rsid w:val="00022D4F"/>
    <w:rsid w:val="00022DEB"/>
    <w:rsid w:val="000232B6"/>
    <w:rsid w:val="000232E4"/>
    <w:rsid w:val="0002336D"/>
    <w:rsid w:val="000235EE"/>
    <w:rsid w:val="00023794"/>
    <w:rsid w:val="00023940"/>
    <w:rsid w:val="00023977"/>
    <w:rsid w:val="00023A4E"/>
    <w:rsid w:val="00023BF4"/>
    <w:rsid w:val="00023E87"/>
    <w:rsid w:val="00024247"/>
    <w:rsid w:val="0002426D"/>
    <w:rsid w:val="00024480"/>
    <w:rsid w:val="00024647"/>
    <w:rsid w:val="00024804"/>
    <w:rsid w:val="00024939"/>
    <w:rsid w:val="00024A3F"/>
    <w:rsid w:val="00024C05"/>
    <w:rsid w:val="00024C50"/>
    <w:rsid w:val="00024E8A"/>
    <w:rsid w:val="0002557C"/>
    <w:rsid w:val="00025994"/>
    <w:rsid w:val="00025CFE"/>
    <w:rsid w:val="00025D89"/>
    <w:rsid w:val="00025F67"/>
    <w:rsid w:val="0002612D"/>
    <w:rsid w:val="00026610"/>
    <w:rsid w:val="00026949"/>
    <w:rsid w:val="0002694F"/>
    <w:rsid w:val="000269B9"/>
    <w:rsid w:val="00026CCD"/>
    <w:rsid w:val="00026D39"/>
    <w:rsid w:val="00026D88"/>
    <w:rsid w:val="00026FB1"/>
    <w:rsid w:val="00027101"/>
    <w:rsid w:val="00027213"/>
    <w:rsid w:val="000274C2"/>
    <w:rsid w:val="00027635"/>
    <w:rsid w:val="00027742"/>
    <w:rsid w:val="0002774B"/>
    <w:rsid w:val="0002783C"/>
    <w:rsid w:val="00027912"/>
    <w:rsid w:val="00027BAE"/>
    <w:rsid w:val="00027F05"/>
    <w:rsid w:val="00030073"/>
    <w:rsid w:val="000300F5"/>
    <w:rsid w:val="00030141"/>
    <w:rsid w:val="000302A1"/>
    <w:rsid w:val="00030420"/>
    <w:rsid w:val="00030654"/>
    <w:rsid w:val="0003073E"/>
    <w:rsid w:val="00030965"/>
    <w:rsid w:val="000309CB"/>
    <w:rsid w:val="00030AC3"/>
    <w:rsid w:val="00030C7A"/>
    <w:rsid w:val="00030D6C"/>
    <w:rsid w:val="00030E13"/>
    <w:rsid w:val="00030EB2"/>
    <w:rsid w:val="00030FA9"/>
    <w:rsid w:val="000310D9"/>
    <w:rsid w:val="000313A6"/>
    <w:rsid w:val="000314C4"/>
    <w:rsid w:val="00031569"/>
    <w:rsid w:val="000316DC"/>
    <w:rsid w:val="00031740"/>
    <w:rsid w:val="00031817"/>
    <w:rsid w:val="00031895"/>
    <w:rsid w:val="000318B1"/>
    <w:rsid w:val="00031921"/>
    <w:rsid w:val="00031924"/>
    <w:rsid w:val="00031B9D"/>
    <w:rsid w:val="00031D73"/>
    <w:rsid w:val="00031E03"/>
    <w:rsid w:val="00031E1D"/>
    <w:rsid w:val="00032004"/>
    <w:rsid w:val="00032054"/>
    <w:rsid w:val="00032106"/>
    <w:rsid w:val="00032422"/>
    <w:rsid w:val="000327C4"/>
    <w:rsid w:val="00032986"/>
    <w:rsid w:val="00032A9F"/>
    <w:rsid w:val="00032E50"/>
    <w:rsid w:val="00032F77"/>
    <w:rsid w:val="00033203"/>
    <w:rsid w:val="000333C7"/>
    <w:rsid w:val="0003373C"/>
    <w:rsid w:val="00033754"/>
    <w:rsid w:val="000337DC"/>
    <w:rsid w:val="00033E09"/>
    <w:rsid w:val="00034021"/>
    <w:rsid w:val="000340F6"/>
    <w:rsid w:val="000341AE"/>
    <w:rsid w:val="000341FA"/>
    <w:rsid w:val="000343D1"/>
    <w:rsid w:val="0003478E"/>
    <w:rsid w:val="00034834"/>
    <w:rsid w:val="0003493B"/>
    <w:rsid w:val="000349BE"/>
    <w:rsid w:val="00034A3B"/>
    <w:rsid w:val="00034B49"/>
    <w:rsid w:val="00034C70"/>
    <w:rsid w:val="00034C99"/>
    <w:rsid w:val="00034D5D"/>
    <w:rsid w:val="00034DB4"/>
    <w:rsid w:val="00035067"/>
    <w:rsid w:val="00035269"/>
    <w:rsid w:val="00035422"/>
    <w:rsid w:val="000354AA"/>
    <w:rsid w:val="0003566D"/>
    <w:rsid w:val="00035741"/>
    <w:rsid w:val="0003578A"/>
    <w:rsid w:val="00035872"/>
    <w:rsid w:val="00035C38"/>
    <w:rsid w:val="00035D4E"/>
    <w:rsid w:val="00035E93"/>
    <w:rsid w:val="00035E99"/>
    <w:rsid w:val="00035ECF"/>
    <w:rsid w:val="00035F3D"/>
    <w:rsid w:val="00035FCB"/>
    <w:rsid w:val="000360AF"/>
    <w:rsid w:val="0003612E"/>
    <w:rsid w:val="000362CD"/>
    <w:rsid w:val="0003643D"/>
    <w:rsid w:val="00036648"/>
    <w:rsid w:val="000367D1"/>
    <w:rsid w:val="00036885"/>
    <w:rsid w:val="00036CA8"/>
    <w:rsid w:val="00036D41"/>
    <w:rsid w:val="00036DEC"/>
    <w:rsid w:val="000371C6"/>
    <w:rsid w:val="0003742A"/>
    <w:rsid w:val="000375A1"/>
    <w:rsid w:val="0003774F"/>
    <w:rsid w:val="00037970"/>
    <w:rsid w:val="00037982"/>
    <w:rsid w:val="000379AA"/>
    <w:rsid w:val="00037BD0"/>
    <w:rsid w:val="00037DAF"/>
    <w:rsid w:val="00037FA4"/>
    <w:rsid w:val="0004004B"/>
    <w:rsid w:val="000400C4"/>
    <w:rsid w:val="000402A6"/>
    <w:rsid w:val="00040473"/>
    <w:rsid w:val="00040594"/>
    <w:rsid w:val="000405EE"/>
    <w:rsid w:val="00040649"/>
    <w:rsid w:val="00040857"/>
    <w:rsid w:val="00040BA2"/>
    <w:rsid w:val="00040C11"/>
    <w:rsid w:val="00040C79"/>
    <w:rsid w:val="00040EA8"/>
    <w:rsid w:val="0004110B"/>
    <w:rsid w:val="0004146A"/>
    <w:rsid w:val="00041511"/>
    <w:rsid w:val="0004163B"/>
    <w:rsid w:val="000416F3"/>
    <w:rsid w:val="00041913"/>
    <w:rsid w:val="00041B1D"/>
    <w:rsid w:val="00041BFF"/>
    <w:rsid w:val="00041D00"/>
    <w:rsid w:val="00041DCE"/>
    <w:rsid w:val="00041EBD"/>
    <w:rsid w:val="00041F3B"/>
    <w:rsid w:val="00041FAE"/>
    <w:rsid w:val="00042071"/>
    <w:rsid w:val="00042238"/>
    <w:rsid w:val="00042645"/>
    <w:rsid w:val="0004291D"/>
    <w:rsid w:val="00042CE1"/>
    <w:rsid w:val="00042DB1"/>
    <w:rsid w:val="00042EAA"/>
    <w:rsid w:val="00042F7D"/>
    <w:rsid w:val="00043078"/>
    <w:rsid w:val="0004339B"/>
    <w:rsid w:val="000433A1"/>
    <w:rsid w:val="000433B4"/>
    <w:rsid w:val="0004413B"/>
    <w:rsid w:val="000441F7"/>
    <w:rsid w:val="000442C6"/>
    <w:rsid w:val="000442FC"/>
    <w:rsid w:val="0004453E"/>
    <w:rsid w:val="00044760"/>
    <w:rsid w:val="0004491A"/>
    <w:rsid w:val="00044A65"/>
    <w:rsid w:val="00044C50"/>
    <w:rsid w:val="00044D42"/>
    <w:rsid w:val="00044DA2"/>
    <w:rsid w:val="00044E7B"/>
    <w:rsid w:val="00044EF3"/>
    <w:rsid w:val="00044F12"/>
    <w:rsid w:val="00045357"/>
    <w:rsid w:val="000453BD"/>
    <w:rsid w:val="0004557E"/>
    <w:rsid w:val="000458CB"/>
    <w:rsid w:val="00045D20"/>
    <w:rsid w:val="00045E33"/>
    <w:rsid w:val="00045FEC"/>
    <w:rsid w:val="00046479"/>
    <w:rsid w:val="000465F8"/>
    <w:rsid w:val="00046A99"/>
    <w:rsid w:val="00046CEE"/>
    <w:rsid w:val="00046DD1"/>
    <w:rsid w:val="00046FA5"/>
    <w:rsid w:val="00046FE7"/>
    <w:rsid w:val="000470A0"/>
    <w:rsid w:val="0004715E"/>
    <w:rsid w:val="0004719B"/>
    <w:rsid w:val="0004739A"/>
    <w:rsid w:val="000473C9"/>
    <w:rsid w:val="00047577"/>
    <w:rsid w:val="00047697"/>
    <w:rsid w:val="0004778C"/>
    <w:rsid w:val="000477CA"/>
    <w:rsid w:val="00047C64"/>
    <w:rsid w:val="00047D9B"/>
    <w:rsid w:val="00050092"/>
    <w:rsid w:val="000500AA"/>
    <w:rsid w:val="000500D6"/>
    <w:rsid w:val="000507A5"/>
    <w:rsid w:val="00050A7F"/>
    <w:rsid w:val="00050F67"/>
    <w:rsid w:val="00051030"/>
    <w:rsid w:val="0005150B"/>
    <w:rsid w:val="000515BB"/>
    <w:rsid w:val="00051693"/>
    <w:rsid w:val="00051825"/>
    <w:rsid w:val="0005194E"/>
    <w:rsid w:val="000519F3"/>
    <w:rsid w:val="00051C12"/>
    <w:rsid w:val="00051FA0"/>
    <w:rsid w:val="00052092"/>
    <w:rsid w:val="000522E6"/>
    <w:rsid w:val="0005233A"/>
    <w:rsid w:val="00052463"/>
    <w:rsid w:val="00052669"/>
    <w:rsid w:val="00052699"/>
    <w:rsid w:val="00052783"/>
    <w:rsid w:val="00052860"/>
    <w:rsid w:val="00052B4E"/>
    <w:rsid w:val="00052BAB"/>
    <w:rsid w:val="00052C2F"/>
    <w:rsid w:val="00052DA7"/>
    <w:rsid w:val="00052E48"/>
    <w:rsid w:val="00052EFB"/>
    <w:rsid w:val="00053076"/>
    <w:rsid w:val="0005339D"/>
    <w:rsid w:val="000535ED"/>
    <w:rsid w:val="00053BFB"/>
    <w:rsid w:val="00053CA7"/>
    <w:rsid w:val="00053F77"/>
    <w:rsid w:val="0005408E"/>
    <w:rsid w:val="0005434B"/>
    <w:rsid w:val="000543A0"/>
    <w:rsid w:val="000544FB"/>
    <w:rsid w:val="00054652"/>
    <w:rsid w:val="000546B9"/>
    <w:rsid w:val="00054771"/>
    <w:rsid w:val="00054A37"/>
    <w:rsid w:val="00054BD1"/>
    <w:rsid w:val="00054BDD"/>
    <w:rsid w:val="00054C01"/>
    <w:rsid w:val="00054CA2"/>
    <w:rsid w:val="00054E03"/>
    <w:rsid w:val="00055017"/>
    <w:rsid w:val="00055034"/>
    <w:rsid w:val="000550A3"/>
    <w:rsid w:val="000550E0"/>
    <w:rsid w:val="0005527B"/>
    <w:rsid w:val="0005528D"/>
    <w:rsid w:val="000552CA"/>
    <w:rsid w:val="0005531F"/>
    <w:rsid w:val="0005537E"/>
    <w:rsid w:val="0005545C"/>
    <w:rsid w:val="000554F9"/>
    <w:rsid w:val="00055579"/>
    <w:rsid w:val="000559DD"/>
    <w:rsid w:val="000559FE"/>
    <w:rsid w:val="00055AB1"/>
    <w:rsid w:val="00055B18"/>
    <w:rsid w:val="00055D48"/>
    <w:rsid w:val="00055D7F"/>
    <w:rsid w:val="0005600E"/>
    <w:rsid w:val="00056190"/>
    <w:rsid w:val="00056209"/>
    <w:rsid w:val="00056304"/>
    <w:rsid w:val="00056316"/>
    <w:rsid w:val="00056417"/>
    <w:rsid w:val="0005642C"/>
    <w:rsid w:val="000564A9"/>
    <w:rsid w:val="0005650E"/>
    <w:rsid w:val="0005683F"/>
    <w:rsid w:val="00056A8E"/>
    <w:rsid w:val="00056AA0"/>
    <w:rsid w:val="00056AC9"/>
    <w:rsid w:val="00056B77"/>
    <w:rsid w:val="00056BC7"/>
    <w:rsid w:val="00056DD9"/>
    <w:rsid w:val="00056EBB"/>
    <w:rsid w:val="00056FEB"/>
    <w:rsid w:val="00057281"/>
    <w:rsid w:val="000573E2"/>
    <w:rsid w:val="00060064"/>
    <w:rsid w:val="000604DE"/>
    <w:rsid w:val="00060B3A"/>
    <w:rsid w:val="00060B4D"/>
    <w:rsid w:val="00060BE0"/>
    <w:rsid w:val="00060C69"/>
    <w:rsid w:val="00060D7D"/>
    <w:rsid w:val="00060F8D"/>
    <w:rsid w:val="00061273"/>
    <w:rsid w:val="0006183F"/>
    <w:rsid w:val="00061A55"/>
    <w:rsid w:val="00061ADC"/>
    <w:rsid w:val="00061B6C"/>
    <w:rsid w:val="00061BB4"/>
    <w:rsid w:val="00061DBA"/>
    <w:rsid w:val="00061E34"/>
    <w:rsid w:val="00061E6F"/>
    <w:rsid w:val="00061ECA"/>
    <w:rsid w:val="00062013"/>
    <w:rsid w:val="00062216"/>
    <w:rsid w:val="00062523"/>
    <w:rsid w:val="00062A23"/>
    <w:rsid w:val="00062CD7"/>
    <w:rsid w:val="00062EE2"/>
    <w:rsid w:val="00063102"/>
    <w:rsid w:val="000637D3"/>
    <w:rsid w:val="000638EE"/>
    <w:rsid w:val="00063B87"/>
    <w:rsid w:val="000641DC"/>
    <w:rsid w:val="000643C3"/>
    <w:rsid w:val="000643FD"/>
    <w:rsid w:val="00064423"/>
    <w:rsid w:val="00064592"/>
    <w:rsid w:val="00064611"/>
    <w:rsid w:val="00064680"/>
    <w:rsid w:val="000646DE"/>
    <w:rsid w:val="00064C47"/>
    <w:rsid w:val="00064C6D"/>
    <w:rsid w:val="00064E0D"/>
    <w:rsid w:val="00064E45"/>
    <w:rsid w:val="00065129"/>
    <w:rsid w:val="0006545E"/>
    <w:rsid w:val="00065843"/>
    <w:rsid w:val="000658AC"/>
    <w:rsid w:val="000659BB"/>
    <w:rsid w:val="000659BE"/>
    <w:rsid w:val="00065A8D"/>
    <w:rsid w:val="00065AB7"/>
    <w:rsid w:val="00065B9C"/>
    <w:rsid w:val="00065BC2"/>
    <w:rsid w:val="00065E1D"/>
    <w:rsid w:val="00065E56"/>
    <w:rsid w:val="00065E9E"/>
    <w:rsid w:val="00065F02"/>
    <w:rsid w:val="00065FB8"/>
    <w:rsid w:val="000661AB"/>
    <w:rsid w:val="000661E8"/>
    <w:rsid w:val="000662F4"/>
    <w:rsid w:val="0006662E"/>
    <w:rsid w:val="00066759"/>
    <w:rsid w:val="00066A38"/>
    <w:rsid w:val="00066B08"/>
    <w:rsid w:val="00066B48"/>
    <w:rsid w:val="00066C59"/>
    <w:rsid w:val="00066D1B"/>
    <w:rsid w:val="0006707E"/>
    <w:rsid w:val="00067241"/>
    <w:rsid w:val="00067260"/>
    <w:rsid w:val="0006726F"/>
    <w:rsid w:val="0006733B"/>
    <w:rsid w:val="000673A2"/>
    <w:rsid w:val="0006789C"/>
    <w:rsid w:val="00067CAD"/>
    <w:rsid w:val="00067D0C"/>
    <w:rsid w:val="00067EA1"/>
    <w:rsid w:val="0007001F"/>
    <w:rsid w:val="0007035D"/>
    <w:rsid w:val="000705A7"/>
    <w:rsid w:val="0007062C"/>
    <w:rsid w:val="000708A8"/>
    <w:rsid w:val="00070D05"/>
    <w:rsid w:val="00071126"/>
    <w:rsid w:val="00071207"/>
    <w:rsid w:val="00071420"/>
    <w:rsid w:val="00071526"/>
    <w:rsid w:val="0007159A"/>
    <w:rsid w:val="00071875"/>
    <w:rsid w:val="0007196E"/>
    <w:rsid w:val="00071E0A"/>
    <w:rsid w:val="00072177"/>
    <w:rsid w:val="000721AD"/>
    <w:rsid w:val="00072379"/>
    <w:rsid w:val="0007238B"/>
    <w:rsid w:val="000724EC"/>
    <w:rsid w:val="000727F9"/>
    <w:rsid w:val="0007299A"/>
    <w:rsid w:val="00073289"/>
    <w:rsid w:val="000735D3"/>
    <w:rsid w:val="000735E8"/>
    <w:rsid w:val="00073601"/>
    <w:rsid w:val="00073945"/>
    <w:rsid w:val="00073C4D"/>
    <w:rsid w:val="00073CA7"/>
    <w:rsid w:val="00073CB5"/>
    <w:rsid w:val="00073FD8"/>
    <w:rsid w:val="00074128"/>
    <w:rsid w:val="000744CA"/>
    <w:rsid w:val="000744F1"/>
    <w:rsid w:val="000745B8"/>
    <w:rsid w:val="0007472B"/>
    <w:rsid w:val="000748A1"/>
    <w:rsid w:val="00074AD7"/>
    <w:rsid w:val="00074D29"/>
    <w:rsid w:val="00074DAA"/>
    <w:rsid w:val="00074E8F"/>
    <w:rsid w:val="00074FDC"/>
    <w:rsid w:val="00075375"/>
    <w:rsid w:val="0007563C"/>
    <w:rsid w:val="0007581B"/>
    <w:rsid w:val="00075864"/>
    <w:rsid w:val="00075BF5"/>
    <w:rsid w:val="00075D03"/>
    <w:rsid w:val="00075E4D"/>
    <w:rsid w:val="00075E82"/>
    <w:rsid w:val="00075FC9"/>
    <w:rsid w:val="00075FF1"/>
    <w:rsid w:val="000760B0"/>
    <w:rsid w:val="000762E8"/>
    <w:rsid w:val="000763E3"/>
    <w:rsid w:val="000764DF"/>
    <w:rsid w:val="000765CC"/>
    <w:rsid w:val="000767A2"/>
    <w:rsid w:val="00076AF8"/>
    <w:rsid w:val="00076C9D"/>
    <w:rsid w:val="00076D2D"/>
    <w:rsid w:val="000770F6"/>
    <w:rsid w:val="000771B3"/>
    <w:rsid w:val="00077340"/>
    <w:rsid w:val="00077787"/>
    <w:rsid w:val="00077889"/>
    <w:rsid w:val="0007788E"/>
    <w:rsid w:val="00077B14"/>
    <w:rsid w:val="00077B43"/>
    <w:rsid w:val="00077BBB"/>
    <w:rsid w:val="00077DB7"/>
    <w:rsid w:val="00080236"/>
    <w:rsid w:val="0008031C"/>
    <w:rsid w:val="00080926"/>
    <w:rsid w:val="00080A2F"/>
    <w:rsid w:val="00081196"/>
    <w:rsid w:val="000811F0"/>
    <w:rsid w:val="00081282"/>
    <w:rsid w:val="00081343"/>
    <w:rsid w:val="00081880"/>
    <w:rsid w:val="00081996"/>
    <w:rsid w:val="00081A0D"/>
    <w:rsid w:val="00081B9D"/>
    <w:rsid w:val="00081C36"/>
    <w:rsid w:val="00081CC8"/>
    <w:rsid w:val="00081E00"/>
    <w:rsid w:val="00081E61"/>
    <w:rsid w:val="00081E89"/>
    <w:rsid w:val="0008218E"/>
    <w:rsid w:val="0008221F"/>
    <w:rsid w:val="000822C4"/>
    <w:rsid w:val="000822E2"/>
    <w:rsid w:val="000823A7"/>
    <w:rsid w:val="000823AD"/>
    <w:rsid w:val="000823DF"/>
    <w:rsid w:val="00082510"/>
    <w:rsid w:val="00082952"/>
    <w:rsid w:val="00082AE4"/>
    <w:rsid w:val="00082C9C"/>
    <w:rsid w:val="00082DC8"/>
    <w:rsid w:val="00083992"/>
    <w:rsid w:val="00083A9D"/>
    <w:rsid w:val="00083AFB"/>
    <w:rsid w:val="00083BB4"/>
    <w:rsid w:val="00083C3E"/>
    <w:rsid w:val="00083C7E"/>
    <w:rsid w:val="00083D9C"/>
    <w:rsid w:val="00083DA4"/>
    <w:rsid w:val="00083F1A"/>
    <w:rsid w:val="00083FDC"/>
    <w:rsid w:val="00084052"/>
    <w:rsid w:val="000840D8"/>
    <w:rsid w:val="00084280"/>
    <w:rsid w:val="000842FF"/>
    <w:rsid w:val="00084406"/>
    <w:rsid w:val="00084440"/>
    <w:rsid w:val="00084516"/>
    <w:rsid w:val="0008481F"/>
    <w:rsid w:val="000848F4"/>
    <w:rsid w:val="000849D2"/>
    <w:rsid w:val="00084A2D"/>
    <w:rsid w:val="00084E73"/>
    <w:rsid w:val="00085334"/>
    <w:rsid w:val="0008562B"/>
    <w:rsid w:val="00085670"/>
    <w:rsid w:val="00085A3F"/>
    <w:rsid w:val="00085AA0"/>
    <w:rsid w:val="00085AED"/>
    <w:rsid w:val="00085B90"/>
    <w:rsid w:val="00085C78"/>
    <w:rsid w:val="00085CE4"/>
    <w:rsid w:val="00085D0C"/>
    <w:rsid w:val="00085E17"/>
    <w:rsid w:val="00085F50"/>
    <w:rsid w:val="00086205"/>
    <w:rsid w:val="0008643E"/>
    <w:rsid w:val="00086455"/>
    <w:rsid w:val="00086480"/>
    <w:rsid w:val="000864E4"/>
    <w:rsid w:val="000865EA"/>
    <w:rsid w:val="0008662A"/>
    <w:rsid w:val="0008665D"/>
    <w:rsid w:val="000868E9"/>
    <w:rsid w:val="00086930"/>
    <w:rsid w:val="00086980"/>
    <w:rsid w:val="00086B3C"/>
    <w:rsid w:val="00086BB5"/>
    <w:rsid w:val="00086DD6"/>
    <w:rsid w:val="00086DD9"/>
    <w:rsid w:val="00086EBA"/>
    <w:rsid w:val="00086FBF"/>
    <w:rsid w:val="0008705A"/>
    <w:rsid w:val="00087080"/>
    <w:rsid w:val="00087272"/>
    <w:rsid w:val="000875D5"/>
    <w:rsid w:val="00087660"/>
    <w:rsid w:val="00087679"/>
    <w:rsid w:val="00087722"/>
    <w:rsid w:val="00087758"/>
    <w:rsid w:val="000879A4"/>
    <w:rsid w:val="00087ACC"/>
    <w:rsid w:val="00087C04"/>
    <w:rsid w:val="00087CDC"/>
    <w:rsid w:val="00087CFC"/>
    <w:rsid w:val="0009021E"/>
    <w:rsid w:val="00090354"/>
    <w:rsid w:val="0009040F"/>
    <w:rsid w:val="000909F4"/>
    <w:rsid w:val="00090A6F"/>
    <w:rsid w:val="00090AD1"/>
    <w:rsid w:val="00090FBA"/>
    <w:rsid w:val="00090FF1"/>
    <w:rsid w:val="00091162"/>
    <w:rsid w:val="0009122C"/>
    <w:rsid w:val="000912F5"/>
    <w:rsid w:val="00091392"/>
    <w:rsid w:val="0009146A"/>
    <w:rsid w:val="000916A4"/>
    <w:rsid w:val="00091767"/>
    <w:rsid w:val="00091A55"/>
    <w:rsid w:val="00091D80"/>
    <w:rsid w:val="00091F0A"/>
    <w:rsid w:val="00091F6D"/>
    <w:rsid w:val="0009231A"/>
    <w:rsid w:val="000924F1"/>
    <w:rsid w:val="000925F4"/>
    <w:rsid w:val="0009271B"/>
    <w:rsid w:val="00092993"/>
    <w:rsid w:val="00092C4E"/>
    <w:rsid w:val="00092D21"/>
    <w:rsid w:val="00092FD8"/>
    <w:rsid w:val="0009331A"/>
    <w:rsid w:val="00093B5A"/>
    <w:rsid w:val="00093CD6"/>
    <w:rsid w:val="00093E8E"/>
    <w:rsid w:val="000941D3"/>
    <w:rsid w:val="000943BF"/>
    <w:rsid w:val="0009444A"/>
    <w:rsid w:val="00094745"/>
    <w:rsid w:val="00094C64"/>
    <w:rsid w:val="00094F29"/>
    <w:rsid w:val="0009522F"/>
    <w:rsid w:val="00095AE8"/>
    <w:rsid w:val="00095AEE"/>
    <w:rsid w:val="00095CA3"/>
    <w:rsid w:val="00095CD4"/>
    <w:rsid w:val="00095F6D"/>
    <w:rsid w:val="00096131"/>
    <w:rsid w:val="00096434"/>
    <w:rsid w:val="00096494"/>
    <w:rsid w:val="0009656B"/>
    <w:rsid w:val="00096662"/>
    <w:rsid w:val="0009695D"/>
    <w:rsid w:val="000969D3"/>
    <w:rsid w:val="00096B39"/>
    <w:rsid w:val="00096C15"/>
    <w:rsid w:val="00096CDA"/>
    <w:rsid w:val="00096CFD"/>
    <w:rsid w:val="00096DF3"/>
    <w:rsid w:val="00096E55"/>
    <w:rsid w:val="00096F32"/>
    <w:rsid w:val="00096F9B"/>
    <w:rsid w:val="0009730B"/>
    <w:rsid w:val="0009741C"/>
    <w:rsid w:val="0009785D"/>
    <w:rsid w:val="00097A87"/>
    <w:rsid w:val="00097E8D"/>
    <w:rsid w:val="00097FE1"/>
    <w:rsid w:val="000A0091"/>
    <w:rsid w:val="000A0280"/>
    <w:rsid w:val="000A0497"/>
    <w:rsid w:val="000A05AA"/>
    <w:rsid w:val="000A06EF"/>
    <w:rsid w:val="000A07BF"/>
    <w:rsid w:val="000A0811"/>
    <w:rsid w:val="000A09A2"/>
    <w:rsid w:val="000A0C23"/>
    <w:rsid w:val="000A0C98"/>
    <w:rsid w:val="000A13DC"/>
    <w:rsid w:val="000A13E3"/>
    <w:rsid w:val="000A140F"/>
    <w:rsid w:val="000A142C"/>
    <w:rsid w:val="000A168A"/>
    <w:rsid w:val="000A19CB"/>
    <w:rsid w:val="000A1A12"/>
    <w:rsid w:val="000A1A2F"/>
    <w:rsid w:val="000A1BDD"/>
    <w:rsid w:val="000A1D4D"/>
    <w:rsid w:val="000A1E41"/>
    <w:rsid w:val="000A2385"/>
    <w:rsid w:val="000A243A"/>
    <w:rsid w:val="000A250E"/>
    <w:rsid w:val="000A2726"/>
    <w:rsid w:val="000A2A93"/>
    <w:rsid w:val="000A2BEE"/>
    <w:rsid w:val="000A2C03"/>
    <w:rsid w:val="000A2D0A"/>
    <w:rsid w:val="000A35C1"/>
    <w:rsid w:val="000A38C6"/>
    <w:rsid w:val="000A38FD"/>
    <w:rsid w:val="000A3A6A"/>
    <w:rsid w:val="000A3C35"/>
    <w:rsid w:val="000A3CAB"/>
    <w:rsid w:val="000A3ED1"/>
    <w:rsid w:val="000A42CF"/>
    <w:rsid w:val="000A4483"/>
    <w:rsid w:val="000A44E7"/>
    <w:rsid w:val="000A4583"/>
    <w:rsid w:val="000A45FA"/>
    <w:rsid w:val="000A47E6"/>
    <w:rsid w:val="000A4998"/>
    <w:rsid w:val="000A4AA3"/>
    <w:rsid w:val="000A4C0D"/>
    <w:rsid w:val="000A4E4E"/>
    <w:rsid w:val="000A4EF1"/>
    <w:rsid w:val="000A4FE6"/>
    <w:rsid w:val="000A5078"/>
    <w:rsid w:val="000A50C0"/>
    <w:rsid w:val="000A5521"/>
    <w:rsid w:val="000A557A"/>
    <w:rsid w:val="000A570A"/>
    <w:rsid w:val="000A5788"/>
    <w:rsid w:val="000A5B03"/>
    <w:rsid w:val="000A5EC3"/>
    <w:rsid w:val="000A5FC4"/>
    <w:rsid w:val="000A6053"/>
    <w:rsid w:val="000A6471"/>
    <w:rsid w:val="000A6611"/>
    <w:rsid w:val="000A67F3"/>
    <w:rsid w:val="000A68E5"/>
    <w:rsid w:val="000A6C85"/>
    <w:rsid w:val="000A7192"/>
    <w:rsid w:val="000A71D7"/>
    <w:rsid w:val="000A72FE"/>
    <w:rsid w:val="000A745B"/>
    <w:rsid w:val="000A760C"/>
    <w:rsid w:val="000A77C8"/>
    <w:rsid w:val="000A7C40"/>
    <w:rsid w:val="000A7C9F"/>
    <w:rsid w:val="000B01B8"/>
    <w:rsid w:val="000B029E"/>
    <w:rsid w:val="000B03DB"/>
    <w:rsid w:val="000B059E"/>
    <w:rsid w:val="000B07AD"/>
    <w:rsid w:val="000B0868"/>
    <w:rsid w:val="000B0B2D"/>
    <w:rsid w:val="000B0B65"/>
    <w:rsid w:val="000B0EC5"/>
    <w:rsid w:val="000B1078"/>
    <w:rsid w:val="000B125D"/>
    <w:rsid w:val="000B165A"/>
    <w:rsid w:val="000B1917"/>
    <w:rsid w:val="000B1A9C"/>
    <w:rsid w:val="000B1C3A"/>
    <w:rsid w:val="000B1FDB"/>
    <w:rsid w:val="000B200E"/>
    <w:rsid w:val="000B20E6"/>
    <w:rsid w:val="000B244C"/>
    <w:rsid w:val="000B2515"/>
    <w:rsid w:val="000B25AE"/>
    <w:rsid w:val="000B27E6"/>
    <w:rsid w:val="000B285F"/>
    <w:rsid w:val="000B291F"/>
    <w:rsid w:val="000B2A25"/>
    <w:rsid w:val="000B2A28"/>
    <w:rsid w:val="000B2C31"/>
    <w:rsid w:val="000B2F16"/>
    <w:rsid w:val="000B2F9E"/>
    <w:rsid w:val="000B2FAD"/>
    <w:rsid w:val="000B3037"/>
    <w:rsid w:val="000B31DB"/>
    <w:rsid w:val="000B34C8"/>
    <w:rsid w:val="000B34ED"/>
    <w:rsid w:val="000B37CF"/>
    <w:rsid w:val="000B37EA"/>
    <w:rsid w:val="000B3AC8"/>
    <w:rsid w:val="000B404F"/>
    <w:rsid w:val="000B416E"/>
    <w:rsid w:val="000B41E3"/>
    <w:rsid w:val="000B43C0"/>
    <w:rsid w:val="000B48BC"/>
    <w:rsid w:val="000B4A5D"/>
    <w:rsid w:val="000B4C83"/>
    <w:rsid w:val="000B4E07"/>
    <w:rsid w:val="000B5221"/>
    <w:rsid w:val="000B53E7"/>
    <w:rsid w:val="000B5740"/>
    <w:rsid w:val="000B5A72"/>
    <w:rsid w:val="000B5B6E"/>
    <w:rsid w:val="000B5BE9"/>
    <w:rsid w:val="000B5E5E"/>
    <w:rsid w:val="000B5FDA"/>
    <w:rsid w:val="000B60B1"/>
    <w:rsid w:val="000B60C2"/>
    <w:rsid w:val="000B60D5"/>
    <w:rsid w:val="000B6170"/>
    <w:rsid w:val="000B656B"/>
    <w:rsid w:val="000B67B1"/>
    <w:rsid w:val="000B685B"/>
    <w:rsid w:val="000B6C28"/>
    <w:rsid w:val="000B6CB0"/>
    <w:rsid w:val="000B6E3D"/>
    <w:rsid w:val="000B709A"/>
    <w:rsid w:val="000B7153"/>
    <w:rsid w:val="000B7213"/>
    <w:rsid w:val="000B7261"/>
    <w:rsid w:val="000B735B"/>
    <w:rsid w:val="000B740E"/>
    <w:rsid w:val="000B7709"/>
    <w:rsid w:val="000B799E"/>
    <w:rsid w:val="000B7A1E"/>
    <w:rsid w:val="000B7AD2"/>
    <w:rsid w:val="000B7EC0"/>
    <w:rsid w:val="000B7F70"/>
    <w:rsid w:val="000B7FA9"/>
    <w:rsid w:val="000C0110"/>
    <w:rsid w:val="000C0183"/>
    <w:rsid w:val="000C0422"/>
    <w:rsid w:val="000C05EB"/>
    <w:rsid w:val="000C0624"/>
    <w:rsid w:val="000C08B1"/>
    <w:rsid w:val="000C0958"/>
    <w:rsid w:val="000C0A92"/>
    <w:rsid w:val="000C0C17"/>
    <w:rsid w:val="000C103D"/>
    <w:rsid w:val="000C120F"/>
    <w:rsid w:val="000C14E8"/>
    <w:rsid w:val="000C1600"/>
    <w:rsid w:val="000C173C"/>
    <w:rsid w:val="000C17C1"/>
    <w:rsid w:val="000C1ACC"/>
    <w:rsid w:val="000C226E"/>
    <w:rsid w:val="000C23E4"/>
    <w:rsid w:val="000C249B"/>
    <w:rsid w:val="000C24E9"/>
    <w:rsid w:val="000C2622"/>
    <w:rsid w:val="000C28CF"/>
    <w:rsid w:val="000C2B49"/>
    <w:rsid w:val="000C2CD4"/>
    <w:rsid w:val="000C2DD3"/>
    <w:rsid w:val="000C2F2E"/>
    <w:rsid w:val="000C2FF7"/>
    <w:rsid w:val="000C328F"/>
    <w:rsid w:val="000C361B"/>
    <w:rsid w:val="000C372C"/>
    <w:rsid w:val="000C3976"/>
    <w:rsid w:val="000C3A6B"/>
    <w:rsid w:val="000C3B58"/>
    <w:rsid w:val="000C3F62"/>
    <w:rsid w:val="000C3FFD"/>
    <w:rsid w:val="000C4093"/>
    <w:rsid w:val="000C415A"/>
    <w:rsid w:val="000C4225"/>
    <w:rsid w:val="000C42B1"/>
    <w:rsid w:val="000C4501"/>
    <w:rsid w:val="000C457A"/>
    <w:rsid w:val="000C460C"/>
    <w:rsid w:val="000C4610"/>
    <w:rsid w:val="000C46BD"/>
    <w:rsid w:val="000C4B26"/>
    <w:rsid w:val="000C4B8F"/>
    <w:rsid w:val="000C4C9F"/>
    <w:rsid w:val="000C4EF3"/>
    <w:rsid w:val="000C4F47"/>
    <w:rsid w:val="000C4F55"/>
    <w:rsid w:val="000C4FFB"/>
    <w:rsid w:val="000C5027"/>
    <w:rsid w:val="000C55CA"/>
    <w:rsid w:val="000C581E"/>
    <w:rsid w:val="000C5AF4"/>
    <w:rsid w:val="000C5BC7"/>
    <w:rsid w:val="000C5BD6"/>
    <w:rsid w:val="000C5C3F"/>
    <w:rsid w:val="000C5E08"/>
    <w:rsid w:val="000C5E1A"/>
    <w:rsid w:val="000C5ED2"/>
    <w:rsid w:val="000C641D"/>
    <w:rsid w:val="000C6575"/>
    <w:rsid w:val="000C6698"/>
    <w:rsid w:val="000C66CF"/>
    <w:rsid w:val="000C69ED"/>
    <w:rsid w:val="000C6A1E"/>
    <w:rsid w:val="000C6A9D"/>
    <w:rsid w:val="000C6AA2"/>
    <w:rsid w:val="000C6B6C"/>
    <w:rsid w:val="000C6BD2"/>
    <w:rsid w:val="000C6DF8"/>
    <w:rsid w:val="000C6F87"/>
    <w:rsid w:val="000C6F8B"/>
    <w:rsid w:val="000C7435"/>
    <w:rsid w:val="000C7595"/>
    <w:rsid w:val="000C767F"/>
    <w:rsid w:val="000C78D3"/>
    <w:rsid w:val="000C7B2E"/>
    <w:rsid w:val="000C7C80"/>
    <w:rsid w:val="000D00B6"/>
    <w:rsid w:val="000D02B8"/>
    <w:rsid w:val="000D03CB"/>
    <w:rsid w:val="000D0499"/>
    <w:rsid w:val="000D05BE"/>
    <w:rsid w:val="000D079A"/>
    <w:rsid w:val="000D080F"/>
    <w:rsid w:val="000D0839"/>
    <w:rsid w:val="000D08E5"/>
    <w:rsid w:val="000D098A"/>
    <w:rsid w:val="000D0F48"/>
    <w:rsid w:val="000D15EA"/>
    <w:rsid w:val="000D16F9"/>
    <w:rsid w:val="000D1757"/>
    <w:rsid w:val="000D18BB"/>
    <w:rsid w:val="000D1BBB"/>
    <w:rsid w:val="000D1C88"/>
    <w:rsid w:val="000D1E1E"/>
    <w:rsid w:val="000D2293"/>
    <w:rsid w:val="000D2457"/>
    <w:rsid w:val="000D274B"/>
    <w:rsid w:val="000D2781"/>
    <w:rsid w:val="000D27E2"/>
    <w:rsid w:val="000D2A33"/>
    <w:rsid w:val="000D2D48"/>
    <w:rsid w:val="000D2E50"/>
    <w:rsid w:val="000D3115"/>
    <w:rsid w:val="000D31C6"/>
    <w:rsid w:val="000D32EF"/>
    <w:rsid w:val="000D3723"/>
    <w:rsid w:val="000D3838"/>
    <w:rsid w:val="000D3B1A"/>
    <w:rsid w:val="000D3BF8"/>
    <w:rsid w:val="000D3D48"/>
    <w:rsid w:val="000D3E4E"/>
    <w:rsid w:val="000D3EBA"/>
    <w:rsid w:val="000D3EF1"/>
    <w:rsid w:val="000D415E"/>
    <w:rsid w:val="000D48AD"/>
    <w:rsid w:val="000D48B9"/>
    <w:rsid w:val="000D4914"/>
    <w:rsid w:val="000D4A23"/>
    <w:rsid w:val="000D4D6D"/>
    <w:rsid w:val="000D4D89"/>
    <w:rsid w:val="000D51A1"/>
    <w:rsid w:val="000D51FA"/>
    <w:rsid w:val="000D5384"/>
    <w:rsid w:val="000D546A"/>
    <w:rsid w:val="000D54C1"/>
    <w:rsid w:val="000D57F2"/>
    <w:rsid w:val="000D5969"/>
    <w:rsid w:val="000D5AFB"/>
    <w:rsid w:val="000D5BA6"/>
    <w:rsid w:val="000D5BD3"/>
    <w:rsid w:val="000D5BEB"/>
    <w:rsid w:val="000D5FCB"/>
    <w:rsid w:val="000D6017"/>
    <w:rsid w:val="000D603C"/>
    <w:rsid w:val="000D64A5"/>
    <w:rsid w:val="000D64E4"/>
    <w:rsid w:val="000D6589"/>
    <w:rsid w:val="000D663F"/>
    <w:rsid w:val="000D66AE"/>
    <w:rsid w:val="000D66DA"/>
    <w:rsid w:val="000D6DDE"/>
    <w:rsid w:val="000D6DF2"/>
    <w:rsid w:val="000D6E8F"/>
    <w:rsid w:val="000D6FFE"/>
    <w:rsid w:val="000D7228"/>
    <w:rsid w:val="000D7807"/>
    <w:rsid w:val="000D78BC"/>
    <w:rsid w:val="000D7976"/>
    <w:rsid w:val="000D7AB7"/>
    <w:rsid w:val="000D7BF3"/>
    <w:rsid w:val="000D7C8A"/>
    <w:rsid w:val="000E01C3"/>
    <w:rsid w:val="000E02BE"/>
    <w:rsid w:val="000E034D"/>
    <w:rsid w:val="000E0543"/>
    <w:rsid w:val="000E0925"/>
    <w:rsid w:val="000E0E7A"/>
    <w:rsid w:val="000E0EE2"/>
    <w:rsid w:val="000E15E6"/>
    <w:rsid w:val="000E1894"/>
    <w:rsid w:val="000E1968"/>
    <w:rsid w:val="000E1C17"/>
    <w:rsid w:val="000E1D20"/>
    <w:rsid w:val="000E2019"/>
    <w:rsid w:val="000E209D"/>
    <w:rsid w:val="000E20AC"/>
    <w:rsid w:val="000E2513"/>
    <w:rsid w:val="000E275B"/>
    <w:rsid w:val="000E2812"/>
    <w:rsid w:val="000E282B"/>
    <w:rsid w:val="000E2987"/>
    <w:rsid w:val="000E29E5"/>
    <w:rsid w:val="000E2B18"/>
    <w:rsid w:val="000E2D9A"/>
    <w:rsid w:val="000E3442"/>
    <w:rsid w:val="000E34A6"/>
    <w:rsid w:val="000E3531"/>
    <w:rsid w:val="000E3624"/>
    <w:rsid w:val="000E38C9"/>
    <w:rsid w:val="000E395D"/>
    <w:rsid w:val="000E3B22"/>
    <w:rsid w:val="000E3FB3"/>
    <w:rsid w:val="000E40DE"/>
    <w:rsid w:val="000E41D5"/>
    <w:rsid w:val="000E4410"/>
    <w:rsid w:val="000E4488"/>
    <w:rsid w:val="000E4734"/>
    <w:rsid w:val="000E4780"/>
    <w:rsid w:val="000E4922"/>
    <w:rsid w:val="000E4A88"/>
    <w:rsid w:val="000E4AFA"/>
    <w:rsid w:val="000E4C3F"/>
    <w:rsid w:val="000E4C6E"/>
    <w:rsid w:val="000E4CC6"/>
    <w:rsid w:val="000E4E29"/>
    <w:rsid w:val="000E4F03"/>
    <w:rsid w:val="000E50AD"/>
    <w:rsid w:val="000E5146"/>
    <w:rsid w:val="000E51D3"/>
    <w:rsid w:val="000E5356"/>
    <w:rsid w:val="000E56E4"/>
    <w:rsid w:val="000E582F"/>
    <w:rsid w:val="000E5AED"/>
    <w:rsid w:val="000E5CC7"/>
    <w:rsid w:val="000E5F88"/>
    <w:rsid w:val="000E6049"/>
    <w:rsid w:val="000E6140"/>
    <w:rsid w:val="000E656B"/>
    <w:rsid w:val="000E6580"/>
    <w:rsid w:val="000E6A11"/>
    <w:rsid w:val="000E6C9D"/>
    <w:rsid w:val="000E6D6E"/>
    <w:rsid w:val="000E6E94"/>
    <w:rsid w:val="000E7006"/>
    <w:rsid w:val="000E71B1"/>
    <w:rsid w:val="000E73F2"/>
    <w:rsid w:val="000E751E"/>
    <w:rsid w:val="000E7562"/>
    <w:rsid w:val="000E7578"/>
    <w:rsid w:val="000E7646"/>
    <w:rsid w:val="000E77EF"/>
    <w:rsid w:val="000E7837"/>
    <w:rsid w:val="000E7900"/>
    <w:rsid w:val="000E7D30"/>
    <w:rsid w:val="000F0815"/>
    <w:rsid w:val="000F08D0"/>
    <w:rsid w:val="000F0AE4"/>
    <w:rsid w:val="000F0D19"/>
    <w:rsid w:val="000F0E0C"/>
    <w:rsid w:val="000F15CD"/>
    <w:rsid w:val="000F1700"/>
    <w:rsid w:val="000F1738"/>
    <w:rsid w:val="000F1840"/>
    <w:rsid w:val="000F1975"/>
    <w:rsid w:val="000F1A84"/>
    <w:rsid w:val="000F1CD7"/>
    <w:rsid w:val="000F1F42"/>
    <w:rsid w:val="000F210F"/>
    <w:rsid w:val="000F22C5"/>
    <w:rsid w:val="000F245C"/>
    <w:rsid w:val="000F26BB"/>
    <w:rsid w:val="000F2A73"/>
    <w:rsid w:val="000F2D7B"/>
    <w:rsid w:val="000F2D9F"/>
    <w:rsid w:val="000F3047"/>
    <w:rsid w:val="000F323A"/>
    <w:rsid w:val="000F3540"/>
    <w:rsid w:val="000F3551"/>
    <w:rsid w:val="000F3615"/>
    <w:rsid w:val="000F3837"/>
    <w:rsid w:val="000F38D3"/>
    <w:rsid w:val="000F3921"/>
    <w:rsid w:val="000F3ACB"/>
    <w:rsid w:val="000F3DF3"/>
    <w:rsid w:val="000F41DE"/>
    <w:rsid w:val="000F4281"/>
    <w:rsid w:val="000F44C9"/>
    <w:rsid w:val="000F46A7"/>
    <w:rsid w:val="000F477E"/>
    <w:rsid w:val="000F4C8C"/>
    <w:rsid w:val="000F4FCC"/>
    <w:rsid w:val="000F5150"/>
    <w:rsid w:val="000F5156"/>
    <w:rsid w:val="000F517E"/>
    <w:rsid w:val="000F53D5"/>
    <w:rsid w:val="000F5439"/>
    <w:rsid w:val="000F54D5"/>
    <w:rsid w:val="000F568E"/>
    <w:rsid w:val="000F5711"/>
    <w:rsid w:val="000F5716"/>
    <w:rsid w:val="000F57DE"/>
    <w:rsid w:val="000F58D2"/>
    <w:rsid w:val="000F5917"/>
    <w:rsid w:val="000F5932"/>
    <w:rsid w:val="000F5C93"/>
    <w:rsid w:val="000F5D91"/>
    <w:rsid w:val="000F5E09"/>
    <w:rsid w:val="000F6041"/>
    <w:rsid w:val="000F621D"/>
    <w:rsid w:val="000F6223"/>
    <w:rsid w:val="000F6239"/>
    <w:rsid w:val="000F63E7"/>
    <w:rsid w:val="000F6614"/>
    <w:rsid w:val="000F6618"/>
    <w:rsid w:val="000F6778"/>
    <w:rsid w:val="000F6867"/>
    <w:rsid w:val="000F6A39"/>
    <w:rsid w:val="000F6ACE"/>
    <w:rsid w:val="000F6AE4"/>
    <w:rsid w:val="000F6CBF"/>
    <w:rsid w:val="000F6FCC"/>
    <w:rsid w:val="000F7317"/>
    <w:rsid w:val="000F739D"/>
    <w:rsid w:val="000F74D0"/>
    <w:rsid w:val="000F76DA"/>
    <w:rsid w:val="000F7860"/>
    <w:rsid w:val="000F7B5B"/>
    <w:rsid w:val="000F7BA1"/>
    <w:rsid w:val="000F7D1E"/>
    <w:rsid w:val="000F7DF9"/>
    <w:rsid w:val="000F7EBC"/>
    <w:rsid w:val="000F7F37"/>
    <w:rsid w:val="000F7F57"/>
    <w:rsid w:val="000F7FA8"/>
    <w:rsid w:val="0010015D"/>
    <w:rsid w:val="00100242"/>
    <w:rsid w:val="0010052D"/>
    <w:rsid w:val="0010057D"/>
    <w:rsid w:val="001007B6"/>
    <w:rsid w:val="00100ABB"/>
    <w:rsid w:val="00100AC6"/>
    <w:rsid w:val="00101001"/>
    <w:rsid w:val="0010124D"/>
    <w:rsid w:val="00101530"/>
    <w:rsid w:val="001015DE"/>
    <w:rsid w:val="001019C1"/>
    <w:rsid w:val="00101B6E"/>
    <w:rsid w:val="00101BA5"/>
    <w:rsid w:val="00101DCF"/>
    <w:rsid w:val="00102080"/>
    <w:rsid w:val="001022C0"/>
    <w:rsid w:val="0010242D"/>
    <w:rsid w:val="0010257E"/>
    <w:rsid w:val="0010281D"/>
    <w:rsid w:val="00102B4F"/>
    <w:rsid w:val="00102C21"/>
    <w:rsid w:val="00102EDC"/>
    <w:rsid w:val="00102F39"/>
    <w:rsid w:val="00102F85"/>
    <w:rsid w:val="00103024"/>
    <w:rsid w:val="00103039"/>
    <w:rsid w:val="00103076"/>
    <w:rsid w:val="00103255"/>
    <w:rsid w:val="00103384"/>
    <w:rsid w:val="0010370A"/>
    <w:rsid w:val="00103895"/>
    <w:rsid w:val="001039E8"/>
    <w:rsid w:val="00103A63"/>
    <w:rsid w:val="00103B77"/>
    <w:rsid w:val="00103CDA"/>
    <w:rsid w:val="00103D8C"/>
    <w:rsid w:val="00104063"/>
    <w:rsid w:val="00104152"/>
    <w:rsid w:val="00104157"/>
    <w:rsid w:val="0010435A"/>
    <w:rsid w:val="0010440A"/>
    <w:rsid w:val="0010471D"/>
    <w:rsid w:val="001049F6"/>
    <w:rsid w:val="00104A31"/>
    <w:rsid w:val="00104ABA"/>
    <w:rsid w:val="00104D41"/>
    <w:rsid w:val="00104F2B"/>
    <w:rsid w:val="001053C0"/>
    <w:rsid w:val="0010547F"/>
    <w:rsid w:val="0010561F"/>
    <w:rsid w:val="001057A4"/>
    <w:rsid w:val="00105896"/>
    <w:rsid w:val="00105919"/>
    <w:rsid w:val="00105BD7"/>
    <w:rsid w:val="00105C55"/>
    <w:rsid w:val="00105CF5"/>
    <w:rsid w:val="001064B6"/>
    <w:rsid w:val="0010657E"/>
    <w:rsid w:val="00106736"/>
    <w:rsid w:val="00106B06"/>
    <w:rsid w:val="00106FAA"/>
    <w:rsid w:val="0010709A"/>
    <w:rsid w:val="001071A9"/>
    <w:rsid w:val="0010759A"/>
    <w:rsid w:val="0010764F"/>
    <w:rsid w:val="001077F1"/>
    <w:rsid w:val="00107D65"/>
    <w:rsid w:val="00107E63"/>
    <w:rsid w:val="0011065D"/>
    <w:rsid w:val="0011067D"/>
    <w:rsid w:val="00110797"/>
    <w:rsid w:val="00110937"/>
    <w:rsid w:val="0011098D"/>
    <w:rsid w:val="00110ACA"/>
    <w:rsid w:val="00110AE0"/>
    <w:rsid w:val="00110BF2"/>
    <w:rsid w:val="00110D72"/>
    <w:rsid w:val="00110EBA"/>
    <w:rsid w:val="00110FA2"/>
    <w:rsid w:val="00111101"/>
    <w:rsid w:val="001111D0"/>
    <w:rsid w:val="001111E8"/>
    <w:rsid w:val="00111507"/>
    <w:rsid w:val="00111517"/>
    <w:rsid w:val="00111575"/>
    <w:rsid w:val="00111765"/>
    <w:rsid w:val="00111929"/>
    <w:rsid w:val="00111AF7"/>
    <w:rsid w:val="00111B03"/>
    <w:rsid w:val="00111EC0"/>
    <w:rsid w:val="00111EEE"/>
    <w:rsid w:val="00112041"/>
    <w:rsid w:val="0011237E"/>
    <w:rsid w:val="00112435"/>
    <w:rsid w:val="001124F2"/>
    <w:rsid w:val="001124FB"/>
    <w:rsid w:val="001125FD"/>
    <w:rsid w:val="0011261A"/>
    <w:rsid w:val="00112882"/>
    <w:rsid w:val="001128A7"/>
    <w:rsid w:val="00112B35"/>
    <w:rsid w:val="00112BAA"/>
    <w:rsid w:val="00112CBC"/>
    <w:rsid w:val="00112E25"/>
    <w:rsid w:val="0011304E"/>
    <w:rsid w:val="001130C4"/>
    <w:rsid w:val="00113498"/>
    <w:rsid w:val="001134B9"/>
    <w:rsid w:val="0011380F"/>
    <w:rsid w:val="00113814"/>
    <w:rsid w:val="00113A77"/>
    <w:rsid w:val="00113B17"/>
    <w:rsid w:val="00113ECB"/>
    <w:rsid w:val="001140D4"/>
    <w:rsid w:val="00114154"/>
    <w:rsid w:val="0011424E"/>
    <w:rsid w:val="00114387"/>
    <w:rsid w:val="00114483"/>
    <w:rsid w:val="001144CC"/>
    <w:rsid w:val="00114537"/>
    <w:rsid w:val="00114ACE"/>
    <w:rsid w:val="00114B56"/>
    <w:rsid w:val="00114B5D"/>
    <w:rsid w:val="00114B9D"/>
    <w:rsid w:val="00114DA6"/>
    <w:rsid w:val="00114DE2"/>
    <w:rsid w:val="00114E93"/>
    <w:rsid w:val="00114F2E"/>
    <w:rsid w:val="001151E2"/>
    <w:rsid w:val="00115479"/>
    <w:rsid w:val="001154DA"/>
    <w:rsid w:val="0011571A"/>
    <w:rsid w:val="00115CFD"/>
    <w:rsid w:val="00115CFF"/>
    <w:rsid w:val="00115D91"/>
    <w:rsid w:val="001160C8"/>
    <w:rsid w:val="00116202"/>
    <w:rsid w:val="001167E6"/>
    <w:rsid w:val="00116D08"/>
    <w:rsid w:val="00116DC6"/>
    <w:rsid w:val="00116F98"/>
    <w:rsid w:val="001170EF"/>
    <w:rsid w:val="0011731F"/>
    <w:rsid w:val="0011770D"/>
    <w:rsid w:val="00117927"/>
    <w:rsid w:val="00117AB7"/>
    <w:rsid w:val="00117E41"/>
    <w:rsid w:val="0012003C"/>
    <w:rsid w:val="0012008C"/>
    <w:rsid w:val="0012040C"/>
    <w:rsid w:val="00120445"/>
    <w:rsid w:val="001205AC"/>
    <w:rsid w:val="00120748"/>
    <w:rsid w:val="001209CB"/>
    <w:rsid w:val="00120DCC"/>
    <w:rsid w:val="00120E6A"/>
    <w:rsid w:val="00120F84"/>
    <w:rsid w:val="00121089"/>
    <w:rsid w:val="001211BB"/>
    <w:rsid w:val="001211C0"/>
    <w:rsid w:val="001211CD"/>
    <w:rsid w:val="0012171E"/>
    <w:rsid w:val="001218A8"/>
    <w:rsid w:val="001218FD"/>
    <w:rsid w:val="00121A98"/>
    <w:rsid w:val="00121B61"/>
    <w:rsid w:val="00121CDC"/>
    <w:rsid w:val="00121D66"/>
    <w:rsid w:val="00121DF2"/>
    <w:rsid w:val="00121DFA"/>
    <w:rsid w:val="00121E16"/>
    <w:rsid w:val="0012217C"/>
    <w:rsid w:val="00122318"/>
    <w:rsid w:val="0012259A"/>
    <w:rsid w:val="001226F2"/>
    <w:rsid w:val="001227AD"/>
    <w:rsid w:val="00122AAF"/>
    <w:rsid w:val="00122AD8"/>
    <w:rsid w:val="00122DD1"/>
    <w:rsid w:val="00123040"/>
    <w:rsid w:val="001238A9"/>
    <w:rsid w:val="001238D9"/>
    <w:rsid w:val="00123D8D"/>
    <w:rsid w:val="00123F87"/>
    <w:rsid w:val="00123FE2"/>
    <w:rsid w:val="001240ED"/>
    <w:rsid w:val="001241E4"/>
    <w:rsid w:val="0012439B"/>
    <w:rsid w:val="00124401"/>
    <w:rsid w:val="0012450D"/>
    <w:rsid w:val="00124779"/>
    <w:rsid w:val="00124BEA"/>
    <w:rsid w:val="00124C2F"/>
    <w:rsid w:val="00124CC2"/>
    <w:rsid w:val="00124D47"/>
    <w:rsid w:val="00124DB9"/>
    <w:rsid w:val="00124E97"/>
    <w:rsid w:val="001251CD"/>
    <w:rsid w:val="0012521A"/>
    <w:rsid w:val="001253F8"/>
    <w:rsid w:val="00125652"/>
    <w:rsid w:val="00125C8B"/>
    <w:rsid w:val="00125D5E"/>
    <w:rsid w:val="001261E3"/>
    <w:rsid w:val="0012678D"/>
    <w:rsid w:val="00126C03"/>
    <w:rsid w:val="00126CF3"/>
    <w:rsid w:val="00126D66"/>
    <w:rsid w:val="00126E8B"/>
    <w:rsid w:val="00126F47"/>
    <w:rsid w:val="0012713B"/>
    <w:rsid w:val="0012742E"/>
    <w:rsid w:val="001278A6"/>
    <w:rsid w:val="00127905"/>
    <w:rsid w:val="001279CC"/>
    <w:rsid w:val="00127B64"/>
    <w:rsid w:val="00127B8D"/>
    <w:rsid w:val="00127C38"/>
    <w:rsid w:val="00130072"/>
    <w:rsid w:val="0013016D"/>
    <w:rsid w:val="00130487"/>
    <w:rsid w:val="00130488"/>
    <w:rsid w:val="0013050A"/>
    <w:rsid w:val="0013050F"/>
    <w:rsid w:val="001305DD"/>
    <w:rsid w:val="0013073B"/>
    <w:rsid w:val="001308D4"/>
    <w:rsid w:val="00130946"/>
    <w:rsid w:val="00130A31"/>
    <w:rsid w:val="00130DA2"/>
    <w:rsid w:val="00130EB3"/>
    <w:rsid w:val="00130FDC"/>
    <w:rsid w:val="001310E6"/>
    <w:rsid w:val="001310EB"/>
    <w:rsid w:val="001311A8"/>
    <w:rsid w:val="00131B7D"/>
    <w:rsid w:val="00132019"/>
    <w:rsid w:val="001320D9"/>
    <w:rsid w:val="00132218"/>
    <w:rsid w:val="001324A4"/>
    <w:rsid w:val="001324A5"/>
    <w:rsid w:val="0013262B"/>
    <w:rsid w:val="0013273E"/>
    <w:rsid w:val="00132751"/>
    <w:rsid w:val="001329A9"/>
    <w:rsid w:val="00132CED"/>
    <w:rsid w:val="00132F3F"/>
    <w:rsid w:val="00132FF7"/>
    <w:rsid w:val="00133085"/>
    <w:rsid w:val="001339A0"/>
    <w:rsid w:val="001339CA"/>
    <w:rsid w:val="001341C7"/>
    <w:rsid w:val="00134223"/>
    <w:rsid w:val="001342C5"/>
    <w:rsid w:val="0013434D"/>
    <w:rsid w:val="001347C4"/>
    <w:rsid w:val="00134A8F"/>
    <w:rsid w:val="00134C4D"/>
    <w:rsid w:val="00134D50"/>
    <w:rsid w:val="00134F95"/>
    <w:rsid w:val="001350E7"/>
    <w:rsid w:val="00135105"/>
    <w:rsid w:val="001351D2"/>
    <w:rsid w:val="00135216"/>
    <w:rsid w:val="001352D2"/>
    <w:rsid w:val="00135325"/>
    <w:rsid w:val="001355D9"/>
    <w:rsid w:val="00135742"/>
    <w:rsid w:val="00135761"/>
    <w:rsid w:val="0013586D"/>
    <w:rsid w:val="00135BDB"/>
    <w:rsid w:val="00135CD2"/>
    <w:rsid w:val="00135CDA"/>
    <w:rsid w:val="00135EE6"/>
    <w:rsid w:val="00135F59"/>
    <w:rsid w:val="00136340"/>
    <w:rsid w:val="00136782"/>
    <w:rsid w:val="001368EE"/>
    <w:rsid w:val="00136BF0"/>
    <w:rsid w:val="00136C3F"/>
    <w:rsid w:val="00136D4F"/>
    <w:rsid w:val="00136F9E"/>
    <w:rsid w:val="0013705E"/>
    <w:rsid w:val="00137331"/>
    <w:rsid w:val="001373BA"/>
    <w:rsid w:val="001373DD"/>
    <w:rsid w:val="001374F6"/>
    <w:rsid w:val="001375FE"/>
    <w:rsid w:val="0013772B"/>
    <w:rsid w:val="00140167"/>
    <w:rsid w:val="001404D7"/>
    <w:rsid w:val="0014080D"/>
    <w:rsid w:val="00140B2F"/>
    <w:rsid w:val="00141044"/>
    <w:rsid w:val="0014128B"/>
    <w:rsid w:val="00141429"/>
    <w:rsid w:val="0014142B"/>
    <w:rsid w:val="00141688"/>
    <w:rsid w:val="00141731"/>
    <w:rsid w:val="001417C7"/>
    <w:rsid w:val="00141AC1"/>
    <w:rsid w:val="00141B2E"/>
    <w:rsid w:val="00141D25"/>
    <w:rsid w:val="00141EB5"/>
    <w:rsid w:val="00141F5A"/>
    <w:rsid w:val="00141F64"/>
    <w:rsid w:val="00141F85"/>
    <w:rsid w:val="00142187"/>
    <w:rsid w:val="0014230E"/>
    <w:rsid w:val="001424B2"/>
    <w:rsid w:val="001425F0"/>
    <w:rsid w:val="00142C47"/>
    <w:rsid w:val="00142CD4"/>
    <w:rsid w:val="00143019"/>
    <w:rsid w:val="001430B7"/>
    <w:rsid w:val="00143436"/>
    <w:rsid w:val="00143606"/>
    <w:rsid w:val="001436B3"/>
    <w:rsid w:val="00143A98"/>
    <w:rsid w:val="00143DDF"/>
    <w:rsid w:val="00144067"/>
    <w:rsid w:val="001446CA"/>
    <w:rsid w:val="0014478B"/>
    <w:rsid w:val="00144797"/>
    <w:rsid w:val="001448ED"/>
    <w:rsid w:val="00144C8B"/>
    <w:rsid w:val="00144FEB"/>
    <w:rsid w:val="001450B9"/>
    <w:rsid w:val="001451D2"/>
    <w:rsid w:val="001451FF"/>
    <w:rsid w:val="00145240"/>
    <w:rsid w:val="00145325"/>
    <w:rsid w:val="0014547C"/>
    <w:rsid w:val="001454D5"/>
    <w:rsid w:val="001454F9"/>
    <w:rsid w:val="001457A0"/>
    <w:rsid w:val="001457A3"/>
    <w:rsid w:val="00145930"/>
    <w:rsid w:val="001459CA"/>
    <w:rsid w:val="00145A9C"/>
    <w:rsid w:val="00145BB9"/>
    <w:rsid w:val="00145BF2"/>
    <w:rsid w:val="00145C70"/>
    <w:rsid w:val="00145CCF"/>
    <w:rsid w:val="00145E1A"/>
    <w:rsid w:val="00146184"/>
    <w:rsid w:val="001461D3"/>
    <w:rsid w:val="00146547"/>
    <w:rsid w:val="00146770"/>
    <w:rsid w:val="00146848"/>
    <w:rsid w:val="00146B18"/>
    <w:rsid w:val="00146C99"/>
    <w:rsid w:val="00146DD7"/>
    <w:rsid w:val="00146E5C"/>
    <w:rsid w:val="00147018"/>
    <w:rsid w:val="0014724E"/>
    <w:rsid w:val="00147B22"/>
    <w:rsid w:val="00147DF8"/>
    <w:rsid w:val="00147E57"/>
    <w:rsid w:val="00147ED3"/>
    <w:rsid w:val="001500B2"/>
    <w:rsid w:val="001501E4"/>
    <w:rsid w:val="00150622"/>
    <w:rsid w:val="0015083B"/>
    <w:rsid w:val="00150B27"/>
    <w:rsid w:val="00150B61"/>
    <w:rsid w:val="00150C0C"/>
    <w:rsid w:val="00150DCE"/>
    <w:rsid w:val="00150FEB"/>
    <w:rsid w:val="00151016"/>
    <w:rsid w:val="001510E5"/>
    <w:rsid w:val="001512ED"/>
    <w:rsid w:val="00151300"/>
    <w:rsid w:val="001513EA"/>
    <w:rsid w:val="001514B4"/>
    <w:rsid w:val="00151568"/>
    <w:rsid w:val="00151633"/>
    <w:rsid w:val="0015163A"/>
    <w:rsid w:val="001516A3"/>
    <w:rsid w:val="001516D0"/>
    <w:rsid w:val="00151BC6"/>
    <w:rsid w:val="001520AA"/>
    <w:rsid w:val="00152228"/>
    <w:rsid w:val="001523CE"/>
    <w:rsid w:val="001523D5"/>
    <w:rsid w:val="00152454"/>
    <w:rsid w:val="001524B1"/>
    <w:rsid w:val="001525B6"/>
    <w:rsid w:val="001525C2"/>
    <w:rsid w:val="001527B0"/>
    <w:rsid w:val="00152832"/>
    <w:rsid w:val="0015292F"/>
    <w:rsid w:val="00152A36"/>
    <w:rsid w:val="00152AED"/>
    <w:rsid w:val="00152E12"/>
    <w:rsid w:val="001534D6"/>
    <w:rsid w:val="00153542"/>
    <w:rsid w:val="00153809"/>
    <w:rsid w:val="001538B8"/>
    <w:rsid w:val="001538FA"/>
    <w:rsid w:val="00153B90"/>
    <w:rsid w:val="00153D9A"/>
    <w:rsid w:val="00153E93"/>
    <w:rsid w:val="00153FEB"/>
    <w:rsid w:val="001543B5"/>
    <w:rsid w:val="00154458"/>
    <w:rsid w:val="001544F7"/>
    <w:rsid w:val="00154696"/>
    <w:rsid w:val="001548EC"/>
    <w:rsid w:val="00154A41"/>
    <w:rsid w:val="00154B29"/>
    <w:rsid w:val="00154B54"/>
    <w:rsid w:val="00154BD7"/>
    <w:rsid w:val="00154C19"/>
    <w:rsid w:val="00154C90"/>
    <w:rsid w:val="00155343"/>
    <w:rsid w:val="001554FB"/>
    <w:rsid w:val="0015556E"/>
    <w:rsid w:val="00155870"/>
    <w:rsid w:val="00155917"/>
    <w:rsid w:val="00155A87"/>
    <w:rsid w:val="00155AC6"/>
    <w:rsid w:val="00155C28"/>
    <w:rsid w:val="00155D2B"/>
    <w:rsid w:val="00155E1B"/>
    <w:rsid w:val="00155E83"/>
    <w:rsid w:val="00155ECA"/>
    <w:rsid w:val="00155EFA"/>
    <w:rsid w:val="00155F02"/>
    <w:rsid w:val="00155F98"/>
    <w:rsid w:val="0015603E"/>
    <w:rsid w:val="00156183"/>
    <w:rsid w:val="001562D6"/>
    <w:rsid w:val="00156426"/>
    <w:rsid w:val="0015685D"/>
    <w:rsid w:val="00156C8D"/>
    <w:rsid w:val="00156EAB"/>
    <w:rsid w:val="00157151"/>
    <w:rsid w:val="00157157"/>
    <w:rsid w:val="00157220"/>
    <w:rsid w:val="0015724F"/>
    <w:rsid w:val="00157418"/>
    <w:rsid w:val="00157565"/>
    <w:rsid w:val="001577FB"/>
    <w:rsid w:val="00157A68"/>
    <w:rsid w:val="00157AAF"/>
    <w:rsid w:val="00157BD8"/>
    <w:rsid w:val="00157C28"/>
    <w:rsid w:val="00157C58"/>
    <w:rsid w:val="00157CAB"/>
    <w:rsid w:val="00157CC3"/>
    <w:rsid w:val="00157D12"/>
    <w:rsid w:val="00157E7C"/>
    <w:rsid w:val="0016003E"/>
    <w:rsid w:val="0016006A"/>
    <w:rsid w:val="0016030F"/>
    <w:rsid w:val="001605A7"/>
    <w:rsid w:val="0016090E"/>
    <w:rsid w:val="00160B01"/>
    <w:rsid w:val="00160BBA"/>
    <w:rsid w:val="00160E7F"/>
    <w:rsid w:val="00161034"/>
    <w:rsid w:val="0016110B"/>
    <w:rsid w:val="0016120A"/>
    <w:rsid w:val="0016128F"/>
    <w:rsid w:val="001612D4"/>
    <w:rsid w:val="001618EB"/>
    <w:rsid w:val="00161C73"/>
    <w:rsid w:val="00161E1B"/>
    <w:rsid w:val="0016202B"/>
    <w:rsid w:val="0016258F"/>
    <w:rsid w:val="001629CA"/>
    <w:rsid w:val="00163223"/>
    <w:rsid w:val="00163339"/>
    <w:rsid w:val="001633C2"/>
    <w:rsid w:val="001633D1"/>
    <w:rsid w:val="00163632"/>
    <w:rsid w:val="0016379E"/>
    <w:rsid w:val="00163B0A"/>
    <w:rsid w:val="00163B76"/>
    <w:rsid w:val="00163CFC"/>
    <w:rsid w:val="00163EF7"/>
    <w:rsid w:val="0016443C"/>
    <w:rsid w:val="001647D4"/>
    <w:rsid w:val="00164A28"/>
    <w:rsid w:val="00164A49"/>
    <w:rsid w:val="00164BF9"/>
    <w:rsid w:val="00164C3F"/>
    <w:rsid w:val="00164E7D"/>
    <w:rsid w:val="00164F4C"/>
    <w:rsid w:val="00164F66"/>
    <w:rsid w:val="0016508C"/>
    <w:rsid w:val="00165468"/>
    <w:rsid w:val="0016597A"/>
    <w:rsid w:val="00165AE9"/>
    <w:rsid w:val="00165B6E"/>
    <w:rsid w:val="00165E2C"/>
    <w:rsid w:val="00165F74"/>
    <w:rsid w:val="00165F7F"/>
    <w:rsid w:val="00166415"/>
    <w:rsid w:val="001664FD"/>
    <w:rsid w:val="0016654D"/>
    <w:rsid w:val="00166647"/>
    <w:rsid w:val="001668F1"/>
    <w:rsid w:val="0016695D"/>
    <w:rsid w:val="00166988"/>
    <w:rsid w:val="00166C8E"/>
    <w:rsid w:val="00166CB5"/>
    <w:rsid w:val="00166E44"/>
    <w:rsid w:val="00167109"/>
    <w:rsid w:val="001671A3"/>
    <w:rsid w:val="001672D4"/>
    <w:rsid w:val="00167465"/>
    <w:rsid w:val="0016753A"/>
    <w:rsid w:val="00167736"/>
    <w:rsid w:val="00167B7A"/>
    <w:rsid w:val="00167CA1"/>
    <w:rsid w:val="00167CE5"/>
    <w:rsid w:val="00167DDA"/>
    <w:rsid w:val="00167F18"/>
    <w:rsid w:val="00167FA7"/>
    <w:rsid w:val="00167FAF"/>
    <w:rsid w:val="00170351"/>
    <w:rsid w:val="001705A3"/>
    <w:rsid w:val="001705E4"/>
    <w:rsid w:val="00170757"/>
    <w:rsid w:val="00170825"/>
    <w:rsid w:val="0017089B"/>
    <w:rsid w:val="00170A37"/>
    <w:rsid w:val="00170AB3"/>
    <w:rsid w:val="00170C0C"/>
    <w:rsid w:val="00170CE5"/>
    <w:rsid w:val="00170F7B"/>
    <w:rsid w:val="00171121"/>
    <w:rsid w:val="0017116A"/>
    <w:rsid w:val="00171232"/>
    <w:rsid w:val="00171259"/>
    <w:rsid w:val="001713C8"/>
    <w:rsid w:val="001713CB"/>
    <w:rsid w:val="001714C1"/>
    <w:rsid w:val="001714C2"/>
    <w:rsid w:val="00171525"/>
    <w:rsid w:val="0017154B"/>
    <w:rsid w:val="00171706"/>
    <w:rsid w:val="00171724"/>
    <w:rsid w:val="00171746"/>
    <w:rsid w:val="00171776"/>
    <w:rsid w:val="001717E8"/>
    <w:rsid w:val="00171EDB"/>
    <w:rsid w:val="001721A6"/>
    <w:rsid w:val="00172222"/>
    <w:rsid w:val="001723FD"/>
    <w:rsid w:val="00172617"/>
    <w:rsid w:val="00172720"/>
    <w:rsid w:val="00172899"/>
    <w:rsid w:val="001728EE"/>
    <w:rsid w:val="0017298D"/>
    <w:rsid w:val="00172AA7"/>
    <w:rsid w:val="00172D19"/>
    <w:rsid w:val="00172D97"/>
    <w:rsid w:val="00172D9F"/>
    <w:rsid w:val="00172E0F"/>
    <w:rsid w:val="00172E1F"/>
    <w:rsid w:val="00172F5C"/>
    <w:rsid w:val="00172F92"/>
    <w:rsid w:val="00173049"/>
    <w:rsid w:val="00173210"/>
    <w:rsid w:val="0017337B"/>
    <w:rsid w:val="001733C0"/>
    <w:rsid w:val="001734D6"/>
    <w:rsid w:val="0017364C"/>
    <w:rsid w:val="001736BD"/>
    <w:rsid w:val="001736D7"/>
    <w:rsid w:val="00173762"/>
    <w:rsid w:val="00173A0D"/>
    <w:rsid w:val="00173AA7"/>
    <w:rsid w:val="00173E8D"/>
    <w:rsid w:val="001740DA"/>
    <w:rsid w:val="0017419B"/>
    <w:rsid w:val="001741F3"/>
    <w:rsid w:val="0017427A"/>
    <w:rsid w:val="0017429E"/>
    <w:rsid w:val="0017447A"/>
    <w:rsid w:val="0017453C"/>
    <w:rsid w:val="00174809"/>
    <w:rsid w:val="001748C1"/>
    <w:rsid w:val="0017494B"/>
    <w:rsid w:val="00174963"/>
    <w:rsid w:val="00174B4E"/>
    <w:rsid w:val="00174C63"/>
    <w:rsid w:val="00174D97"/>
    <w:rsid w:val="00174FE0"/>
    <w:rsid w:val="00175003"/>
    <w:rsid w:val="00175418"/>
    <w:rsid w:val="001758DB"/>
    <w:rsid w:val="001759CB"/>
    <w:rsid w:val="00175AB9"/>
    <w:rsid w:val="00175DE2"/>
    <w:rsid w:val="00175F87"/>
    <w:rsid w:val="00175F8D"/>
    <w:rsid w:val="00176081"/>
    <w:rsid w:val="00176304"/>
    <w:rsid w:val="00176954"/>
    <w:rsid w:val="001769E1"/>
    <w:rsid w:val="00176AAA"/>
    <w:rsid w:val="00176CE7"/>
    <w:rsid w:val="00176E19"/>
    <w:rsid w:val="00176EE9"/>
    <w:rsid w:val="00176FAC"/>
    <w:rsid w:val="001770B1"/>
    <w:rsid w:val="00177696"/>
    <w:rsid w:val="001777AC"/>
    <w:rsid w:val="00177865"/>
    <w:rsid w:val="00177922"/>
    <w:rsid w:val="00177980"/>
    <w:rsid w:val="00177B31"/>
    <w:rsid w:val="00177C1C"/>
    <w:rsid w:val="00177DC9"/>
    <w:rsid w:val="00180058"/>
    <w:rsid w:val="001802BA"/>
    <w:rsid w:val="00180312"/>
    <w:rsid w:val="00180361"/>
    <w:rsid w:val="0018043F"/>
    <w:rsid w:val="001805F7"/>
    <w:rsid w:val="001809A7"/>
    <w:rsid w:val="00180C36"/>
    <w:rsid w:val="00180E25"/>
    <w:rsid w:val="001810F3"/>
    <w:rsid w:val="001810FC"/>
    <w:rsid w:val="001811CF"/>
    <w:rsid w:val="001811DD"/>
    <w:rsid w:val="001812B0"/>
    <w:rsid w:val="001813E5"/>
    <w:rsid w:val="00181670"/>
    <w:rsid w:val="001816E2"/>
    <w:rsid w:val="00181753"/>
    <w:rsid w:val="001819C8"/>
    <w:rsid w:val="00181A5E"/>
    <w:rsid w:val="00181E03"/>
    <w:rsid w:val="0018220F"/>
    <w:rsid w:val="001822C9"/>
    <w:rsid w:val="001823C0"/>
    <w:rsid w:val="001823C8"/>
    <w:rsid w:val="00182685"/>
    <w:rsid w:val="00182B2E"/>
    <w:rsid w:val="00182EE9"/>
    <w:rsid w:val="001831B8"/>
    <w:rsid w:val="001834A6"/>
    <w:rsid w:val="00183565"/>
    <w:rsid w:val="00183725"/>
    <w:rsid w:val="00183747"/>
    <w:rsid w:val="00183E9D"/>
    <w:rsid w:val="001841E2"/>
    <w:rsid w:val="001842EB"/>
    <w:rsid w:val="0018447E"/>
    <w:rsid w:val="001844D8"/>
    <w:rsid w:val="0018478C"/>
    <w:rsid w:val="00184A1B"/>
    <w:rsid w:val="00184B41"/>
    <w:rsid w:val="00184B7D"/>
    <w:rsid w:val="00184C61"/>
    <w:rsid w:val="001851C5"/>
    <w:rsid w:val="00185512"/>
    <w:rsid w:val="00185611"/>
    <w:rsid w:val="0018562D"/>
    <w:rsid w:val="00185682"/>
    <w:rsid w:val="001856B5"/>
    <w:rsid w:val="001856FE"/>
    <w:rsid w:val="00185716"/>
    <w:rsid w:val="0018587B"/>
    <w:rsid w:val="001858DB"/>
    <w:rsid w:val="00185D6E"/>
    <w:rsid w:val="001863C5"/>
    <w:rsid w:val="00186510"/>
    <w:rsid w:val="00186585"/>
    <w:rsid w:val="001865D7"/>
    <w:rsid w:val="00186666"/>
    <w:rsid w:val="001867AC"/>
    <w:rsid w:val="001868DE"/>
    <w:rsid w:val="00186DB7"/>
    <w:rsid w:val="00186F92"/>
    <w:rsid w:val="00187041"/>
    <w:rsid w:val="00187052"/>
    <w:rsid w:val="00187179"/>
    <w:rsid w:val="00187489"/>
    <w:rsid w:val="001874AB"/>
    <w:rsid w:val="001875F2"/>
    <w:rsid w:val="001875F6"/>
    <w:rsid w:val="001876E5"/>
    <w:rsid w:val="0018774D"/>
    <w:rsid w:val="0018779B"/>
    <w:rsid w:val="001879C4"/>
    <w:rsid w:val="00187A21"/>
    <w:rsid w:val="00187A6A"/>
    <w:rsid w:val="00187B47"/>
    <w:rsid w:val="00187BA2"/>
    <w:rsid w:val="00187BA8"/>
    <w:rsid w:val="00187C9B"/>
    <w:rsid w:val="001909FA"/>
    <w:rsid w:val="00190B84"/>
    <w:rsid w:val="00190CE4"/>
    <w:rsid w:val="00190EF9"/>
    <w:rsid w:val="00191009"/>
    <w:rsid w:val="0019106F"/>
    <w:rsid w:val="00191197"/>
    <w:rsid w:val="00191251"/>
    <w:rsid w:val="001912A0"/>
    <w:rsid w:val="00191473"/>
    <w:rsid w:val="00191540"/>
    <w:rsid w:val="00191680"/>
    <w:rsid w:val="00191932"/>
    <w:rsid w:val="00191A73"/>
    <w:rsid w:val="00191AFA"/>
    <w:rsid w:val="00191B9E"/>
    <w:rsid w:val="00191C28"/>
    <w:rsid w:val="0019200F"/>
    <w:rsid w:val="00192209"/>
    <w:rsid w:val="0019223A"/>
    <w:rsid w:val="0019235B"/>
    <w:rsid w:val="001924D7"/>
    <w:rsid w:val="001925AC"/>
    <w:rsid w:val="0019277D"/>
    <w:rsid w:val="0019290F"/>
    <w:rsid w:val="00192A58"/>
    <w:rsid w:val="00192B75"/>
    <w:rsid w:val="00192C2B"/>
    <w:rsid w:val="00192CA4"/>
    <w:rsid w:val="00192DC5"/>
    <w:rsid w:val="00192DDC"/>
    <w:rsid w:val="00192E40"/>
    <w:rsid w:val="00192F6C"/>
    <w:rsid w:val="00192FAC"/>
    <w:rsid w:val="0019302D"/>
    <w:rsid w:val="00193035"/>
    <w:rsid w:val="0019320A"/>
    <w:rsid w:val="00193237"/>
    <w:rsid w:val="00193245"/>
    <w:rsid w:val="0019341E"/>
    <w:rsid w:val="00193511"/>
    <w:rsid w:val="0019366F"/>
    <w:rsid w:val="00193790"/>
    <w:rsid w:val="00193A5E"/>
    <w:rsid w:val="00193D5B"/>
    <w:rsid w:val="00193F0F"/>
    <w:rsid w:val="00193F4F"/>
    <w:rsid w:val="00193FDB"/>
    <w:rsid w:val="0019405F"/>
    <w:rsid w:val="0019421B"/>
    <w:rsid w:val="0019444D"/>
    <w:rsid w:val="001944EC"/>
    <w:rsid w:val="00194560"/>
    <w:rsid w:val="001946EF"/>
    <w:rsid w:val="001947EA"/>
    <w:rsid w:val="0019490B"/>
    <w:rsid w:val="00194983"/>
    <w:rsid w:val="00194A32"/>
    <w:rsid w:val="00194AD0"/>
    <w:rsid w:val="00194BFD"/>
    <w:rsid w:val="00194C29"/>
    <w:rsid w:val="00194C8C"/>
    <w:rsid w:val="00194CDA"/>
    <w:rsid w:val="00194D44"/>
    <w:rsid w:val="00194D4C"/>
    <w:rsid w:val="00194D90"/>
    <w:rsid w:val="00194F12"/>
    <w:rsid w:val="00194F1E"/>
    <w:rsid w:val="00195157"/>
    <w:rsid w:val="0019519E"/>
    <w:rsid w:val="001952A0"/>
    <w:rsid w:val="00195302"/>
    <w:rsid w:val="00195303"/>
    <w:rsid w:val="001953A1"/>
    <w:rsid w:val="001956CB"/>
    <w:rsid w:val="00195717"/>
    <w:rsid w:val="00195750"/>
    <w:rsid w:val="00195830"/>
    <w:rsid w:val="00195AA9"/>
    <w:rsid w:val="00195BC0"/>
    <w:rsid w:val="00195D55"/>
    <w:rsid w:val="00195DBF"/>
    <w:rsid w:val="00195E13"/>
    <w:rsid w:val="0019601A"/>
    <w:rsid w:val="001961A8"/>
    <w:rsid w:val="001963A7"/>
    <w:rsid w:val="00196486"/>
    <w:rsid w:val="001964BE"/>
    <w:rsid w:val="00196603"/>
    <w:rsid w:val="00196BA2"/>
    <w:rsid w:val="00196D09"/>
    <w:rsid w:val="00196D8A"/>
    <w:rsid w:val="00196E01"/>
    <w:rsid w:val="0019733E"/>
    <w:rsid w:val="001974AE"/>
    <w:rsid w:val="00197539"/>
    <w:rsid w:val="0019777A"/>
    <w:rsid w:val="001977B0"/>
    <w:rsid w:val="001979AD"/>
    <w:rsid w:val="00197E17"/>
    <w:rsid w:val="00197E3C"/>
    <w:rsid w:val="00197EB6"/>
    <w:rsid w:val="00197F65"/>
    <w:rsid w:val="001A000A"/>
    <w:rsid w:val="001A007F"/>
    <w:rsid w:val="001A01AF"/>
    <w:rsid w:val="001A0313"/>
    <w:rsid w:val="001A070E"/>
    <w:rsid w:val="001A0734"/>
    <w:rsid w:val="001A07B8"/>
    <w:rsid w:val="001A08CE"/>
    <w:rsid w:val="001A0D47"/>
    <w:rsid w:val="001A0FB7"/>
    <w:rsid w:val="001A0FF7"/>
    <w:rsid w:val="001A10A4"/>
    <w:rsid w:val="001A119E"/>
    <w:rsid w:val="001A11C3"/>
    <w:rsid w:val="001A13D3"/>
    <w:rsid w:val="001A1784"/>
    <w:rsid w:val="001A1799"/>
    <w:rsid w:val="001A1926"/>
    <w:rsid w:val="001A218B"/>
    <w:rsid w:val="001A219E"/>
    <w:rsid w:val="001A2261"/>
    <w:rsid w:val="001A235B"/>
    <w:rsid w:val="001A244A"/>
    <w:rsid w:val="001A251E"/>
    <w:rsid w:val="001A25E4"/>
    <w:rsid w:val="001A28FF"/>
    <w:rsid w:val="001A295B"/>
    <w:rsid w:val="001A29B4"/>
    <w:rsid w:val="001A2B4D"/>
    <w:rsid w:val="001A2C85"/>
    <w:rsid w:val="001A2D4E"/>
    <w:rsid w:val="001A2E08"/>
    <w:rsid w:val="001A2F1B"/>
    <w:rsid w:val="001A32FA"/>
    <w:rsid w:val="001A365B"/>
    <w:rsid w:val="001A39CE"/>
    <w:rsid w:val="001A3CD5"/>
    <w:rsid w:val="001A3F93"/>
    <w:rsid w:val="001A4250"/>
    <w:rsid w:val="001A42F2"/>
    <w:rsid w:val="001A4323"/>
    <w:rsid w:val="001A4745"/>
    <w:rsid w:val="001A49CC"/>
    <w:rsid w:val="001A51AC"/>
    <w:rsid w:val="001A52B6"/>
    <w:rsid w:val="001A5803"/>
    <w:rsid w:val="001A580D"/>
    <w:rsid w:val="001A5B6E"/>
    <w:rsid w:val="001A5BBE"/>
    <w:rsid w:val="001A5BE4"/>
    <w:rsid w:val="001A5FD3"/>
    <w:rsid w:val="001A608E"/>
    <w:rsid w:val="001A6282"/>
    <w:rsid w:val="001A653B"/>
    <w:rsid w:val="001A655F"/>
    <w:rsid w:val="001A6C79"/>
    <w:rsid w:val="001A6CC8"/>
    <w:rsid w:val="001A6FEE"/>
    <w:rsid w:val="001A701A"/>
    <w:rsid w:val="001A70B2"/>
    <w:rsid w:val="001A7563"/>
    <w:rsid w:val="001A7572"/>
    <w:rsid w:val="001A7746"/>
    <w:rsid w:val="001A7839"/>
    <w:rsid w:val="001A7A38"/>
    <w:rsid w:val="001A7A64"/>
    <w:rsid w:val="001A7BB2"/>
    <w:rsid w:val="001A7CC2"/>
    <w:rsid w:val="001A7D63"/>
    <w:rsid w:val="001A7DF6"/>
    <w:rsid w:val="001A7E88"/>
    <w:rsid w:val="001B02EA"/>
    <w:rsid w:val="001B0A51"/>
    <w:rsid w:val="001B0AEE"/>
    <w:rsid w:val="001B0C46"/>
    <w:rsid w:val="001B0EA2"/>
    <w:rsid w:val="001B0EC3"/>
    <w:rsid w:val="001B1001"/>
    <w:rsid w:val="001B11BD"/>
    <w:rsid w:val="001B1208"/>
    <w:rsid w:val="001B13CC"/>
    <w:rsid w:val="001B1460"/>
    <w:rsid w:val="001B14B0"/>
    <w:rsid w:val="001B1623"/>
    <w:rsid w:val="001B1B99"/>
    <w:rsid w:val="001B1C91"/>
    <w:rsid w:val="001B1D60"/>
    <w:rsid w:val="001B1E42"/>
    <w:rsid w:val="001B1F21"/>
    <w:rsid w:val="001B1F63"/>
    <w:rsid w:val="001B2070"/>
    <w:rsid w:val="001B2089"/>
    <w:rsid w:val="001B2160"/>
    <w:rsid w:val="001B220B"/>
    <w:rsid w:val="001B225C"/>
    <w:rsid w:val="001B22EE"/>
    <w:rsid w:val="001B246A"/>
    <w:rsid w:val="001B246B"/>
    <w:rsid w:val="001B24E9"/>
    <w:rsid w:val="001B2656"/>
    <w:rsid w:val="001B265A"/>
    <w:rsid w:val="001B2800"/>
    <w:rsid w:val="001B281C"/>
    <w:rsid w:val="001B291B"/>
    <w:rsid w:val="001B294B"/>
    <w:rsid w:val="001B2A29"/>
    <w:rsid w:val="001B2A38"/>
    <w:rsid w:val="001B2FE3"/>
    <w:rsid w:val="001B3298"/>
    <w:rsid w:val="001B3397"/>
    <w:rsid w:val="001B3405"/>
    <w:rsid w:val="001B34A0"/>
    <w:rsid w:val="001B360A"/>
    <w:rsid w:val="001B39EB"/>
    <w:rsid w:val="001B3BBC"/>
    <w:rsid w:val="001B3BFD"/>
    <w:rsid w:val="001B3C0A"/>
    <w:rsid w:val="001B3C29"/>
    <w:rsid w:val="001B3D6F"/>
    <w:rsid w:val="001B4152"/>
    <w:rsid w:val="001B422D"/>
    <w:rsid w:val="001B42D8"/>
    <w:rsid w:val="001B42F1"/>
    <w:rsid w:val="001B432E"/>
    <w:rsid w:val="001B4804"/>
    <w:rsid w:val="001B48C2"/>
    <w:rsid w:val="001B4EE9"/>
    <w:rsid w:val="001B5010"/>
    <w:rsid w:val="001B506B"/>
    <w:rsid w:val="001B5121"/>
    <w:rsid w:val="001B51D6"/>
    <w:rsid w:val="001B54A9"/>
    <w:rsid w:val="001B54F0"/>
    <w:rsid w:val="001B56FA"/>
    <w:rsid w:val="001B5886"/>
    <w:rsid w:val="001B58CD"/>
    <w:rsid w:val="001B5AB4"/>
    <w:rsid w:val="001B5B25"/>
    <w:rsid w:val="001B5B3B"/>
    <w:rsid w:val="001B5CC7"/>
    <w:rsid w:val="001B5E97"/>
    <w:rsid w:val="001B6206"/>
    <w:rsid w:val="001B624D"/>
    <w:rsid w:val="001B62D4"/>
    <w:rsid w:val="001B632C"/>
    <w:rsid w:val="001B64BE"/>
    <w:rsid w:val="001B64C8"/>
    <w:rsid w:val="001B66F6"/>
    <w:rsid w:val="001B6983"/>
    <w:rsid w:val="001B6DAE"/>
    <w:rsid w:val="001B6E13"/>
    <w:rsid w:val="001B6E7B"/>
    <w:rsid w:val="001B6FF5"/>
    <w:rsid w:val="001B716F"/>
    <w:rsid w:val="001B71DC"/>
    <w:rsid w:val="001B7443"/>
    <w:rsid w:val="001B76BF"/>
    <w:rsid w:val="001B77EF"/>
    <w:rsid w:val="001B7A44"/>
    <w:rsid w:val="001B7B4F"/>
    <w:rsid w:val="001B7C58"/>
    <w:rsid w:val="001B7E07"/>
    <w:rsid w:val="001C0085"/>
    <w:rsid w:val="001C0115"/>
    <w:rsid w:val="001C01EC"/>
    <w:rsid w:val="001C08DF"/>
    <w:rsid w:val="001C0A35"/>
    <w:rsid w:val="001C0FA4"/>
    <w:rsid w:val="001C10CB"/>
    <w:rsid w:val="001C12B0"/>
    <w:rsid w:val="001C13C7"/>
    <w:rsid w:val="001C13F5"/>
    <w:rsid w:val="001C1431"/>
    <w:rsid w:val="001C1580"/>
    <w:rsid w:val="001C160C"/>
    <w:rsid w:val="001C16EF"/>
    <w:rsid w:val="001C1B05"/>
    <w:rsid w:val="001C1BD7"/>
    <w:rsid w:val="001C1CC1"/>
    <w:rsid w:val="001C1EB0"/>
    <w:rsid w:val="001C1F0F"/>
    <w:rsid w:val="001C1FEC"/>
    <w:rsid w:val="001C20DB"/>
    <w:rsid w:val="001C24DC"/>
    <w:rsid w:val="001C255D"/>
    <w:rsid w:val="001C279F"/>
    <w:rsid w:val="001C2B04"/>
    <w:rsid w:val="001C2C61"/>
    <w:rsid w:val="001C2DEB"/>
    <w:rsid w:val="001C2E71"/>
    <w:rsid w:val="001C30AB"/>
    <w:rsid w:val="001C3791"/>
    <w:rsid w:val="001C3878"/>
    <w:rsid w:val="001C3951"/>
    <w:rsid w:val="001C3971"/>
    <w:rsid w:val="001C3A8E"/>
    <w:rsid w:val="001C3BCB"/>
    <w:rsid w:val="001C3CD7"/>
    <w:rsid w:val="001C3D3C"/>
    <w:rsid w:val="001C406F"/>
    <w:rsid w:val="001C4657"/>
    <w:rsid w:val="001C48C0"/>
    <w:rsid w:val="001C4AA3"/>
    <w:rsid w:val="001C4CD6"/>
    <w:rsid w:val="001C4F8D"/>
    <w:rsid w:val="001C5538"/>
    <w:rsid w:val="001C55C4"/>
    <w:rsid w:val="001C57F8"/>
    <w:rsid w:val="001C5841"/>
    <w:rsid w:val="001C5B9C"/>
    <w:rsid w:val="001C5BD8"/>
    <w:rsid w:val="001C6299"/>
    <w:rsid w:val="001C6375"/>
    <w:rsid w:val="001C649B"/>
    <w:rsid w:val="001C65B0"/>
    <w:rsid w:val="001C6708"/>
    <w:rsid w:val="001C6884"/>
    <w:rsid w:val="001C6CE9"/>
    <w:rsid w:val="001C6DB1"/>
    <w:rsid w:val="001C6F72"/>
    <w:rsid w:val="001C6FA8"/>
    <w:rsid w:val="001C70EA"/>
    <w:rsid w:val="001C726C"/>
    <w:rsid w:val="001C73B6"/>
    <w:rsid w:val="001C74D7"/>
    <w:rsid w:val="001C74FF"/>
    <w:rsid w:val="001C752C"/>
    <w:rsid w:val="001C755F"/>
    <w:rsid w:val="001C767C"/>
    <w:rsid w:val="001C7904"/>
    <w:rsid w:val="001C796C"/>
    <w:rsid w:val="001C79F7"/>
    <w:rsid w:val="001C7B0A"/>
    <w:rsid w:val="001C7D65"/>
    <w:rsid w:val="001D01A1"/>
    <w:rsid w:val="001D042B"/>
    <w:rsid w:val="001D04DE"/>
    <w:rsid w:val="001D059F"/>
    <w:rsid w:val="001D0600"/>
    <w:rsid w:val="001D08B7"/>
    <w:rsid w:val="001D09ED"/>
    <w:rsid w:val="001D0B41"/>
    <w:rsid w:val="001D0B4E"/>
    <w:rsid w:val="001D0D83"/>
    <w:rsid w:val="001D0EF8"/>
    <w:rsid w:val="001D1170"/>
    <w:rsid w:val="001D118C"/>
    <w:rsid w:val="001D158E"/>
    <w:rsid w:val="001D1713"/>
    <w:rsid w:val="001D1747"/>
    <w:rsid w:val="001D181F"/>
    <w:rsid w:val="001D1B4D"/>
    <w:rsid w:val="001D1DF7"/>
    <w:rsid w:val="001D2104"/>
    <w:rsid w:val="001D222D"/>
    <w:rsid w:val="001D2348"/>
    <w:rsid w:val="001D234A"/>
    <w:rsid w:val="001D24BA"/>
    <w:rsid w:val="001D2514"/>
    <w:rsid w:val="001D299F"/>
    <w:rsid w:val="001D2A94"/>
    <w:rsid w:val="001D2D4D"/>
    <w:rsid w:val="001D3419"/>
    <w:rsid w:val="001D39DD"/>
    <w:rsid w:val="001D3CE8"/>
    <w:rsid w:val="001D3D2D"/>
    <w:rsid w:val="001D3D78"/>
    <w:rsid w:val="001D3DA7"/>
    <w:rsid w:val="001D3F92"/>
    <w:rsid w:val="001D40EC"/>
    <w:rsid w:val="001D4185"/>
    <w:rsid w:val="001D44AA"/>
    <w:rsid w:val="001D4614"/>
    <w:rsid w:val="001D46F7"/>
    <w:rsid w:val="001D4872"/>
    <w:rsid w:val="001D4905"/>
    <w:rsid w:val="001D4C44"/>
    <w:rsid w:val="001D4EF2"/>
    <w:rsid w:val="001D4FB0"/>
    <w:rsid w:val="001D5292"/>
    <w:rsid w:val="001D52E3"/>
    <w:rsid w:val="001D53E2"/>
    <w:rsid w:val="001D54BD"/>
    <w:rsid w:val="001D590F"/>
    <w:rsid w:val="001D598B"/>
    <w:rsid w:val="001D5A6F"/>
    <w:rsid w:val="001D5A94"/>
    <w:rsid w:val="001D5CF4"/>
    <w:rsid w:val="001D5F47"/>
    <w:rsid w:val="001D62C9"/>
    <w:rsid w:val="001D63A1"/>
    <w:rsid w:val="001D6670"/>
    <w:rsid w:val="001D6794"/>
    <w:rsid w:val="001D6873"/>
    <w:rsid w:val="001D68C8"/>
    <w:rsid w:val="001D6A34"/>
    <w:rsid w:val="001D6FAA"/>
    <w:rsid w:val="001D7038"/>
    <w:rsid w:val="001D73F2"/>
    <w:rsid w:val="001D7605"/>
    <w:rsid w:val="001D7718"/>
    <w:rsid w:val="001D7A0C"/>
    <w:rsid w:val="001D7B93"/>
    <w:rsid w:val="001D7C03"/>
    <w:rsid w:val="001D7D08"/>
    <w:rsid w:val="001D7D83"/>
    <w:rsid w:val="001D7F67"/>
    <w:rsid w:val="001E028A"/>
    <w:rsid w:val="001E02DA"/>
    <w:rsid w:val="001E03D0"/>
    <w:rsid w:val="001E0473"/>
    <w:rsid w:val="001E0483"/>
    <w:rsid w:val="001E057B"/>
    <w:rsid w:val="001E083F"/>
    <w:rsid w:val="001E08C9"/>
    <w:rsid w:val="001E08DC"/>
    <w:rsid w:val="001E09E9"/>
    <w:rsid w:val="001E09F3"/>
    <w:rsid w:val="001E0CE5"/>
    <w:rsid w:val="001E0DD8"/>
    <w:rsid w:val="001E0E6F"/>
    <w:rsid w:val="001E0E97"/>
    <w:rsid w:val="001E0EA2"/>
    <w:rsid w:val="001E0EDD"/>
    <w:rsid w:val="001E0F5C"/>
    <w:rsid w:val="001E111B"/>
    <w:rsid w:val="001E13BA"/>
    <w:rsid w:val="001E13C3"/>
    <w:rsid w:val="001E149E"/>
    <w:rsid w:val="001E1833"/>
    <w:rsid w:val="001E1859"/>
    <w:rsid w:val="001E199D"/>
    <w:rsid w:val="001E1CC6"/>
    <w:rsid w:val="001E1CE6"/>
    <w:rsid w:val="001E1D90"/>
    <w:rsid w:val="001E1E37"/>
    <w:rsid w:val="001E1EF1"/>
    <w:rsid w:val="001E2102"/>
    <w:rsid w:val="001E22AF"/>
    <w:rsid w:val="001E22B1"/>
    <w:rsid w:val="001E22D9"/>
    <w:rsid w:val="001E27D5"/>
    <w:rsid w:val="001E280D"/>
    <w:rsid w:val="001E28B5"/>
    <w:rsid w:val="001E2922"/>
    <w:rsid w:val="001E2AEB"/>
    <w:rsid w:val="001E2C60"/>
    <w:rsid w:val="001E2CE1"/>
    <w:rsid w:val="001E30FC"/>
    <w:rsid w:val="001E332F"/>
    <w:rsid w:val="001E33B3"/>
    <w:rsid w:val="001E347A"/>
    <w:rsid w:val="001E350A"/>
    <w:rsid w:val="001E3568"/>
    <w:rsid w:val="001E3681"/>
    <w:rsid w:val="001E3870"/>
    <w:rsid w:val="001E3E82"/>
    <w:rsid w:val="001E3FF5"/>
    <w:rsid w:val="001E40A9"/>
    <w:rsid w:val="001E40D0"/>
    <w:rsid w:val="001E41FD"/>
    <w:rsid w:val="001E4396"/>
    <w:rsid w:val="001E464A"/>
    <w:rsid w:val="001E48E9"/>
    <w:rsid w:val="001E51E6"/>
    <w:rsid w:val="001E5209"/>
    <w:rsid w:val="001E52BB"/>
    <w:rsid w:val="001E5B04"/>
    <w:rsid w:val="001E5B29"/>
    <w:rsid w:val="001E62C5"/>
    <w:rsid w:val="001E6714"/>
    <w:rsid w:val="001E676C"/>
    <w:rsid w:val="001E6860"/>
    <w:rsid w:val="001E6CE1"/>
    <w:rsid w:val="001E6D52"/>
    <w:rsid w:val="001E6E6F"/>
    <w:rsid w:val="001E6E95"/>
    <w:rsid w:val="001E6EDF"/>
    <w:rsid w:val="001E6EF3"/>
    <w:rsid w:val="001E7054"/>
    <w:rsid w:val="001E7083"/>
    <w:rsid w:val="001E7094"/>
    <w:rsid w:val="001E723D"/>
    <w:rsid w:val="001E7842"/>
    <w:rsid w:val="001E7B6E"/>
    <w:rsid w:val="001E7C38"/>
    <w:rsid w:val="001E7DDF"/>
    <w:rsid w:val="001E7EA1"/>
    <w:rsid w:val="001E7F69"/>
    <w:rsid w:val="001E7F70"/>
    <w:rsid w:val="001F027E"/>
    <w:rsid w:val="001F0286"/>
    <w:rsid w:val="001F0464"/>
    <w:rsid w:val="001F0565"/>
    <w:rsid w:val="001F0842"/>
    <w:rsid w:val="001F0943"/>
    <w:rsid w:val="001F09EB"/>
    <w:rsid w:val="001F0A61"/>
    <w:rsid w:val="001F0AD7"/>
    <w:rsid w:val="001F0B5F"/>
    <w:rsid w:val="001F0D30"/>
    <w:rsid w:val="001F1047"/>
    <w:rsid w:val="001F13B0"/>
    <w:rsid w:val="001F143D"/>
    <w:rsid w:val="001F184C"/>
    <w:rsid w:val="001F1A7C"/>
    <w:rsid w:val="001F1AB7"/>
    <w:rsid w:val="001F1CC6"/>
    <w:rsid w:val="001F1D26"/>
    <w:rsid w:val="001F1DF7"/>
    <w:rsid w:val="001F2003"/>
    <w:rsid w:val="001F27E4"/>
    <w:rsid w:val="001F2894"/>
    <w:rsid w:val="001F2A64"/>
    <w:rsid w:val="001F2BE4"/>
    <w:rsid w:val="001F2DD5"/>
    <w:rsid w:val="001F31A0"/>
    <w:rsid w:val="001F330D"/>
    <w:rsid w:val="001F34A1"/>
    <w:rsid w:val="001F365D"/>
    <w:rsid w:val="001F379E"/>
    <w:rsid w:val="001F37E7"/>
    <w:rsid w:val="001F3AF5"/>
    <w:rsid w:val="001F3DA5"/>
    <w:rsid w:val="001F3EDB"/>
    <w:rsid w:val="001F40F6"/>
    <w:rsid w:val="001F413D"/>
    <w:rsid w:val="001F4204"/>
    <w:rsid w:val="001F42B7"/>
    <w:rsid w:val="001F4303"/>
    <w:rsid w:val="001F434A"/>
    <w:rsid w:val="001F44CA"/>
    <w:rsid w:val="001F45EB"/>
    <w:rsid w:val="001F48D1"/>
    <w:rsid w:val="001F4927"/>
    <w:rsid w:val="001F4B1F"/>
    <w:rsid w:val="001F4C39"/>
    <w:rsid w:val="001F4DE0"/>
    <w:rsid w:val="001F4FF0"/>
    <w:rsid w:val="001F5111"/>
    <w:rsid w:val="001F537F"/>
    <w:rsid w:val="001F544A"/>
    <w:rsid w:val="001F54E4"/>
    <w:rsid w:val="001F574A"/>
    <w:rsid w:val="001F5773"/>
    <w:rsid w:val="001F5926"/>
    <w:rsid w:val="001F5D2B"/>
    <w:rsid w:val="001F5E09"/>
    <w:rsid w:val="001F5F27"/>
    <w:rsid w:val="001F5F9C"/>
    <w:rsid w:val="001F603B"/>
    <w:rsid w:val="001F60B4"/>
    <w:rsid w:val="001F6115"/>
    <w:rsid w:val="001F6175"/>
    <w:rsid w:val="001F6300"/>
    <w:rsid w:val="001F6827"/>
    <w:rsid w:val="001F69A9"/>
    <w:rsid w:val="001F6ABD"/>
    <w:rsid w:val="001F6B3B"/>
    <w:rsid w:val="001F6E0D"/>
    <w:rsid w:val="001F704F"/>
    <w:rsid w:val="001F709B"/>
    <w:rsid w:val="001F724F"/>
    <w:rsid w:val="001F7287"/>
    <w:rsid w:val="001F7418"/>
    <w:rsid w:val="001F75A5"/>
    <w:rsid w:val="001F76E8"/>
    <w:rsid w:val="001F76F7"/>
    <w:rsid w:val="001F78B9"/>
    <w:rsid w:val="001F7CAC"/>
    <w:rsid w:val="001F7DCB"/>
    <w:rsid w:val="001F7F1B"/>
    <w:rsid w:val="001F7F93"/>
    <w:rsid w:val="00200342"/>
    <w:rsid w:val="00200438"/>
    <w:rsid w:val="0020055A"/>
    <w:rsid w:val="00200614"/>
    <w:rsid w:val="002006E5"/>
    <w:rsid w:val="00200763"/>
    <w:rsid w:val="0020080F"/>
    <w:rsid w:val="00200A27"/>
    <w:rsid w:val="00200AAA"/>
    <w:rsid w:val="00200B65"/>
    <w:rsid w:val="00200BA1"/>
    <w:rsid w:val="00200CDE"/>
    <w:rsid w:val="00200F05"/>
    <w:rsid w:val="00200F98"/>
    <w:rsid w:val="00201494"/>
    <w:rsid w:val="0020160D"/>
    <w:rsid w:val="002017F3"/>
    <w:rsid w:val="00201B8A"/>
    <w:rsid w:val="00201C8A"/>
    <w:rsid w:val="00201EDE"/>
    <w:rsid w:val="00201F39"/>
    <w:rsid w:val="002025A8"/>
    <w:rsid w:val="00202888"/>
    <w:rsid w:val="0020296A"/>
    <w:rsid w:val="00202DE4"/>
    <w:rsid w:val="002031EE"/>
    <w:rsid w:val="002032DD"/>
    <w:rsid w:val="00203323"/>
    <w:rsid w:val="0020336A"/>
    <w:rsid w:val="00203485"/>
    <w:rsid w:val="002035C2"/>
    <w:rsid w:val="00203764"/>
    <w:rsid w:val="002039E5"/>
    <w:rsid w:val="00203AE9"/>
    <w:rsid w:val="00203BC3"/>
    <w:rsid w:val="00203E9A"/>
    <w:rsid w:val="00204026"/>
    <w:rsid w:val="00204536"/>
    <w:rsid w:val="002046B0"/>
    <w:rsid w:val="00204862"/>
    <w:rsid w:val="00204A8C"/>
    <w:rsid w:val="00204B6F"/>
    <w:rsid w:val="00204FEA"/>
    <w:rsid w:val="00205207"/>
    <w:rsid w:val="00205262"/>
    <w:rsid w:val="002052AD"/>
    <w:rsid w:val="00205321"/>
    <w:rsid w:val="00205A32"/>
    <w:rsid w:val="00205A8D"/>
    <w:rsid w:val="002060F0"/>
    <w:rsid w:val="00206108"/>
    <w:rsid w:val="0020618C"/>
    <w:rsid w:val="002067C2"/>
    <w:rsid w:val="00206A4B"/>
    <w:rsid w:val="00206F89"/>
    <w:rsid w:val="00206FFC"/>
    <w:rsid w:val="00207360"/>
    <w:rsid w:val="00207764"/>
    <w:rsid w:val="00207822"/>
    <w:rsid w:val="00207826"/>
    <w:rsid w:val="002078C2"/>
    <w:rsid w:val="00207A60"/>
    <w:rsid w:val="00207B2B"/>
    <w:rsid w:val="00207DB9"/>
    <w:rsid w:val="00207FB8"/>
    <w:rsid w:val="00210028"/>
    <w:rsid w:val="0021011E"/>
    <w:rsid w:val="00210AD3"/>
    <w:rsid w:val="00210C42"/>
    <w:rsid w:val="00210CEA"/>
    <w:rsid w:val="00210ECE"/>
    <w:rsid w:val="002110BE"/>
    <w:rsid w:val="002110C9"/>
    <w:rsid w:val="00211465"/>
    <w:rsid w:val="002117D1"/>
    <w:rsid w:val="00211852"/>
    <w:rsid w:val="0021196B"/>
    <w:rsid w:val="00211B68"/>
    <w:rsid w:val="00211EEF"/>
    <w:rsid w:val="00211F7F"/>
    <w:rsid w:val="0021214F"/>
    <w:rsid w:val="00212497"/>
    <w:rsid w:val="002124CD"/>
    <w:rsid w:val="00212771"/>
    <w:rsid w:val="002129BD"/>
    <w:rsid w:val="00212A16"/>
    <w:rsid w:val="00212BE9"/>
    <w:rsid w:val="00212DA9"/>
    <w:rsid w:val="002131F3"/>
    <w:rsid w:val="00213324"/>
    <w:rsid w:val="00213336"/>
    <w:rsid w:val="0021354F"/>
    <w:rsid w:val="002135E4"/>
    <w:rsid w:val="002139EC"/>
    <w:rsid w:val="00213B70"/>
    <w:rsid w:val="00213BA9"/>
    <w:rsid w:val="00213C78"/>
    <w:rsid w:val="00213DC7"/>
    <w:rsid w:val="00213FA4"/>
    <w:rsid w:val="0021401A"/>
    <w:rsid w:val="002140D3"/>
    <w:rsid w:val="002143E1"/>
    <w:rsid w:val="00214492"/>
    <w:rsid w:val="0021452D"/>
    <w:rsid w:val="00214666"/>
    <w:rsid w:val="00214714"/>
    <w:rsid w:val="00214796"/>
    <w:rsid w:val="002148EB"/>
    <w:rsid w:val="00214936"/>
    <w:rsid w:val="00214B4E"/>
    <w:rsid w:val="00214BBC"/>
    <w:rsid w:val="00214C14"/>
    <w:rsid w:val="00214E78"/>
    <w:rsid w:val="002151BB"/>
    <w:rsid w:val="0021521E"/>
    <w:rsid w:val="002153B8"/>
    <w:rsid w:val="0021544A"/>
    <w:rsid w:val="00215604"/>
    <w:rsid w:val="002156C4"/>
    <w:rsid w:val="0021576F"/>
    <w:rsid w:val="00215A41"/>
    <w:rsid w:val="00215A54"/>
    <w:rsid w:val="00215B94"/>
    <w:rsid w:val="00215C43"/>
    <w:rsid w:val="00215D07"/>
    <w:rsid w:val="00215D2A"/>
    <w:rsid w:val="002162F9"/>
    <w:rsid w:val="0021639C"/>
    <w:rsid w:val="002163ED"/>
    <w:rsid w:val="00216499"/>
    <w:rsid w:val="0021661A"/>
    <w:rsid w:val="00216986"/>
    <w:rsid w:val="002169A8"/>
    <w:rsid w:val="00216EC9"/>
    <w:rsid w:val="00217003"/>
    <w:rsid w:val="00217007"/>
    <w:rsid w:val="0021701E"/>
    <w:rsid w:val="002172A9"/>
    <w:rsid w:val="00217384"/>
    <w:rsid w:val="0021756C"/>
    <w:rsid w:val="00217702"/>
    <w:rsid w:val="002178AD"/>
    <w:rsid w:val="00217915"/>
    <w:rsid w:val="00217971"/>
    <w:rsid w:val="00217AED"/>
    <w:rsid w:val="00217BDF"/>
    <w:rsid w:val="00217BF5"/>
    <w:rsid w:val="00217DA4"/>
    <w:rsid w:val="00217EB3"/>
    <w:rsid w:val="00217FB7"/>
    <w:rsid w:val="00220482"/>
    <w:rsid w:val="0022070A"/>
    <w:rsid w:val="002208F8"/>
    <w:rsid w:val="00220920"/>
    <w:rsid w:val="00220E8D"/>
    <w:rsid w:val="00220F4D"/>
    <w:rsid w:val="002211C1"/>
    <w:rsid w:val="00221418"/>
    <w:rsid w:val="00221560"/>
    <w:rsid w:val="0022157D"/>
    <w:rsid w:val="0022161F"/>
    <w:rsid w:val="00221DB5"/>
    <w:rsid w:val="00221E85"/>
    <w:rsid w:val="00221FBF"/>
    <w:rsid w:val="00222130"/>
    <w:rsid w:val="00222330"/>
    <w:rsid w:val="0022234B"/>
    <w:rsid w:val="00222893"/>
    <w:rsid w:val="0022297A"/>
    <w:rsid w:val="00222B9A"/>
    <w:rsid w:val="00222E62"/>
    <w:rsid w:val="00223225"/>
    <w:rsid w:val="0022326E"/>
    <w:rsid w:val="002236C6"/>
    <w:rsid w:val="002239EB"/>
    <w:rsid w:val="00223E58"/>
    <w:rsid w:val="00224141"/>
    <w:rsid w:val="00224156"/>
    <w:rsid w:val="002241C7"/>
    <w:rsid w:val="00224271"/>
    <w:rsid w:val="002242E3"/>
    <w:rsid w:val="0022439F"/>
    <w:rsid w:val="0022443F"/>
    <w:rsid w:val="00224449"/>
    <w:rsid w:val="00224895"/>
    <w:rsid w:val="002248B3"/>
    <w:rsid w:val="00224A78"/>
    <w:rsid w:val="00224B13"/>
    <w:rsid w:val="00224BB8"/>
    <w:rsid w:val="00224C33"/>
    <w:rsid w:val="00224C4E"/>
    <w:rsid w:val="00225000"/>
    <w:rsid w:val="0022518A"/>
    <w:rsid w:val="0022547A"/>
    <w:rsid w:val="0022554F"/>
    <w:rsid w:val="002255CB"/>
    <w:rsid w:val="002255D8"/>
    <w:rsid w:val="002257C3"/>
    <w:rsid w:val="00225A80"/>
    <w:rsid w:val="00225B67"/>
    <w:rsid w:val="00225BB7"/>
    <w:rsid w:val="00225C2F"/>
    <w:rsid w:val="00225D80"/>
    <w:rsid w:val="00225F13"/>
    <w:rsid w:val="00226001"/>
    <w:rsid w:val="0022657F"/>
    <w:rsid w:val="0022660E"/>
    <w:rsid w:val="002266E5"/>
    <w:rsid w:val="00226927"/>
    <w:rsid w:val="00226B5B"/>
    <w:rsid w:val="00226CE0"/>
    <w:rsid w:val="00226CF2"/>
    <w:rsid w:val="0022703D"/>
    <w:rsid w:val="00227105"/>
    <w:rsid w:val="0022710A"/>
    <w:rsid w:val="0022723A"/>
    <w:rsid w:val="00227409"/>
    <w:rsid w:val="0022743B"/>
    <w:rsid w:val="0022776D"/>
    <w:rsid w:val="00227A2B"/>
    <w:rsid w:val="00227C41"/>
    <w:rsid w:val="00227EC1"/>
    <w:rsid w:val="00227FAA"/>
    <w:rsid w:val="00230443"/>
    <w:rsid w:val="00230485"/>
    <w:rsid w:val="002306A5"/>
    <w:rsid w:val="00230FCF"/>
    <w:rsid w:val="00231154"/>
    <w:rsid w:val="002311CB"/>
    <w:rsid w:val="002312DB"/>
    <w:rsid w:val="002314D6"/>
    <w:rsid w:val="0023189F"/>
    <w:rsid w:val="00231996"/>
    <w:rsid w:val="002320DF"/>
    <w:rsid w:val="002321CB"/>
    <w:rsid w:val="0023228E"/>
    <w:rsid w:val="002322CE"/>
    <w:rsid w:val="00232372"/>
    <w:rsid w:val="00232473"/>
    <w:rsid w:val="002326A8"/>
    <w:rsid w:val="00232750"/>
    <w:rsid w:val="0023275B"/>
    <w:rsid w:val="002327DB"/>
    <w:rsid w:val="00232AE1"/>
    <w:rsid w:val="00232AF6"/>
    <w:rsid w:val="00232CBA"/>
    <w:rsid w:val="00232F54"/>
    <w:rsid w:val="00232FCE"/>
    <w:rsid w:val="00233841"/>
    <w:rsid w:val="002339DA"/>
    <w:rsid w:val="00233A7E"/>
    <w:rsid w:val="00233A94"/>
    <w:rsid w:val="0023402C"/>
    <w:rsid w:val="002342C0"/>
    <w:rsid w:val="002343D7"/>
    <w:rsid w:val="002343E0"/>
    <w:rsid w:val="002349D1"/>
    <w:rsid w:val="00234AB8"/>
    <w:rsid w:val="00234F15"/>
    <w:rsid w:val="00234FC0"/>
    <w:rsid w:val="0023524E"/>
    <w:rsid w:val="00235470"/>
    <w:rsid w:val="002355A9"/>
    <w:rsid w:val="002356CB"/>
    <w:rsid w:val="0023570C"/>
    <w:rsid w:val="00235A43"/>
    <w:rsid w:val="00235ACB"/>
    <w:rsid w:val="00235B11"/>
    <w:rsid w:val="00235B5C"/>
    <w:rsid w:val="00235D1D"/>
    <w:rsid w:val="002362B1"/>
    <w:rsid w:val="002362E6"/>
    <w:rsid w:val="00236368"/>
    <w:rsid w:val="002363CF"/>
    <w:rsid w:val="00236557"/>
    <w:rsid w:val="0023693A"/>
    <w:rsid w:val="002369B8"/>
    <w:rsid w:val="002369BD"/>
    <w:rsid w:val="00236A85"/>
    <w:rsid w:val="00236B83"/>
    <w:rsid w:val="00236C4C"/>
    <w:rsid w:val="002371E0"/>
    <w:rsid w:val="00237362"/>
    <w:rsid w:val="0023741F"/>
    <w:rsid w:val="0023746B"/>
    <w:rsid w:val="002376F7"/>
    <w:rsid w:val="0023778D"/>
    <w:rsid w:val="00237899"/>
    <w:rsid w:val="002378AB"/>
    <w:rsid w:val="002379A7"/>
    <w:rsid w:val="00237AE3"/>
    <w:rsid w:val="00237F32"/>
    <w:rsid w:val="0024002B"/>
    <w:rsid w:val="002403EA"/>
    <w:rsid w:val="00240564"/>
    <w:rsid w:val="00240696"/>
    <w:rsid w:val="002406D3"/>
    <w:rsid w:val="002407A0"/>
    <w:rsid w:val="00240817"/>
    <w:rsid w:val="0024083C"/>
    <w:rsid w:val="0024094E"/>
    <w:rsid w:val="00240E53"/>
    <w:rsid w:val="002410CF"/>
    <w:rsid w:val="0024120F"/>
    <w:rsid w:val="00241293"/>
    <w:rsid w:val="002415A5"/>
    <w:rsid w:val="00241646"/>
    <w:rsid w:val="002416B7"/>
    <w:rsid w:val="00241719"/>
    <w:rsid w:val="00241C3F"/>
    <w:rsid w:val="00241D1E"/>
    <w:rsid w:val="00241E72"/>
    <w:rsid w:val="00241E88"/>
    <w:rsid w:val="00241EDA"/>
    <w:rsid w:val="00242003"/>
    <w:rsid w:val="0024254B"/>
    <w:rsid w:val="0024267A"/>
    <w:rsid w:val="002428F0"/>
    <w:rsid w:val="00242D18"/>
    <w:rsid w:val="00242D9F"/>
    <w:rsid w:val="00242DBE"/>
    <w:rsid w:val="00242ECD"/>
    <w:rsid w:val="00243085"/>
    <w:rsid w:val="0024313E"/>
    <w:rsid w:val="002431F3"/>
    <w:rsid w:val="002432A3"/>
    <w:rsid w:val="002432C8"/>
    <w:rsid w:val="00243623"/>
    <w:rsid w:val="002438B6"/>
    <w:rsid w:val="0024395A"/>
    <w:rsid w:val="00243984"/>
    <w:rsid w:val="00243AAC"/>
    <w:rsid w:val="00243AC7"/>
    <w:rsid w:val="00243AC9"/>
    <w:rsid w:val="00243BAC"/>
    <w:rsid w:val="00243C1D"/>
    <w:rsid w:val="00243DA5"/>
    <w:rsid w:val="00243DCB"/>
    <w:rsid w:val="00243DCD"/>
    <w:rsid w:val="00243FC9"/>
    <w:rsid w:val="0024455A"/>
    <w:rsid w:val="00244C49"/>
    <w:rsid w:val="00244D7D"/>
    <w:rsid w:val="00244D91"/>
    <w:rsid w:val="00244EE2"/>
    <w:rsid w:val="00244F23"/>
    <w:rsid w:val="00245268"/>
    <w:rsid w:val="0024576A"/>
    <w:rsid w:val="00245883"/>
    <w:rsid w:val="00245B94"/>
    <w:rsid w:val="00245F2C"/>
    <w:rsid w:val="00245F64"/>
    <w:rsid w:val="0024603F"/>
    <w:rsid w:val="00246110"/>
    <w:rsid w:val="00246266"/>
    <w:rsid w:val="0024626B"/>
    <w:rsid w:val="00246471"/>
    <w:rsid w:val="002466EC"/>
    <w:rsid w:val="002467BE"/>
    <w:rsid w:val="00246C34"/>
    <w:rsid w:val="00246CD2"/>
    <w:rsid w:val="00246D6E"/>
    <w:rsid w:val="00246F4C"/>
    <w:rsid w:val="00246FE6"/>
    <w:rsid w:val="002470AD"/>
    <w:rsid w:val="0024761A"/>
    <w:rsid w:val="00247902"/>
    <w:rsid w:val="00247D79"/>
    <w:rsid w:val="00247E56"/>
    <w:rsid w:val="00247FA4"/>
    <w:rsid w:val="0025020D"/>
    <w:rsid w:val="0025026A"/>
    <w:rsid w:val="002502D5"/>
    <w:rsid w:val="00250377"/>
    <w:rsid w:val="002503F2"/>
    <w:rsid w:val="00250501"/>
    <w:rsid w:val="002509D0"/>
    <w:rsid w:val="00250A71"/>
    <w:rsid w:val="00250CAA"/>
    <w:rsid w:val="00250D42"/>
    <w:rsid w:val="00250DD9"/>
    <w:rsid w:val="00251F51"/>
    <w:rsid w:val="00251F8B"/>
    <w:rsid w:val="002520D6"/>
    <w:rsid w:val="00252314"/>
    <w:rsid w:val="00252443"/>
    <w:rsid w:val="00252537"/>
    <w:rsid w:val="00252650"/>
    <w:rsid w:val="0025276F"/>
    <w:rsid w:val="00252A55"/>
    <w:rsid w:val="00252B0C"/>
    <w:rsid w:val="00252BE4"/>
    <w:rsid w:val="00252D61"/>
    <w:rsid w:val="002531CF"/>
    <w:rsid w:val="00253416"/>
    <w:rsid w:val="0025372B"/>
    <w:rsid w:val="00253743"/>
    <w:rsid w:val="002537A7"/>
    <w:rsid w:val="0025394F"/>
    <w:rsid w:val="00253A69"/>
    <w:rsid w:val="00253D1F"/>
    <w:rsid w:val="00253F00"/>
    <w:rsid w:val="002543F7"/>
    <w:rsid w:val="00254775"/>
    <w:rsid w:val="0025487F"/>
    <w:rsid w:val="0025516A"/>
    <w:rsid w:val="00255170"/>
    <w:rsid w:val="002553DF"/>
    <w:rsid w:val="00255507"/>
    <w:rsid w:val="002557AD"/>
    <w:rsid w:val="00255AC8"/>
    <w:rsid w:val="00255B2F"/>
    <w:rsid w:val="00255C61"/>
    <w:rsid w:val="00255E65"/>
    <w:rsid w:val="002560D2"/>
    <w:rsid w:val="0025621A"/>
    <w:rsid w:val="002565DF"/>
    <w:rsid w:val="0025668F"/>
    <w:rsid w:val="00256854"/>
    <w:rsid w:val="0025692B"/>
    <w:rsid w:val="00256DB6"/>
    <w:rsid w:val="00256FD9"/>
    <w:rsid w:val="0025700C"/>
    <w:rsid w:val="0025711F"/>
    <w:rsid w:val="00257548"/>
    <w:rsid w:val="0025768A"/>
    <w:rsid w:val="00257B72"/>
    <w:rsid w:val="00257BFF"/>
    <w:rsid w:val="00257CBF"/>
    <w:rsid w:val="00260116"/>
    <w:rsid w:val="00260179"/>
    <w:rsid w:val="00260226"/>
    <w:rsid w:val="00260391"/>
    <w:rsid w:val="002603E7"/>
    <w:rsid w:val="00260407"/>
    <w:rsid w:val="0026041C"/>
    <w:rsid w:val="0026060C"/>
    <w:rsid w:val="00260899"/>
    <w:rsid w:val="00260A23"/>
    <w:rsid w:val="00260A7E"/>
    <w:rsid w:val="00260A8D"/>
    <w:rsid w:val="00260B62"/>
    <w:rsid w:val="00260D7D"/>
    <w:rsid w:val="00260D93"/>
    <w:rsid w:val="00260DC5"/>
    <w:rsid w:val="00260DFD"/>
    <w:rsid w:val="00260EA1"/>
    <w:rsid w:val="00260F36"/>
    <w:rsid w:val="002612D6"/>
    <w:rsid w:val="002612D9"/>
    <w:rsid w:val="00261315"/>
    <w:rsid w:val="0026155D"/>
    <w:rsid w:val="002615F9"/>
    <w:rsid w:val="00261917"/>
    <w:rsid w:val="00261AFF"/>
    <w:rsid w:val="00261C68"/>
    <w:rsid w:val="00261FD9"/>
    <w:rsid w:val="002620B8"/>
    <w:rsid w:val="002620CF"/>
    <w:rsid w:val="002621A4"/>
    <w:rsid w:val="002621A6"/>
    <w:rsid w:val="00262290"/>
    <w:rsid w:val="002624C8"/>
    <w:rsid w:val="002625D4"/>
    <w:rsid w:val="0026268C"/>
    <w:rsid w:val="002627ED"/>
    <w:rsid w:val="00262A8A"/>
    <w:rsid w:val="00262F38"/>
    <w:rsid w:val="00262F6A"/>
    <w:rsid w:val="0026316D"/>
    <w:rsid w:val="00263303"/>
    <w:rsid w:val="002634E9"/>
    <w:rsid w:val="002635F7"/>
    <w:rsid w:val="00263604"/>
    <w:rsid w:val="00263A69"/>
    <w:rsid w:val="00263B6B"/>
    <w:rsid w:val="00263B86"/>
    <w:rsid w:val="00263CB3"/>
    <w:rsid w:val="00263D8A"/>
    <w:rsid w:val="00263E45"/>
    <w:rsid w:val="00263F58"/>
    <w:rsid w:val="002641E0"/>
    <w:rsid w:val="0026459B"/>
    <w:rsid w:val="002646D7"/>
    <w:rsid w:val="00264E13"/>
    <w:rsid w:val="00264F7E"/>
    <w:rsid w:val="00264FCD"/>
    <w:rsid w:val="00264FE7"/>
    <w:rsid w:val="00265015"/>
    <w:rsid w:val="002651A5"/>
    <w:rsid w:val="0026596B"/>
    <w:rsid w:val="00265A6E"/>
    <w:rsid w:val="00265CF1"/>
    <w:rsid w:val="0026603D"/>
    <w:rsid w:val="002660A1"/>
    <w:rsid w:val="00266451"/>
    <w:rsid w:val="002667B5"/>
    <w:rsid w:val="002667FB"/>
    <w:rsid w:val="0026682D"/>
    <w:rsid w:val="0026688B"/>
    <w:rsid w:val="00266978"/>
    <w:rsid w:val="00266A2D"/>
    <w:rsid w:val="00266A31"/>
    <w:rsid w:val="00266AF0"/>
    <w:rsid w:val="00266B19"/>
    <w:rsid w:val="00266DA8"/>
    <w:rsid w:val="00266EAE"/>
    <w:rsid w:val="00266FF8"/>
    <w:rsid w:val="00267712"/>
    <w:rsid w:val="0026791A"/>
    <w:rsid w:val="00267AD9"/>
    <w:rsid w:val="00267BE1"/>
    <w:rsid w:val="00267E89"/>
    <w:rsid w:val="0027073A"/>
    <w:rsid w:val="002707CC"/>
    <w:rsid w:val="00270889"/>
    <w:rsid w:val="00270A09"/>
    <w:rsid w:val="00270AFF"/>
    <w:rsid w:val="00270B9E"/>
    <w:rsid w:val="00270F60"/>
    <w:rsid w:val="00270F61"/>
    <w:rsid w:val="00270F89"/>
    <w:rsid w:val="0027105D"/>
    <w:rsid w:val="002711AF"/>
    <w:rsid w:val="002714EF"/>
    <w:rsid w:val="00271637"/>
    <w:rsid w:val="00271648"/>
    <w:rsid w:val="002718AC"/>
    <w:rsid w:val="002719A8"/>
    <w:rsid w:val="00271B29"/>
    <w:rsid w:val="00271B82"/>
    <w:rsid w:val="00271C6D"/>
    <w:rsid w:val="00271D8B"/>
    <w:rsid w:val="00271EE3"/>
    <w:rsid w:val="00271F6A"/>
    <w:rsid w:val="0027229D"/>
    <w:rsid w:val="002722EC"/>
    <w:rsid w:val="002723C5"/>
    <w:rsid w:val="00272575"/>
    <w:rsid w:val="002725DB"/>
    <w:rsid w:val="00272732"/>
    <w:rsid w:val="00272798"/>
    <w:rsid w:val="00272881"/>
    <w:rsid w:val="0027292C"/>
    <w:rsid w:val="00272B24"/>
    <w:rsid w:val="00272B79"/>
    <w:rsid w:val="00272D9A"/>
    <w:rsid w:val="00272DE1"/>
    <w:rsid w:val="00272E75"/>
    <w:rsid w:val="00273081"/>
    <w:rsid w:val="002730F3"/>
    <w:rsid w:val="00273282"/>
    <w:rsid w:val="002736B2"/>
    <w:rsid w:val="00273763"/>
    <w:rsid w:val="002739B6"/>
    <w:rsid w:val="00273B1A"/>
    <w:rsid w:val="00273B38"/>
    <w:rsid w:val="00273ED6"/>
    <w:rsid w:val="002744B6"/>
    <w:rsid w:val="00274604"/>
    <w:rsid w:val="0027475E"/>
    <w:rsid w:val="00274EB0"/>
    <w:rsid w:val="00275251"/>
    <w:rsid w:val="00275277"/>
    <w:rsid w:val="00275348"/>
    <w:rsid w:val="0027558B"/>
    <w:rsid w:val="0027568E"/>
    <w:rsid w:val="002756BD"/>
    <w:rsid w:val="00275867"/>
    <w:rsid w:val="00275E75"/>
    <w:rsid w:val="00276151"/>
    <w:rsid w:val="00276400"/>
    <w:rsid w:val="0027665A"/>
    <w:rsid w:val="00276820"/>
    <w:rsid w:val="00276881"/>
    <w:rsid w:val="002769C1"/>
    <w:rsid w:val="00276C1B"/>
    <w:rsid w:val="00276CCF"/>
    <w:rsid w:val="00276D6D"/>
    <w:rsid w:val="00276E28"/>
    <w:rsid w:val="002771D1"/>
    <w:rsid w:val="002771DE"/>
    <w:rsid w:val="002779AF"/>
    <w:rsid w:val="00277B98"/>
    <w:rsid w:val="00277E3F"/>
    <w:rsid w:val="00277E98"/>
    <w:rsid w:val="0028000D"/>
    <w:rsid w:val="00280088"/>
    <w:rsid w:val="0028010B"/>
    <w:rsid w:val="002802DF"/>
    <w:rsid w:val="0028057D"/>
    <w:rsid w:val="002805CA"/>
    <w:rsid w:val="00280635"/>
    <w:rsid w:val="0028066A"/>
    <w:rsid w:val="002807F7"/>
    <w:rsid w:val="00280808"/>
    <w:rsid w:val="00280AC3"/>
    <w:rsid w:val="00280B1B"/>
    <w:rsid w:val="00280D32"/>
    <w:rsid w:val="00280DC4"/>
    <w:rsid w:val="00280EC7"/>
    <w:rsid w:val="00280F2B"/>
    <w:rsid w:val="0028105F"/>
    <w:rsid w:val="002810C1"/>
    <w:rsid w:val="00281234"/>
    <w:rsid w:val="00281354"/>
    <w:rsid w:val="0028142B"/>
    <w:rsid w:val="00281468"/>
    <w:rsid w:val="00281585"/>
    <w:rsid w:val="002815DC"/>
    <w:rsid w:val="00281662"/>
    <w:rsid w:val="00281868"/>
    <w:rsid w:val="00281936"/>
    <w:rsid w:val="00281B58"/>
    <w:rsid w:val="00281BAC"/>
    <w:rsid w:val="002820E0"/>
    <w:rsid w:val="0028212C"/>
    <w:rsid w:val="0028249C"/>
    <w:rsid w:val="00282800"/>
    <w:rsid w:val="00282B45"/>
    <w:rsid w:val="00282DBD"/>
    <w:rsid w:val="00282DD2"/>
    <w:rsid w:val="00282E14"/>
    <w:rsid w:val="00282E72"/>
    <w:rsid w:val="00282E9B"/>
    <w:rsid w:val="0028301C"/>
    <w:rsid w:val="002830FF"/>
    <w:rsid w:val="0028311B"/>
    <w:rsid w:val="00283128"/>
    <w:rsid w:val="002834E3"/>
    <w:rsid w:val="0028363C"/>
    <w:rsid w:val="002836A7"/>
    <w:rsid w:val="002837B3"/>
    <w:rsid w:val="00283A9E"/>
    <w:rsid w:val="00283C1C"/>
    <w:rsid w:val="00283CBC"/>
    <w:rsid w:val="00283D36"/>
    <w:rsid w:val="0028418B"/>
    <w:rsid w:val="002842C6"/>
    <w:rsid w:val="0028454B"/>
    <w:rsid w:val="002845A2"/>
    <w:rsid w:val="0028474B"/>
    <w:rsid w:val="00284956"/>
    <w:rsid w:val="00284B37"/>
    <w:rsid w:val="00284CE8"/>
    <w:rsid w:val="00284CFB"/>
    <w:rsid w:val="00284F93"/>
    <w:rsid w:val="00284FFD"/>
    <w:rsid w:val="0028506C"/>
    <w:rsid w:val="0028524B"/>
    <w:rsid w:val="00285413"/>
    <w:rsid w:val="0028551F"/>
    <w:rsid w:val="002855C1"/>
    <w:rsid w:val="00285648"/>
    <w:rsid w:val="00285655"/>
    <w:rsid w:val="00285D9D"/>
    <w:rsid w:val="00286187"/>
    <w:rsid w:val="0028622E"/>
    <w:rsid w:val="00286256"/>
    <w:rsid w:val="00286337"/>
    <w:rsid w:val="0028636D"/>
    <w:rsid w:val="002864B0"/>
    <w:rsid w:val="00286590"/>
    <w:rsid w:val="00286741"/>
    <w:rsid w:val="00286A56"/>
    <w:rsid w:val="00286E95"/>
    <w:rsid w:val="00286ED7"/>
    <w:rsid w:val="00286F4A"/>
    <w:rsid w:val="002870B6"/>
    <w:rsid w:val="00287321"/>
    <w:rsid w:val="00287841"/>
    <w:rsid w:val="0028788C"/>
    <w:rsid w:val="0028789E"/>
    <w:rsid w:val="002878D7"/>
    <w:rsid w:val="002879E9"/>
    <w:rsid w:val="00287B43"/>
    <w:rsid w:val="00287C12"/>
    <w:rsid w:val="00287D57"/>
    <w:rsid w:val="00287DB9"/>
    <w:rsid w:val="00287ED7"/>
    <w:rsid w:val="0029005C"/>
    <w:rsid w:val="00290179"/>
    <w:rsid w:val="0029022F"/>
    <w:rsid w:val="002902B8"/>
    <w:rsid w:val="00290599"/>
    <w:rsid w:val="002907E0"/>
    <w:rsid w:val="00290872"/>
    <w:rsid w:val="002908DA"/>
    <w:rsid w:val="00290B27"/>
    <w:rsid w:val="00290C15"/>
    <w:rsid w:val="00290DCC"/>
    <w:rsid w:val="00290FC1"/>
    <w:rsid w:val="00291194"/>
    <w:rsid w:val="00291443"/>
    <w:rsid w:val="00291479"/>
    <w:rsid w:val="00291774"/>
    <w:rsid w:val="00291A9A"/>
    <w:rsid w:val="00291ED6"/>
    <w:rsid w:val="00291F16"/>
    <w:rsid w:val="00292231"/>
    <w:rsid w:val="002922DE"/>
    <w:rsid w:val="00292300"/>
    <w:rsid w:val="00292606"/>
    <w:rsid w:val="0029274B"/>
    <w:rsid w:val="00292982"/>
    <w:rsid w:val="00292D10"/>
    <w:rsid w:val="00292D37"/>
    <w:rsid w:val="00292E3D"/>
    <w:rsid w:val="00292EF9"/>
    <w:rsid w:val="0029303F"/>
    <w:rsid w:val="00293430"/>
    <w:rsid w:val="00293439"/>
    <w:rsid w:val="00293544"/>
    <w:rsid w:val="00293710"/>
    <w:rsid w:val="002939CA"/>
    <w:rsid w:val="00293A8A"/>
    <w:rsid w:val="00293A91"/>
    <w:rsid w:val="00293B4C"/>
    <w:rsid w:val="00293B7D"/>
    <w:rsid w:val="00293BB3"/>
    <w:rsid w:val="00293C31"/>
    <w:rsid w:val="00293C83"/>
    <w:rsid w:val="00293DE9"/>
    <w:rsid w:val="00293F0F"/>
    <w:rsid w:val="00293F31"/>
    <w:rsid w:val="00294360"/>
    <w:rsid w:val="0029478D"/>
    <w:rsid w:val="00294932"/>
    <w:rsid w:val="00294A76"/>
    <w:rsid w:val="00294BF6"/>
    <w:rsid w:val="00294C9C"/>
    <w:rsid w:val="00294CF8"/>
    <w:rsid w:val="00294DF2"/>
    <w:rsid w:val="00295023"/>
    <w:rsid w:val="00295067"/>
    <w:rsid w:val="002951ED"/>
    <w:rsid w:val="002953A8"/>
    <w:rsid w:val="002953C3"/>
    <w:rsid w:val="00295512"/>
    <w:rsid w:val="002955C1"/>
    <w:rsid w:val="00295829"/>
    <w:rsid w:val="00295C5D"/>
    <w:rsid w:val="00295C9A"/>
    <w:rsid w:val="00295D73"/>
    <w:rsid w:val="002960E9"/>
    <w:rsid w:val="002961BA"/>
    <w:rsid w:val="00296335"/>
    <w:rsid w:val="002963EF"/>
    <w:rsid w:val="0029696D"/>
    <w:rsid w:val="00296AF8"/>
    <w:rsid w:val="00296B8D"/>
    <w:rsid w:val="00296BFF"/>
    <w:rsid w:val="00296E5D"/>
    <w:rsid w:val="00296F73"/>
    <w:rsid w:val="002971FC"/>
    <w:rsid w:val="0029760F"/>
    <w:rsid w:val="0029783C"/>
    <w:rsid w:val="0029786E"/>
    <w:rsid w:val="002978B3"/>
    <w:rsid w:val="00297978"/>
    <w:rsid w:val="002979B5"/>
    <w:rsid w:val="00297AE9"/>
    <w:rsid w:val="00297AF6"/>
    <w:rsid w:val="00297BEC"/>
    <w:rsid w:val="00297F82"/>
    <w:rsid w:val="00297F95"/>
    <w:rsid w:val="002A0086"/>
    <w:rsid w:val="002A03EC"/>
    <w:rsid w:val="002A057D"/>
    <w:rsid w:val="002A05BA"/>
    <w:rsid w:val="002A05FA"/>
    <w:rsid w:val="002A06BA"/>
    <w:rsid w:val="002A06EA"/>
    <w:rsid w:val="002A08BF"/>
    <w:rsid w:val="002A091D"/>
    <w:rsid w:val="002A0998"/>
    <w:rsid w:val="002A0B09"/>
    <w:rsid w:val="002A0D3B"/>
    <w:rsid w:val="002A0EE8"/>
    <w:rsid w:val="002A0F6D"/>
    <w:rsid w:val="002A10A0"/>
    <w:rsid w:val="002A1106"/>
    <w:rsid w:val="002A123C"/>
    <w:rsid w:val="002A1309"/>
    <w:rsid w:val="002A1644"/>
    <w:rsid w:val="002A18A4"/>
    <w:rsid w:val="002A18B8"/>
    <w:rsid w:val="002A1B76"/>
    <w:rsid w:val="002A1D46"/>
    <w:rsid w:val="002A1E45"/>
    <w:rsid w:val="002A2120"/>
    <w:rsid w:val="002A22E8"/>
    <w:rsid w:val="002A245E"/>
    <w:rsid w:val="002A247B"/>
    <w:rsid w:val="002A25C6"/>
    <w:rsid w:val="002A25E8"/>
    <w:rsid w:val="002A2785"/>
    <w:rsid w:val="002A294B"/>
    <w:rsid w:val="002A2AFB"/>
    <w:rsid w:val="002A2B27"/>
    <w:rsid w:val="002A2D33"/>
    <w:rsid w:val="002A2DA4"/>
    <w:rsid w:val="002A2F2F"/>
    <w:rsid w:val="002A2FCD"/>
    <w:rsid w:val="002A30CF"/>
    <w:rsid w:val="002A313F"/>
    <w:rsid w:val="002A32C9"/>
    <w:rsid w:val="002A3A37"/>
    <w:rsid w:val="002A3B8A"/>
    <w:rsid w:val="002A3D14"/>
    <w:rsid w:val="002A3D57"/>
    <w:rsid w:val="002A3D74"/>
    <w:rsid w:val="002A3DF8"/>
    <w:rsid w:val="002A42A9"/>
    <w:rsid w:val="002A443A"/>
    <w:rsid w:val="002A4953"/>
    <w:rsid w:val="002A4998"/>
    <w:rsid w:val="002A49A0"/>
    <w:rsid w:val="002A4DF8"/>
    <w:rsid w:val="002A53B1"/>
    <w:rsid w:val="002A54C7"/>
    <w:rsid w:val="002A5562"/>
    <w:rsid w:val="002A558C"/>
    <w:rsid w:val="002A57B5"/>
    <w:rsid w:val="002A57C5"/>
    <w:rsid w:val="002A5885"/>
    <w:rsid w:val="002A5BDE"/>
    <w:rsid w:val="002A5CD9"/>
    <w:rsid w:val="002A5DBE"/>
    <w:rsid w:val="002A5E25"/>
    <w:rsid w:val="002A62B5"/>
    <w:rsid w:val="002A6589"/>
    <w:rsid w:val="002A6649"/>
    <w:rsid w:val="002A67BC"/>
    <w:rsid w:val="002A6B5E"/>
    <w:rsid w:val="002A6BAC"/>
    <w:rsid w:val="002A6D30"/>
    <w:rsid w:val="002A6E06"/>
    <w:rsid w:val="002A726A"/>
    <w:rsid w:val="002A73FD"/>
    <w:rsid w:val="002A749A"/>
    <w:rsid w:val="002A74CB"/>
    <w:rsid w:val="002A75AC"/>
    <w:rsid w:val="002A75BD"/>
    <w:rsid w:val="002A764D"/>
    <w:rsid w:val="002A76CF"/>
    <w:rsid w:val="002A792F"/>
    <w:rsid w:val="002A7B36"/>
    <w:rsid w:val="002A7FAE"/>
    <w:rsid w:val="002B0170"/>
    <w:rsid w:val="002B0252"/>
    <w:rsid w:val="002B0299"/>
    <w:rsid w:val="002B05F3"/>
    <w:rsid w:val="002B05FE"/>
    <w:rsid w:val="002B06AF"/>
    <w:rsid w:val="002B06D9"/>
    <w:rsid w:val="002B0A41"/>
    <w:rsid w:val="002B0B02"/>
    <w:rsid w:val="002B0B3F"/>
    <w:rsid w:val="002B0C64"/>
    <w:rsid w:val="002B0D25"/>
    <w:rsid w:val="002B0DBA"/>
    <w:rsid w:val="002B0FD6"/>
    <w:rsid w:val="002B1277"/>
    <w:rsid w:val="002B1592"/>
    <w:rsid w:val="002B159C"/>
    <w:rsid w:val="002B15F4"/>
    <w:rsid w:val="002B167B"/>
    <w:rsid w:val="002B1697"/>
    <w:rsid w:val="002B18B5"/>
    <w:rsid w:val="002B1CE9"/>
    <w:rsid w:val="002B22E7"/>
    <w:rsid w:val="002B26C9"/>
    <w:rsid w:val="002B27B1"/>
    <w:rsid w:val="002B2961"/>
    <w:rsid w:val="002B2E32"/>
    <w:rsid w:val="002B3007"/>
    <w:rsid w:val="002B341F"/>
    <w:rsid w:val="002B3477"/>
    <w:rsid w:val="002B3745"/>
    <w:rsid w:val="002B3755"/>
    <w:rsid w:val="002B39CB"/>
    <w:rsid w:val="002B3A74"/>
    <w:rsid w:val="002B3AF3"/>
    <w:rsid w:val="002B3BBF"/>
    <w:rsid w:val="002B42AD"/>
    <w:rsid w:val="002B4876"/>
    <w:rsid w:val="002B4B9A"/>
    <w:rsid w:val="002B4BA3"/>
    <w:rsid w:val="002B4BC9"/>
    <w:rsid w:val="002B4DC8"/>
    <w:rsid w:val="002B4E41"/>
    <w:rsid w:val="002B5261"/>
    <w:rsid w:val="002B5373"/>
    <w:rsid w:val="002B53CD"/>
    <w:rsid w:val="002B5531"/>
    <w:rsid w:val="002B5859"/>
    <w:rsid w:val="002B59BE"/>
    <w:rsid w:val="002B59DF"/>
    <w:rsid w:val="002B5C78"/>
    <w:rsid w:val="002B5D5D"/>
    <w:rsid w:val="002B634D"/>
    <w:rsid w:val="002B69EA"/>
    <w:rsid w:val="002B6A1D"/>
    <w:rsid w:val="002B6BBF"/>
    <w:rsid w:val="002B706F"/>
    <w:rsid w:val="002B7098"/>
    <w:rsid w:val="002B75A9"/>
    <w:rsid w:val="002B7B94"/>
    <w:rsid w:val="002B7DDA"/>
    <w:rsid w:val="002B7F93"/>
    <w:rsid w:val="002C00E3"/>
    <w:rsid w:val="002C026D"/>
    <w:rsid w:val="002C02E9"/>
    <w:rsid w:val="002C062D"/>
    <w:rsid w:val="002C0694"/>
    <w:rsid w:val="002C07BE"/>
    <w:rsid w:val="002C0B19"/>
    <w:rsid w:val="002C0CDB"/>
    <w:rsid w:val="002C0D3C"/>
    <w:rsid w:val="002C0D78"/>
    <w:rsid w:val="002C0E80"/>
    <w:rsid w:val="002C1144"/>
    <w:rsid w:val="002C120A"/>
    <w:rsid w:val="002C126E"/>
    <w:rsid w:val="002C1815"/>
    <w:rsid w:val="002C188C"/>
    <w:rsid w:val="002C1B86"/>
    <w:rsid w:val="002C1CFB"/>
    <w:rsid w:val="002C1DD9"/>
    <w:rsid w:val="002C1F74"/>
    <w:rsid w:val="002C204F"/>
    <w:rsid w:val="002C2213"/>
    <w:rsid w:val="002C22CE"/>
    <w:rsid w:val="002C2343"/>
    <w:rsid w:val="002C24E2"/>
    <w:rsid w:val="002C252B"/>
    <w:rsid w:val="002C25C3"/>
    <w:rsid w:val="002C279B"/>
    <w:rsid w:val="002C280A"/>
    <w:rsid w:val="002C2907"/>
    <w:rsid w:val="002C2A2C"/>
    <w:rsid w:val="002C2CDE"/>
    <w:rsid w:val="002C2F48"/>
    <w:rsid w:val="002C2F59"/>
    <w:rsid w:val="002C2F7E"/>
    <w:rsid w:val="002C3288"/>
    <w:rsid w:val="002C3298"/>
    <w:rsid w:val="002C373E"/>
    <w:rsid w:val="002C38AE"/>
    <w:rsid w:val="002C3D5B"/>
    <w:rsid w:val="002C3E1A"/>
    <w:rsid w:val="002C3E57"/>
    <w:rsid w:val="002C4291"/>
    <w:rsid w:val="002C4294"/>
    <w:rsid w:val="002C4380"/>
    <w:rsid w:val="002C46CA"/>
    <w:rsid w:val="002C48CB"/>
    <w:rsid w:val="002C495F"/>
    <w:rsid w:val="002C4C9E"/>
    <w:rsid w:val="002C4DF5"/>
    <w:rsid w:val="002C4EA7"/>
    <w:rsid w:val="002C4FC5"/>
    <w:rsid w:val="002C504E"/>
    <w:rsid w:val="002C54DE"/>
    <w:rsid w:val="002C5706"/>
    <w:rsid w:val="002C5A95"/>
    <w:rsid w:val="002C5B6B"/>
    <w:rsid w:val="002C5C09"/>
    <w:rsid w:val="002C5D10"/>
    <w:rsid w:val="002C5D35"/>
    <w:rsid w:val="002C6058"/>
    <w:rsid w:val="002C646A"/>
    <w:rsid w:val="002C6621"/>
    <w:rsid w:val="002C6630"/>
    <w:rsid w:val="002C6B3D"/>
    <w:rsid w:val="002C6EC4"/>
    <w:rsid w:val="002C6FA9"/>
    <w:rsid w:val="002C705B"/>
    <w:rsid w:val="002C7361"/>
    <w:rsid w:val="002C73D4"/>
    <w:rsid w:val="002C7563"/>
    <w:rsid w:val="002C79A0"/>
    <w:rsid w:val="002C79A8"/>
    <w:rsid w:val="002C7A41"/>
    <w:rsid w:val="002C7B71"/>
    <w:rsid w:val="002C7C0E"/>
    <w:rsid w:val="002C7C7A"/>
    <w:rsid w:val="002C7CDF"/>
    <w:rsid w:val="002D008C"/>
    <w:rsid w:val="002D00B2"/>
    <w:rsid w:val="002D011B"/>
    <w:rsid w:val="002D0318"/>
    <w:rsid w:val="002D04AA"/>
    <w:rsid w:val="002D06A1"/>
    <w:rsid w:val="002D08A2"/>
    <w:rsid w:val="002D090B"/>
    <w:rsid w:val="002D09EF"/>
    <w:rsid w:val="002D0C1C"/>
    <w:rsid w:val="002D0C76"/>
    <w:rsid w:val="002D0CBF"/>
    <w:rsid w:val="002D0D05"/>
    <w:rsid w:val="002D0E5C"/>
    <w:rsid w:val="002D0F89"/>
    <w:rsid w:val="002D10B4"/>
    <w:rsid w:val="002D122E"/>
    <w:rsid w:val="002D13FE"/>
    <w:rsid w:val="002D14F3"/>
    <w:rsid w:val="002D150C"/>
    <w:rsid w:val="002D1590"/>
    <w:rsid w:val="002D1EAD"/>
    <w:rsid w:val="002D2339"/>
    <w:rsid w:val="002D2414"/>
    <w:rsid w:val="002D256C"/>
    <w:rsid w:val="002D2AA6"/>
    <w:rsid w:val="002D2BA5"/>
    <w:rsid w:val="002D2F2D"/>
    <w:rsid w:val="002D3376"/>
    <w:rsid w:val="002D3545"/>
    <w:rsid w:val="002D385E"/>
    <w:rsid w:val="002D3963"/>
    <w:rsid w:val="002D39B8"/>
    <w:rsid w:val="002D3BED"/>
    <w:rsid w:val="002D43ED"/>
    <w:rsid w:val="002D44F0"/>
    <w:rsid w:val="002D451E"/>
    <w:rsid w:val="002D4763"/>
    <w:rsid w:val="002D47EF"/>
    <w:rsid w:val="002D4ADF"/>
    <w:rsid w:val="002D4C89"/>
    <w:rsid w:val="002D4D66"/>
    <w:rsid w:val="002D4DB4"/>
    <w:rsid w:val="002D5175"/>
    <w:rsid w:val="002D518D"/>
    <w:rsid w:val="002D52F1"/>
    <w:rsid w:val="002D54DF"/>
    <w:rsid w:val="002D5849"/>
    <w:rsid w:val="002D5C0A"/>
    <w:rsid w:val="002D5C2D"/>
    <w:rsid w:val="002D5C57"/>
    <w:rsid w:val="002D5EB3"/>
    <w:rsid w:val="002D60A8"/>
    <w:rsid w:val="002D61DB"/>
    <w:rsid w:val="002D64E3"/>
    <w:rsid w:val="002D6501"/>
    <w:rsid w:val="002D656F"/>
    <w:rsid w:val="002D65CE"/>
    <w:rsid w:val="002D676A"/>
    <w:rsid w:val="002D694E"/>
    <w:rsid w:val="002D6A93"/>
    <w:rsid w:val="002D6BBD"/>
    <w:rsid w:val="002D6BF0"/>
    <w:rsid w:val="002D6CA9"/>
    <w:rsid w:val="002D6D1D"/>
    <w:rsid w:val="002D6E23"/>
    <w:rsid w:val="002D6E54"/>
    <w:rsid w:val="002D7047"/>
    <w:rsid w:val="002D7082"/>
    <w:rsid w:val="002D70B5"/>
    <w:rsid w:val="002D7281"/>
    <w:rsid w:val="002D7548"/>
    <w:rsid w:val="002D76EA"/>
    <w:rsid w:val="002D7823"/>
    <w:rsid w:val="002D7838"/>
    <w:rsid w:val="002D7A27"/>
    <w:rsid w:val="002D7C24"/>
    <w:rsid w:val="002D7D97"/>
    <w:rsid w:val="002E00DD"/>
    <w:rsid w:val="002E0174"/>
    <w:rsid w:val="002E0392"/>
    <w:rsid w:val="002E03C8"/>
    <w:rsid w:val="002E0514"/>
    <w:rsid w:val="002E05F4"/>
    <w:rsid w:val="002E0673"/>
    <w:rsid w:val="002E0964"/>
    <w:rsid w:val="002E0B1A"/>
    <w:rsid w:val="002E0C1C"/>
    <w:rsid w:val="002E0C1F"/>
    <w:rsid w:val="002E0D21"/>
    <w:rsid w:val="002E0EF2"/>
    <w:rsid w:val="002E1021"/>
    <w:rsid w:val="002E1208"/>
    <w:rsid w:val="002E13F7"/>
    <w:rsid w:val="002E1881"/>
    <w:rsid w:val="002E1AB5"/>
    <w:rsid w:val="002E2214"/>
    <w:rsid w:val="002E2316"/>
    <w:rsid w:val="002E2331"/>
    <w:rsid w:val="002E2353"/>
    <w:rsid w:val="002E26EE"/>
    <w:rsid w:val="002E28C9"/>
    <w:rsid w:val="002E2BB4"/>
    <w:rsid w:val="002E2CAF"/>
    <w:rsid w:val="002E2E44"/>
    <w:rsid w:val="002E2F16"/>
    <w:rsid w:val="002E2F2F"/>
    <w:rsid w:val="002E2FB2"/>
    <w:rsid w:val="002E30E3"/>
    <w:rsid w:val="002E333B"/>
    <w:rsid w:val="002E35DD"/>
    <w:rsid w:val="002E3974"/>
    <w:rsid w:val="002E3C1B"/>
    <w:rsid w:val="002E3D67"/>
    <w:rsid w:val="002E3E52"/>
    <w:rsid w:val="002E4060"/>
    <w:rsid w:val="002E412E"/>
    <w:rsid w:val="002E4616"/>
    <w:rsid w:val="002E4742"/>
    <w:rsid w:val="002E487D"/>
    <w:rsid w:val="002E494E"/>
    <w:rsid w:val="002E4CA3"/>
    <w:rsid w:val="002E4D7C"/>
    <w:rsid w:val="002E4EAD"/>
    <w:rsid w:val="002E4F85"/>
    <w:rsid w:val="002E5138"/>
    <w:rsid w:val="002E54C8"/>
    <w:rsid w:val="002E5788"/>
    <w:rsid w:val="002E59F9"/>
    <w:rsid w:val="002E5BE6"/>
    <w:rsid w:val="002E5DD1"/>
    <w:rsid w:val="002E5E20"/>
    <w:rsid w:val="002E5EF9"/>
    <w:rsid w:val="002E61E9"/>
    <w:rsid w:val="002E6220"/>
    <w:rsid w:val="002E6232"/>
    <w:rsid w:val="002E626D"/>
    <w:rsid w:val="002E6432"/>
    <w:rsid w:val="002E66B1"/>
    <w:rsid w:val="002E66F1"/>
    <w:rsid w:val="002E6730"/>
    <w:rsid w:val="002E6744"/>
    <w:rsid w:val="002E6837"/>
    <w:rsid w:val="002E6A4D"/>
    <w:rsid w:val="002E6F5F"/>
    <w:rsid w:val="002E7092"/>
    <w:rsid w:val="002E7155"/>
    <w:rsid w:val="002E73F8"/>
    <w:rsid w:val="002E7406"/>
    <w:rsid w:val="002E742D"/>
    <w:rsid w:val="002E74DA"/>
    <w:rsid w:val="002E758D"/>
    <w:rsid w:val="002E783F"/>
    <w:rsid w:val="002E7B2C"/>
    <w:rsid w:val="002E7B4C"/>
    <w:rsid w:val="002E7CD3"/>
    <w:rsid w:val="002E7E9F"/>
    <w:rsid w:val="002F00D1"/>
    <w:rsid w:val="002F0174"/>
    <w:rsid w:val="002F0523"/>
    <w:rsid w:val="002F0896"/>
    <w:rsid w:val="002F0B15"/>
    <w:rsid w:val="002F0D14"/>
    <w:rsid w:val="002F0D43"/>
    <w:rsid w:val="002F0E19"/>
    <w:rsid w:val="002F0F27"/>
    <w:rsid w:val="002F1272"/>
    <w:rsid w:val="002F1455"/>
    <w:rsid w:val="002F1521"/>
    <w:rsid w:val="002F183B"/>
    <w:rsid w:val="002F18BC"/>
    <w:rsid w:val="002F1922"/>
    <w:rsid w:val="002F1A2F"/>
    <w:rsid w:val="002F1BC0"/>
    <w:rsid w:val="002F1D70"/>
    <w:rsid w:val="002F1DDF"/>
    <w:rsid w:val="002F1E06"/>
    <w:rsid w:val="002F21FD"/>
    <w:rsid w:val="002F231D"/>
    <w:rsid w:val="002F2401"/>
    <w:rsid w:val="002F24FC"/>
    <w:rsid w:val="002F2577"/>
    <w:rsid w:val="002F2679"/>
    <w:rsid w:val="002F2814"/>
    <w:rsid w:val="002F29AB"/>
    <w:rsid w:val="002F2B02"/>
    <w:rsid w:val="002F2CB0"/>
    <w:rsid w:val="002F3117"/>
    <w:rsid w:val="002F31DA"/>
    <w:rsid w:val="002F3254"/>
    <w:rsid w:val="002F3376"/>
    <w:rsid w:val="002F3401"/>
    <w:rsid w:val="002F351E"/>
    <w:rsid w:val="002F3572"/>
    <w:rsid w:val="002F3608"/>
    <w:rsid w:val="002F3749"/>
    <w:rsid w:val="002F3912"/>
    <w:rsid w:val="002F3AB3"/>
    <w:rsid w:val="002F3AD0"/>
    <w:rsid w:val="002F3BE9"/>
    <w:rsid w:val="002F3CC9"/>
    <w:rsid w:val="002F3FE3"/>
    <w:rsid w:val="002F4204"/>
    <w:rsid w:val="002F466D"/>
    <w:rsid w:val="002F46A3"/>
    <w:rsid w:val="002F48B5"/>
    <w:rsid w:val="002F4A0A"/>
    <w:rsid w:val="002F4F3B"/>
    <w:rsid w:val="002F5201"/>
    <w:rsid w:val="002F564C"/>
    <w:rsid w:val="002F56BA"/>
    <w:rsid w:val="002F5908"/>
    <w:rsid w:val="002F59B3"/>
    <w:rsid w:val="002F5BC5"/>
    <w:rsid w:val="002F5BEB"/>
    <w:rsid w:val="002F5BEE"/>
    <w:rsid w:val="002F6345"/>
    <w:rsid w:val="002F6597"/>
    <w:rsid w:val="002F6D7C"/>
    <w:rsid w:val="002F6F4D"/>
    <w:rsid w:val="002F70B6"/>
    <w:rsid w:val="002F734A"/>
    <w:rsid w:val="002F7385"/>
    <w:rsid w:val="002F73FC"/>
    <w:rsid w:val="002F780D"/>
    <w:rsid w:val="002F7A13"/>
    <w:rsid w:val="002F7B20"/>
    <w:rsid w:val="002F7B35"/>
    <w:rsid w:val="002F7C48"/>
    <w:rsid w:val="002F7C4A"/>
    <w:rsid w:val="002F7C5F"/>
    <w:rsid w:val="002F7E1C"/>
    <w:rsid w:val="003004B7"/>
    <w:rsid w:val="003004E2"/>
    <w:rsid w:val="00300673"/>
    <w:rsid w:val="00300719"/>
    <w:rsid w:val="00300932"/>
    <w:rsid w:val="00300970"/>
    <w:rsid w:val="003009A0"/>
    <w:rsid w:val="003009BF"/>
    <w:rsid w:val="00300AE1"/>
    <w:rsid w:val="00300EFD"/>
    <w:rsid w:val="0030122A"/>
    <w:rsid w:val="00301409"/>
    <w:rsid w:val="00301492"/>
    <w:rsid w:val="0030158F"/>
    <w:rsid w:val="0030197C"/>
    <w:rsid w:val="00301A50"/>
    <w:rsid w:val="00301BE6"/>
    <w:rsid w:val="00301C7E"/>
    <w:rsid w:val="00301D3C"/>
    <w:rsid w:val="00301F6B"/>
    <w:rsid w:val="00301F71"/>
    <w:rsid w:val="0030201D"/>
    <w:rsid w:val="00302489"/>
    <w:rsid w:val="003024D9"/>
    <w:rsid w:val="00302704"/>
    <w:rsid w:val="00302837"/>
    <w:rsid w:val="00302B15"/>
    <w:rsid w:val="00302B67"/>
    <w:rsid w:val="00302D84"/>
    <w:rsid w:val="00302DA7"/>
    <w:rsid w:val="00302DEF"/>
    <w:rsid w:val="00302E0D"/>
    <w:rsid w:val="00303035"/>
    <w:rsid w:val="00303180"/>
    <w:rsid w:val="00303279"/>
    <w:rsid w:val="003032E9"/>
    <w:rsid w:val="00303351"/>
    <w:rsid w:val="003033C6"/>
    <w:rsid w:val="00303892"/>
    <w:rsid w:val="003038C3"/>
    <w:rsid w:val="00303AB4"/>
    <w:rsid w:val="00303B9D"/>
    <w:rsid w:val="00303CA5"/>
    <w:rsid w:val="00303CDC"/>
    <w:rsid w:val="00303D32"/>
    <w:rsid w:val="00304011"/>
    <w:rsid w:val="00304255"/>
    <w:rsid w:val="0030438F"/>
    <w:rsid w:val="003044BA"/>
    <w:rsid w:val="00304BD4"/>
    <w:rsid w:val="00304E44"/>
    <w:rsid w:val="00304ECD"/>
    <w:rsid w:val="00305201"/>
    <w:rsid w:val="003053ED"/>
    <w:rsid w:val="003055D5"/>
    <w:rsid w:val="003056E4"/>
    <w:rsid w:val="00305915"/>
    <w:rsid w:val="003059DD"/>
    <w:rsid w:val="00305A03"/>
    <w:rsid w:val="00305A06"/>
    <w:rsid w:val="00305BE0"/>
    <w:rsid w:val="003060E7"/>
    <w:rsid w:val="0030611D"/>
    <w:rsid w:val="003063BC"/>
    <w:rsid w:val="00306462"/>
    <w:rsid w:val="00306802"/>
    <w:rsid w:val="00306804"/>
    <w:rsid w:val="0030690C"/>
    <w:rsid w:val="00306E28"/>
    <w:rsid w:val="00307256"/>
    <w:rsid w:val="00307273"/>
    <w:rsid w:val="00307520"/>
    <w:rsid w:val="0030789E"/>
    <w:rsid w:val="00307A1D"/>
    <w:rsid w:val="00307AE1"/>
    <w:rsid w:val="00307B3B"/>
    <w:rsid w:val="00307BBF"/>
    <w:rsid w:val="00307DB9"/>
    <w:rsid w:val="00307EEC"/>
    <w:rsid w:val="00307FAB"/>
    <w:rsid w:val="00307FB4"/>
    <w:rsid w:val="0031023C"/>
    <w:rsid w:val="003103A7"/>
    <w:rsid w:val="003103BC"/>
    <w:rsid w:val="003104A0"/>
    <w:rsid w:val="003104FB"/>
    <w:rsid w:val="00310501"/>
    <w:rsid w:val="00310547"/>
    <w:rsid w:val="00310585"/>
    <w:rsid w:val="00310936"/>
    <w:rsid w:val="00310965"/>
    <w:rsid w:val="00310AD3"/>
    <w:rsid w:val="00310B67"/>
    <w:rsid w:val="00310C60"/>
    <w:rsid w:val="00310D04"/>
    <w:rsid w:val="00310D7F"/>
    <w:rsid w:val="00310E20"/>
    <w:rsid w:val="00310EB3"/>
    <w:rsid w:val="00310F2C"/>
    <w:rsid w:val="00310F5E"/>
    <w:rsid w:val="00311098"/>
    <w:rsid w:val="003110F7"/>
    <w:rsid w:val="003111AC"/>
    <w:rsid w:val="003112A7"/>
    <w:rsid w:val="0031175A"/>
    <w:rsid w:val="0031190C"/>
    <w:rsid w:val="00311C07"/>
    <w:rsid w:val="00311C84"/>
    <w:rsid w:val="00311DCE"/>
    <w:rsid w:val="00311E0C"/>
    <w:rsid w:val="0031202C"/>
    <w:rsid w:val="0031213B"/>
    <w:rsid w:val="00312167"/>
    <w:rsid w:val="003121B2"/>
    <w:rsid w:val="0031264B"/>
    <w:rsid w:val="0031279D"/>
    <w:rsid w:val="00312A54"/>
    <w:rsid w:val="00312B33"/>
    <w:rsid w:val="00312BCA"/>
    <w:rsid w:val="00312CA0"/>
    <w:rsid w:val="00312D2C"/>
    <w:rsid w:val="00312D8A"/>
    <w:rsid w:val="00313217"/>
    <w:rsid w:val="00313494"/>
    <w:rsid w:val="00313741"/>
    <w:rsid w:val="00313859"/>
    <w:rsid w:val="0031396E"/>
    <w:rsid w:val="003139C8"/>
    <w:rsid w:val="00313CB2"/>
    <w:rsid w:val="00313DD9"/>
    <w:rsid w:val="00313F50"/>
    <w:rsid w:val="0031406D"/>
    <w:rsid w:val="0031408F"/>
    <w:rsid w:val="00314282"/>
    <w:rsid w:val="003143BF"/>
    <w:rsid w:val="003145EF"/>
    <w:rsid w:val="00314E17"/>
    <w:rsid w:val="00314ECA"/>
    <w:rsid w:val="00314FE0"/>
    <w:rsid w:val="00315086"/>
    <w:rsid w:val="003150D2"/>
    <w:rsid w:val="003151A1"/>
    <w:rsid w:val="003154D5"/>
    <w:rsid w:val="00315619"/>
    <w:rsid w:val="003157D0"/>
    <w:rsid w:val="00315A79"/>
    <w:rsid w:val="00315D3F"/>
    <w:rsid w:val="00315D47"/>
    <w:rsid w:val="003160DF"/>
    <w:rsid w:val="00316230"/>
    <w:rsid w:val="003162B7"/>
    <w:rsid w:val="00316852"/>
    <w:rsid w:val="003168A3"/>
    <w:rsid w:val="00316963"/>
    <w:rsid w:val="003169A9"/>
    <w:rsid w:val="00316BA9"/>
    <w:rsid w:val="00316CA6"/>
    <w:rsid w:val="00316F24"/>
    <w:rsid w:val="00317148"/>
    <w:rsid w:val="00317375"/>
    <w:rsid w:val="003174F8"/>
    <w:rsid w:val="0031787C"/>
    <w:rsid w:val="00317A82"/>
    <w:rsid w:val="00317B06"/>
    <w:rsid w:val="00317BC5"/>
    <w:rsid w:val="00317C25"/>
    <w:rsid w:val="00317D7E"/>
    <w:rsid w:val="00317EE9"/>
    <w:rsid w:val="00317FA5"/>
    <w:rsid w:val="00320259"/>
    <w:rsid w:val="00320318"/>
    <w:rsid w:val="00320493"/>
    <w:rsid w:val="00320545"/>
    <w:rsid w:val="003207B8"/>
    <w:rsid w:val="00320A1C"/>
    <w:rsid w:val="00320E00"/>
    <w:rsid w:val="003210F5"/>
    <w:rsid w:val="0032118A"/>
    <w:rsid w:val="0032146F"/>
    <w:rsid w:val="00321B01"/>
    <w:rsid w:val="00321E56"/>
    <w:rsid w:val="00321E65"/>
    <w:rsid w:val="00321F72"/>
    <w:rsid w:val="00322260"/>
    <w:rsid w:val="0032227A"/>
    <w:rsid w:val="003225AB"/>
    <w:rsid w:val="003225CA"/>
    <w:rsid w:val="00322766"/>
    <w:rsid w:val="003228D9"/>
    <w:rsid w:val="003229D6"/>
    <w:rsid w:val="00322A51"/>
    <w:rsid w:val="00322D00"/>
    <w:rsid w:val="00322D24"/>
    <w:rsid w:val="003234B2"/>
    <w:rsid w:val="00323610"/>
    <w:rsid w:val="0032370A"/>
    <w:rsid w:val="00323716"/>
    <w:rsid w:val="0032396F"/>
    <w:rsid w:val="00323993"/>
    <w:rsid w:val="00323E94"/>
    <w:rsid w:val="00323EBF"/>
    <w:rsid w:val="00324045"/>
    <w:rsid w:val="0032404F"/>
    <w:rsid w:val="00324277"/>
    <w:rsid w:val="0032473C"/>
    <w:rsid w:val="003247D6"/>
    <w:rsid w:val="0032491A"/>
    <w:rsid w:val="00324C0A"/>
    <w:rsid w:val="00324D13"/>
    <w:rsid w:val="00325043"/>
    <w:rsid w:val="00325286"/>
    <w:rsid w:val="0032550E"/>
    <w:rsid w:val="0032573D"/>
    <w:rsid w:val="003257B8"/>
    <w:rsid w:val="003257DC"/>
    <w:rsid w:val="00325AE0"/>
    <w:rsid w:val="00325F34"/>
    <w:rsid w:val="00325FC0"/>
    <w:rsid w:val="0032606B"/>
    <w:rsid w:val="00326096"/>
    <w:rsid w:val="0032620E"/>
    <w:rsid w:val="00326558"/>
    <w:rsid w:val="00326628"/>
    <w:rsid w:val="00326A7F"/>
    <w:rsid w:val="00326ACD"/>
    <w:rsid w:val="00326BBA"/>
    <w:rsid w:val="00326D6D"/>
    <w:rsid w:val="00327164"/>
    <w:rsid w:val="003272A4"/>
    <w:rsid w:val="003272B0"/>
    <w:rsid w:val="00327424"/>
    <w:rsid w:val="003279D5"/>
    <w:rsid w:val="00327AD5"/>
    <w:rsid w:val="00327DE0"/>
    <w:rsid w:val="00327E32"/>
    <w:rsid w:val="00327E8D"/>
    <w:rsid w:val="00327F10"/>
    <w:rsid w:val="00327F9E"/>
    <w:rsid w:val="0033002F"/>
    <w:rsid w:val="003300A6"/>
    <w:rsid w:val="00330474"/>
    <w:rsid w:val="003305F7"/>
    <w:rsid w:val="00330867"/>
    <w:rsid w:val="00330A06"/>
    <w:rsid w:val="00330A22"/>
    <w:rsid w:val="00330AD1"/>
    <w:rsid w:val="00330B76"/>
    <w:rsid w:val="00330CAE"/>
    <w:rsid w:val="00330E10"/>
    <w:rsid w:val="00330ED2"/>
    <w:rsid w:val="00331026"/>
    <w:rsid w:val="00331543"/>
    <w:rsid w:val="00331568"/>
    <w:rsid w:val="00331593"/>
    <w:rsid w:val="003315C1"/>
    <w:rsid w:val="00331B95"/>
    <w:rsid w:val="00331BC3"/>
    <w:rsid w:val="00331DC8"/>
    <w:rsid w:val="00331FD8"/>
    <w:rsid w:val="0033224C"/>
    <w:rsid w:val="00332758"/>
    <w:rsid w:val="00332841"/>
    <w:rsid w:val="00332A65"/>
    <w:rsid w:val="00332A8B"/>
    <w:rsid w:val="00332BE0"/>
    <w:rsid w:val="00332C61"/>
    <w:rsid w:val="00332F47"/>
    <w:rsid w:val="00332F76"/>
    <w:rsid w:val="00332F90"/>
    <w:rsid w:val="00332FAF"/>
    <w:rsid w:val="00332FD3"/>
    <w:rsid w:val="00333437"/>
    <w:rsid w:val="00333475"/>
    <w:rsid w:val="003336BF"/>
    <w:rsid w:val="003337B9"/>
    <w:rsid w:val="00333873"/>
    <w:rsid w:val="00333A09"/>
    <w:rsid w:val="00333C60"/>
    <w:rsid w:val="00333C92"/>
    <w:rsid w:val="00333D81"/>
    <w:rsid w:val="00333E31"/>
    <w:rsid w:val="0033419E"/>
    <w:rsid w:val="003341A1"/>
    <w:rsid w:val="0033457A"/>
    <w:rsid w:val="00334D65"/>
    <w:rsid w:val="00335054"/>
    <w:rsid w:val="0033507B"/>
    <w:rsid w:val="00335118"/>
    <w:rsid w:val="0033519B"/>
    <w:rsid w:val="00335245"/>
    <w:rsid w:val="003353FE"/>
    <w:rsid w:val="0033570B"/>
    <w:rsid w:val="0033589A"/>
    <w:rsid w:val="00335BDC"/>
    <w:rsid w:val="00335CFC"/>
    <w:rsid w:val="00335ED5"/>
    <w:rsid w:val="00335FE3"/>
    <w:rsid w:val="0033618F"/>
    <w:rsid w:val="00336485"/>
    <w:rsid w:val="003364F9"/>
    <w:rsid w:val="00336500"/>
    <w:rsid w:val="00336529"/>
    <w:rsid w:val="003365E8"/>
    <w:rsid w:val="003365F5"/>
    <w:rsid w:val="00336B02"/>
    <w:rsid w:val="00336C1F"/>
    <w:rsid w:val="0033702A"/>
    <w:rsid w:val="003374D2"/>
    <w:rsid w:val="00337600"/>
    <w:rsid w:val="003376B5"/>
    <w:rsid w:val="003376E9"/>
    <w:rsid w:val="0033785D"/>
    <w:rsid w:val="00337AFA"/>
    <w:rsid w:val="00337C4C"/>
    <w:rsid w:val="00337D0C"/>
    <w:rsid w:val="00337E13"/>
    <w:rsid w:val="0034021C"/>
    <w:rsid w:val="003402FF"/>
    <w:rsid w:val="0034041B"/>
    <w:rsid w:val="003405A3"/>
    <w:rsid w:val="003405DB"/>
    <w:rsid w:val="0034071B"/>
    <w:rsid w:val="003408DE"/>
    <w:rsid w:val="003409FA"/>
    <w:rsid w:val="00340AB6"/>
    <w:rsid w:val="00340CE4"/>
    <w:rsid w:val="00340D80"/>
    <w:rsid w:val="00340E8B"/>
    <w:rsid w:val="00340EDA"/>
    <w:rsid w:val="00340FDD"/>
    <w:rsid w:val="00341386"/>
    <w:rsid w:val="003414E1"/>
    <w:rsid w:val="0034175C"/>
    <w:rsid w:val="0034178B"/>
    <w:rsid w:val="003418E6"/>
    <w:rsid w:val="00341B33"/>
    <w:rsid w:val="00341B62"/>
    <w:rsid w:val="00341C09"/>
    <w:rsid w:val="00341C4C"/>
    <w:rsid w:val="00341E28"/>
    <w:rsid w:val="00341F6A"/>
    <w:rsid w:val="00341F7F"/>
    <w:rsid w:val="003420CE"/>
    <w:rsid w:val="003423B0"/>
    <w:rsid w:val="003423E1"/>
    <w:rsid w:val="003424F4"/>
    <w:rsid w:val="0034263E"/>
    <w:rsid w:val="003427D1"/>
    <w:rsid w:val="00342C4E"/>
    <w:rsid w:val="00342FA5"/>
    <w:rsid w:val="0034306E"/>
    <w:rsid w:val="0034317F"/>
    <w:rsid w:val="00343314"/>
    <w:rsid w:val="003434A9"/>
    <w:rsid w:val="00343514"/>
    <w:rsid w:val="00343736"/>
    <w:rsid w:val="00343A1E"/>
    <w:rsid w:val="00343F1A"/>
    <w:rsid w:val="0034407F"/>
    <w:rsid w:val="003441B5"/>
    <w:rsid w:val="00344289"/>
    <w:rsid w:val="00344541"/>
    <w:rsid w:val="00344613"/>
    <w:rsid w:val="00344715"/>
    <w:rsid w:val="003448BF"/>
    <w:rsid w:val="003449D2"/>
    <w:rsid w:val="00344C69"/>
    <w:rsid w:val="00344DE9"/>
    <w:rsid w:val="00344E5A"/>
    <w:rsid w:val="00344ED4"/>
    <w:rsid w:val="00344ED6"/>
    <w:rsid w:val="003456D6"/>
    <w:rsid w:val="00345B52"/>
    <w:rsid w:val="00345E6A"/>
    <w:rsid w:val="00345E89"/>
    <w:rsid w:val="00345E8F"/>
    <w:rsid w:val="00345F49"/>
    <w:rsid w:val="0034618E"/>
    <w:rsid w:val="0034625D"/>
    <w:rsid w:val="0034630E"/>
    <w:rsid w:val="00346321"/>
    <w:rsid w:val="003463C1"/>
    <w:rsid w:val="00346795"/>
    <w:rsid w:val="00346BA3"/>
    <w:rsid w:val="00346C33"/>
    <w:rsid w:val="00346C6B"/>
    <w:rsid w:val="00346DAB"/>
    <w:rsid w:val="00346E75"/>
    <w:rsid w:val="00346EC2"/>
    <w:rsid w:val="0034703A"/>
    <w:rsid w:val="003471EE"/>
    <w:rsid w:val="003478D8"/>
    <w:rsid w:val="00347998"/>
    <w:rsid w:val="00347B7C"/>
    <w:rsid w:val="00347E12"/>
    <w:rsid w:val="00347F44"/>
    <w:rsid w:val="00347F85"/>
    <w:rsid w:val="00347F8D"/>
    <w:rsid w:val="003502B4"/>
    <w:rsid w:val="003502D9"/>
    <w:rsid w:val="003503ED"/>
    <w:rsid w:val="00350490"/>
    <w:rsid w:val="003506AE"/>
    <w:rsid w:val="00350834"/>
    <w:rsid w:val="00350894"/>
    <w:rsid w:val="00350B96"/>
    <w:rsid w:val="00350CAD"/>
    <w:rsid w:val="00350DA9"/>
    <w:rsid w:val="0035103A"/>
    <w:rsid w:val="00351456"/>
    <w:rsid w:val="00351508"/>
    <w:rsid w:val="00351597"/>
    <w:rsid w:val="0035180F"/>
    <w:rsid w:val="00351D18"/>
    <w:rsid w:val="00351E59"/>
    <w:rsid w:val="00352100"/>
    <w:rsid w:val="00352162"/>
    <w:rsid w:val="003521D0"/>
    <w:rsid w:val="00352408"/>
    <w:rsid w:val="003529B4"/>
    <w:rsid w:val="00352B74"/>
    <w:rsid w:val="00352C87"/>
    <w:rsid w:val="00352CFE"/>
    <w:rsid w:val="00352D5F"/>
    <w:rsid w:val="00352E65"/>
    <w:rsid w:val="00352E73"/>
    <w:rsid w:val="003531C5"/>
    <w:rsid w:val="0035323A"/>
    <w:rsid w:val="003534C3"/>
    <w:rsid w:val="0035386C"/>
    <w:rsid w:val="00353A8B"/>
    <w:rsid w:val="00353B46"/>
    <w:rsid w:val="00353C9D"/>
    <w:rsid w:val="00353E0F"/>
    <w:rsid w:val="00353E17"/>
    <w:rsid w:val="00353ED7"/>
    <w:rsid w:val="003541CB"/>
    <w:rsid w:val="00354238"/>
    <w:rsid w:val="0035434D"/>
    <w:rsid w:val="00354357"/>
    <w:rsid w:val="0035447B"/>
    <w:rsid w:val="003545EF"/>
    <w:rsid w:val="0035483B"/>
    <w:rsid w:val="0035484B"/>
    <w:rsid w:val="0035504C"/>
    <w:rsid w:val="003550D2"/>
    <w:rsid w:val="0035513D"/>
    <w:rsid w:val="0035542A"/>
    <w:rsid w:val="0035559C"/>
    <w:rsid w:val="0035563B"/>
    <w:rsid w:val="00355696"/>
    <w:rsid w:val="0035571B"/>
    <w:rsid w:val="00355775"/>
    <w:rsid w:val="00355A50"/>
    <w:rsid w:val="00355AB2"/>
    <w:rsid w:val="00355B56"/>
    <w:rsid w:val="00355C37"/>
    <w:rsid w:val="00355EA1"/>
    <w:rsid w:val="003562AB"/>
    <w:rsid w:val="0035633B"/>
    <w:rsid w:val="00356397"/>
    <w:rsid w:val="00356557"/>
    <w:rsid w:val="003565B9"/>
    <w:rsid w:val="003566E0"/>
    <w:rsid w:val="00356862"/>
    <w:rsid w:val="00356885"/>
    <w:rsid w:val="003569A5"/>
    <w:rsid w:val="003569F0"/>
    <w:rsid w:val="00356A37"/>
    <w:rsid w:val="003571AD"/>
    <w:rsid w:val="003573C4"/>
    <w:rsid w:val="0035746A"/>
    <w:rsid w:val="003574A4"/>
    <w:rsid w:val="00357579"/>
    <w:rsid w:val="00357587"/>
    <w:rsid w:val="00357707"/>
    <w:rsid w:val="00357900"/>
    <w:rsid w:val="0035799E"/>
    <w:rsid w:val="00357C5D"/>
    <w:rsid w:val="00357DC0"/>
    <w:rsid w:val="00357F20"/>
    <w:rsid w:val="00357F26"/>
    <w:rsid w:val="0036040D"/>
    <w:rsid w:val="00360488"/>
    <w:rsid w:val="0036056D"/>
    <w:rsid w:val="003605BA"/>
    <w:rsid w:val="00360AFE"/>
    <w:rsid w:val="00360B61"/>
    <w:rsid w:val="00360CF9"/>
    <w:rsid w:val="00361026"/>
    <w:rsid w:val="00361064"/>
    <w:rsid w:val="00361192"/>
    <w:rsid w:val="00361376"/>
    <w:rsid w:val="003613A6"/>
    <w:rsid w:val="0036146F"/>
    <w:rsid w:val="00361504"/>
    <w:rsid w:val="00361519"/>
    <w:rsid w:val="00361886"/>
    <w:rsid w:val="00361941"/>
    <w:rsid w:val="00361C31"/>
    <w:rsid w:val="00361CEC"/>
    <w:rsid w:val="003622D9"/>
    <w:rsid w:val="003623DE"/>
    <w:rsid w:val="003625FF"/>
    <w:rsid w:val="0036299D"/>
    <w:rsid w:val="00362CE5"/>
    <w:rsid w:val="003630F2"/>
    <w:rsid w:val="00363168"/>
    <w:rsid w:val="00363392"/>
    <w:rsid w:val="0036354A"/>
    <w:rsid w:val="00363557"/>
    <w:rsid w:val="00363609"/>
    <w:rsid w:val="0036361F"/>
    <w:rsid w:val="00363805"/>
    <w:rsid w:val="00363858"/>
    <w:rsid w:val="00363907"/>
    <w:rsid w:val="00363C0B"/>
    <w:rsid w:val="00363F38"/>
    <w:rsid w:val="00363FB6"/>
    <w:rsid w:val="00364134"/>
    <w:rsid w:val="0036426A"/>
    <w:rsid w:val="003642BC"/>
    <w:rsid w:val="00364484"/>
    <w:rsid w:val="00364696"/>
    <w:rsid w:val="003647AA"/>
    <w:rsid w:val="0036496D"/>
    <w:rsid w:val="003649C1"/>
    <w:rsid w:val="00364E10"/>
    <w:rsid w:val="00364E92"/>
    <w:rsid w:val="00365374"/>
    <w:rsid w:val="00365434"/>
    <w:rsid w:val="00365650"/>
    <w:rsid w:val="0036576D"/>
    <w:rsid w:val="00365F82"/>
    <w:rsid w:val="003660FF"/>
    <w:rsid w:val="003661A8"/>
    <w:rsid w:val="0036632E"/>
    <w:rsid w:val="00366330"/>
    <w:rsid w:val="00366482"/>
    <w:rsid w:val="00366763"/>
    <w:rsid w:val="0036690F"/>
    <w:rsid w:val="00366CB2"/>
    <w:rsid w:val="00366E59"/>
    <w:rsid w:val="00366E6F"/>
    <w:rsid w:val="003671C3"/>
    <w:rsid w:val="003671C6"/>
    <w:rsid w:val="00367406"/>
    <w:rsid w:val="003675A1"/>
    <w:rsid w:val="003676B4"/>
    <w:rsid w:val="003676F8"/>
    <w:rsid w:val="0036771B"/>
    <w:rsid w:val="00367833"/>
    <w:rsid w:val="00367C00"/>
    <w:rsid w:val="00370037"/>
    <w:rsid w:val="0037048E"/>
    <w:rsid w:val="00370541"/>
    <w:rsid w:val="00370578"/>
    <w:rsid w:val="003705F6"/>
    <w:rsid w:val="003706EE"/>
    <w:rsid w:val="003707FE"/>
    <w:rsid w:val="00370803"/>
    <w:rsid w:val="00370845"/>
    <w:rsid w:val="00370AE1"/>
    <w:rsid w:val="00370C54"/>
    <w:rsid w:val="00370E0F"/>
    <w:rsid w:val="00370E6B"/>
    <w:rsid w:val="003710F6"/>
    <w:rsid w:val="003713A6"/>
    <w:rsid w:val="00371400"/>
    <w:rsid w:val="00371419"/>
    <w:rsid w:val="003715EF"/>
    <w:rsid w:val="003719AB"/>
    <w:rsid w:val="00371AB0"/>
    <w:rsid w:val="00371ABD"/>
    <w:rsid w:val="00371AEE"/>
    <w:rsid w:val="00371F03"/>
    <w:rsid w:val="003721BC"/>
    <w:rsid w:val="0037225D"/>
    <w:rsid w:val="003722F4"/>
    <w:rsid w:val="0037240A"/>
    <w:rsid w:val="00372720"/>
    <w:rsid w:val="003727CA"/>
    <w:rsid w:val="003727E5"/>
    <w:rsid w:val="00372908"/>
    <w:rsid w:val="00372B2A"/>
    <w:rsid w:val="00372B2D"/>
    <w:rsid w:val="00372B58"/>
    <w:rsid w:val="00372D21"/>
    <w:rsid w:val="00372ED3"/>
    <w:rsid w:val="0037324A"/>
    <w:rsid w:val="0037341C"/>
    <w:rsid w:val="003737ED"/>
    <w:rsid w:val="00373814"/>
    <w:rsid w:val="0037383A"/>
    <w:rsid w:val="00373870"/>
    <w:rsid w:val="00373AE9"/>
    <w:rsid w:val="00373B81"/>
    <w:rsid w:val="00373CD9"/>
    <w:rsid w:val="00373D30"/>
    <w:rsid w:val="00373F09"/>
    <w:rsid w:val="00374380"/>
    <w:rsid w:val="003745AD"/>
    <w:rsid w:val="00374665"/>
    <w:rsid w:val="0037483C"/>
    <w:rsid w:val="00374B35"/>
    <w:rsid w:val="00374F04"/>
    <w:rsid w:val="00375404"/>
    <w:rsid w:val="003754EC"/>
    <w:rsid w:val="003755EB"/>
    <w:rsid w:val="00375696"/>
    <w:rsid w:val="003756C2"/>
    <w:rsid w:val="0037586D"/>
    <w:rsid w:val="00375A7A"/>
    <w:rsid w:val="00375EA5"/>
    <w:rsid w:val="0037633F"/>
    <w:rsid w:val="00376344"/>
    <w:rsid w:val="00376411"/>
    <w:rsid w:val="00376584"/>
    <w:rsid w:val="0037660C"/>
    <w:rsid w:val="0037674F"/>
    <w:rsid w:val="00376807"/>
    <w:rsid w:val="00376933"/>
    <w:rsid w:val="00376A82"/>
    <w:rsid w:val="00376D45"/>
    <w:rsid w:val="00377152"/>
    <w:rsid w:val="003771E3"/>
    <w:rsid w:val="0037727C"/>
    <w:rsid w:val="00377719"/>
    <w:rsid w:val="0037779A"/>
    <w:rsid w:val="003779C2"/>
    <w:rsid w:val="00377B6E"/>
    <w:rsid w:val="00377BB3"/>
    <w:rsid w:val="00377DE4"/>
    <w:rsid w:val="00380273"/>
    <w:rsid w:val="003804E6"/>
    <w:rsid w:val="00380529"/>
    <w:rsid w:val="00380A3A"/>
    <w:rsid w:val="00380A41"/>
    <w:rsid w:val="00380A6C"/>
    <w:rsid w:val="00380C25"/>
    <w:rsid w:val="00380E74"/>
    <w:rsid w:val="00380FB6"/>
    <w:rsid w:val="00381404"/>
    <w:rsid w:val="00381909"/>
    <w:rsid w:val="00381A3A"/>
    <w:rsid w:val="00381F00"/>
    <w:rsid w:val="00381F2C"/>
    <w:rsid w:val="00381F9E"/>
    <w:rsid w:val="003821B3"/>
    <w:rsid w:val="00382418"/>
    <w:rsid w:val="003824D2"/>
    <w:rsid w:val="00382524"/>
    <w:rsid w:val="00382593"/>
    <w:rsid w:val="00382ADF"/>
    <w:rsid w:val="00382B48"/>
    <w:rsid w:val="00382C91"/>
    <w:rsid w:val="00382CBC"/>
    <w:rsid w:val="00382CC1"/>
    <w:rsid w:val="00382F1F"/>
    <w:rsid w:val="003830C8"/>
    <w:rsid w:val="003830EA"/>
    <w:rsid w:val="00383132"/>
    <w:rsid w:val="003831F4"/>
    <w:rsid w:val="00383518"/>
    <w:rsid w:val="00383700"/>
    <w:rsid w:val="0038389E"/>
    <w:rsid w:val="00383A5D"/>
    <w:rsid w:val="00383A8E"/>
    <w:rsid w:val="00383C47"/>
    <w:rsid w:val="00383C9E"/>
    <w:rsid w:val="00383F3D"/>
    <w:rsid w:val="0038472B"/>
    <w:rsid w:val="00384790"/>
    <w:rsid w:val="00384896"/>
    <w:rsid w:val="003849EC"/>
    <w:rsid w:val="00384A3C"/>
    <w:rsid w:val="00384AC4"/>
    <w:rsid w:val="00384B98"/>
    <w:rsid w:val="00384BF5"/>
    <w:rsid w:val="00384C91"/>
    <w:rsid w:val="00384CC0"/>
    <w:rsid w:val="003850A4"/>
    <w:rsid w:val="00385224"/>
    <w:rsid w:val="00385370"/>
    <w:rsid w:val="00385472"/>
    <w:rsid w:val="003854C8"/>
    <w:rsid w:val="003856FA"/>
    <w:rsid w:val="0038588E"/>
    <w:rsid w:val="003858FF"/>
    <w:rsid w:val="003859CA"/>
    <w:rsid w:val="00385A24"/>
    <w:rsid w:val="00385D07"/>
    <w:rsid w:val="0038638B"/>
    <w:rsid w:val="0038661C"/>
    <w:rsid w:val="003866FC"/>
    <w:rsid w:val="00386950"/>
    <w:rsid w:val="00386975"/>
    <w:rsid w:val="00386978"/>
    <w:rsid w:val="00386A15"/>
    <w:rsid w:val="00386A81"/>
    <w:rsid w:val="00386EC5"/>
    <w:rsid w:val="00387192"/>
    <w:rsid w:val="003871FA"/>
    <w:rsid w:val="00387368"/>
    <w:rsid w:val="003876A8"/>
    <w:rsid w:val="0038770E"/>
    <w:rsid w:val="00387818"/>
    <w:rsid w:val="00387922"/>
    <w:rsid w:val="00387A89"/>
    <w:rsid w:val="00387DF4"/>
    <w:rsid w:val="00387E40"/>
    <w:rsid w:val="00387F02"/>
    <w:rsid w:val="00387F17"/>
    <w:rsid w:val="00387F5D"/>
    <w:rsid w:val="0039002F"/>
    <w:rsid w:val="0039019E"/>
    <w:rsid w:val="0039050B"/>
    <w:rsid w:val="0039052B"/>
    <w:rsid w:val="003905CD"/>
    <w:rsid w:val="003907BC"/>
    <w:rsid w:val="00390B7B"/>
    <w:rsid w:val="00390F8E"/>
    <w:rsid w:val="0039105F"/>
    <w:rsid w:val="00391071"/>
    <w:rsid w:val="00391414"/>
    <w:rsid w:val="003914F1"/>
    <w:rsid w:val="00391594"/>
    <w:rsid w:val="0039168F"/>
    <w:rsid w:val="00391771"/>
    <w:rsid w:val="00391CDE"/>
    <w:rsid w:val="00391D58"/>
    <w:rsid w:val="00391E8C"/>
    <w:rsid w:val="00392043"/>
    <w:rsid w:val="003928EA"/>
    <w:rsid w:val="00392BA1"/>
    <w:rsid w:val="00392CAD"/>
    <w:rsid w:val="00392CE8"/>
    <w:rsid w:val="00392D62"/>
    <w:rsid w:val="00392D83"/>
    <w:rsid w:val="00392DB3"/>
    <w:rsid w:val="003931A1"/>
    <w:rsid w:val="00393213"/>
    <w:rsid w:val="0039330E"/>
    <w:rsid w:val="00393493"/>
    <w:rsid w:val="003937EF"/>
    <w:rsid w:val="00393961"/>
    <w:rsid w:val="003940AE"/>
    <w:rsid w:val="00394335"/>
    <w:rsid w:val="00394521"/>
    <w:rsid w:val="00394699"/>
    <w:rsid w:val="00394712"/>
    <w:rsid w:val="0039497A"/>
    <w:rsid w:val="00394B1F"/>
    <w:rsid w:val="00394C0B"/>
    <w:rsid w:val="00394D3A"/>
    <w:rsid w:val="00394FF9"/>
    <w:rsid w:val="003951B1"/>
    <w:rsid w:val="0039539A"/>
    <w:rsid w:val="0039577D"/>
    <w:rsid w:val="003957DF"/>
    <w:rsid w:val="0039594A"/>
    <w:rsid w:val="00395A04"/>
    <w:rsid w:val="00395D81"/>
    <w:rsid w:val="00395E06"/>
    <w:rsid w:val="00395E74"/>
    <w:rsid w:val="00395E85"/>
    <w:rsid w:val="00395FD3"/>
    <w:rsid w:val="003961A5"/>
    <w:rsid w:val="00396248"/>
    <w:rsid w:val="003964FA"/>
    <w:rsid w:val="0039667D"/>
    <w:rsid w:val="0039674C"/>
    <w:rsid w:val="00396807"/>
    <w:rsid w:val="00396915"/>
    <w:rsid w:val="00396A5D"/>
    <w:rsid w:val="00396A7C"/>
    <w:rsid w:val="00396B16"/>
    <w:rsid w:val="00396D0A"/>
    <w:rsid w:val="00396F35"/>
    <w:rsid w:val="003970E4"/>
    <w:rsid w:val="00397150"/>
    <w:rsid w:val="003971B0"/>
    <w:rsid w:val="003975FA"/>
    <w:rsid w:val="003976D8"/>
    <w:rsid w:val="003979A5"/>
    <w:rsid w:val="00397B1C"/>
    <w:rsid w:val="00397B4E"/>
    <w:rsid w:val="00397B7C"/>
    <w:rsid w:val="00397F1B"/>
    <w:rsid w:val="00397F40"/>
    <w:rsid w:val="003A0420"/>
    <w:rsid w:val="003A0826"/>
    <w:rsid w:val="003A08EA"/>
    <w:rsid w:val="003A0952"/>
    <w:rsid w:val="003A0BD8"/>
    <w:rsid w:val="003A0DBC"/>
    <w:rsid w:val="003A0EBB"/>
    <w:rsid w:val="003A1178"/>
    <w:rsid w:val="003A14D6"/>
    <w:rsid w:val="003A179D"/>
    <w:rsid w:val="003A19BF"/>
    <w:rsid w:val="003A19F5"/>
    <w:rsid w:val="003A1A86"/>
    <w:rsid w:val="003A1B16"/>
    <w:rsid w:val="003A1E59"/>
    <w:rsid w:val="003A2021"/>
    <w:rsid w:val="003A2024"/>
    <w:rsid w:val="003A213E"/>
    <w:rsid w:val="003A224D"/>
    <w:rsid w:val="003A2522"/>
    <w:rsid w:val="003A264D"/>
    <w:rsid w:val="003A2893"/>
    <w:rsid w:val="003A2A52"/>
    <w:rsid w:val="003A2CA8"/>
    <w:rsid w:val="003A2E26"/>
    <w:rsid w:val="003A2E59"/>
    <w:rsid w:val="003A2E85"/>
    <w:rsid w:val="003A30B4"/>
    <w:rsid w:val="003A3113"/>
    <w:rsid w:val="003A35D4"/>
    <w:rsid w:val="003A3679"/>
    <w:rsid w:val="003A3713"/>
    <w:rsid w:val="003A3731"/>
    <w:rsid w:val="003A37BF"/>
    <w:rsid w:val="003A3816"/>
    <w:rsid w:val="003A406F"/>
    <w:rsid w:val="003A41C9"/>
    <w:rsid w:val="003A4486"/>
    <w:rsid w:val="003A4557"/>
    <w:rsid w:val="003A4568"/>
    <w:rsid w:val="003A47CC"/>
    <w:rsid w:val="003A4867"/>
    <w:rsid w:val="003A49E9"/>
    <w:rsid w:val="003A4BC7"/>
    <w:rsid w:val="003A4E44"/>
    <w:rsid w:val="003A5197"/>
    <w:rsid w:val="003A527D"/>
    <w:rsid w:val="003A5365"/>
    <w:rsid w:val="003A54E4"/>
    <w:rsid w:val="003A5861"/>
    <w:rsid w:val="003A5A55"/>
    <w:rsid w:val="003A5BAA"/>
    <w:rsid w:val="003A61BA"/>
    <w:rsid w:val="003A62AE"/>
    <w:rsid w:val="003A62BF"/>
    <w:rsid w:val="003A62E3"/>
    <w:rsid w:val="003A63E4"/>
    <w:rsid w:val="003A64EC"/>
    <w:rsid w:val="003A6650"/>
    <w:rsid w:val="003A696B"/>
    <w:rsid w:val="003A6AB8"/>
    <w:rsid w:val="003A6C6B"/>
    <w:rsid w:val="003A6CF4"/>
    <w:rsid w:val="003A6E7E"/>
    <w:rsid w:val="003A75D3"/>
    <w:rsid w:val="003A7690"/>
    <w:rsid w:val="003A7B0C"/>
    <w:rsid w:val="003A7B8E"/>
    <w:rsid w:val="003A7BA5"/>
    <w:rsid w:val="003A7CED"/>
    <w:rsid w:val="003A7F06"/>
    <w:rsid w:val="003A7F22"/>
    <w:rsid w:val="003A7F56"/>
    <w:rsid w:val="003A7FD5"/>
    <w:rsid w:val="003B005F"/>
    <w:rsid w:val="003B00B6"/>
    <w:rsid w:val="003B07E0"/>
    <w:rsid w:val="003B0998"/>
    <w:rsid w:val="003B0A0D"/>
    <w:rsid w:val="003B0A32"/>
    <w:rsid w:val="003B0CB9"/>
    <w:rsid w:val="003B0ECB"/>
    <w:rsid w:val="003B103C"/>
    <w:rsid w:val="003B1114"/>
    <w:rsid w:val="003B134A"/>
    <w:rsid w:val="003B166E"/>
    <w:rsid w:val="003B1795"/>
    <w:rsid w:val="003B1964"/>
    <w:rsid w:val="003B1DEE"/>
    <w:rsid w:val="003B1E91"/>
    <w:rsid w:val="003B20A0"/>
    <w:rsid w:val="003B214C"/>
    <w:rsid w:val="003B21D6"/>
    <w:rsid w:val="003B240F"/>
    <w:rsid w:val="003B2472"/>
    <w:rsid w:val="003B2505"/>
    <w:rsid w:val="003B264B"/>
    <w:rsid w:val="003B2719"/>
    <w:rsid w:val="003B27C1"/>
    <w:rsid w:val="003B2906"/>
    <w:rsid w:val="003B2F29"/>
    <w:rsid w:val="003B2FB8"/>
    <w:rsid w:val="003B32AB"/>
    <w:rsid w:val="003B35BF"/>
    <w:rsid w:val="003B394D"/>
    <w:rsid w:val="003B3C6C"/>
    <w:rsid w:val="003B3E08"/>
    <w:rsid w:val="003B3E4F"/>
    <w:rsid w:val="003B3FD8"/>
    <w:rsid w:val="003B4103"/>
    <w:rsid w:val="003B4346"/>
    <w:rsid w:val="003B4380"/>
    <w:rsid w:val="003B43F6"/>
    <w:rsid w:val="003B4487"/>
    <w:rsid w:val="003B454D"/>
    <w:rsid w:val="003B46B5"/>
    <w:rsid w:val="003B486C"/>
    <w:rsid w:val="003B4BFD"/>
    <w:rsid w:val="003B4FDE"/>
    <w:rsid w:val="003B5033"/>
    <w:rsid w:val="003B514C"/>
    <w:rsid w:val="003B5590"/>
    <w:rsid w:val="003B56E0"/>
    <w:rsid w:val="003B57BA"/>
    <w:rsid w:val="003B57F9"/>
    <w:rsid w:val="003B5844"/>
    <w:rsid w:val="003B59F3"/>
    <w:rsid w:val="003B5CF8"/>
    <w:rsid w:val="003B5ED7"/>
    <w:rsid w:val="003B5F91"/>
    <w:rsid w:val="003B5FD4"/>
    <w:rsid w:val="003B6051"/>
    <w:rsid w:val="003B60CF"/>
    <w:rsid w:val="003B61CF"/>
    <w:rsid w:val="003B623A"/>
    <w:rsid w:val="003B6277"/>
    <w:rsid w:val="003B6310"/>
    <w:rsid w:val="003B655D"/>
    <w:rsid w:val="003B661C"/>
    <w:rsid w:val="003B6760"/>
    <w:rsid w:val="003B6895"/>
    <w:rsid w:val="003B6995"/>
    <w:rsid w:val="003B69CE"/>
    <w:rsid w:val="003B6B6E"/>
    <w:rsid w:val="003B6E54"/>
    <w:rsid w:val="003B6EB4"/>
    <w:rsid w:val="003B6FAA"/>
    <w:rsid w:val="003B7300"/>
    <w:rsid w:val="003B7463"/>
    <w:rsid w:val="003B762C"/>
    <w:rsid w:val="003B79B1"/>
    <w:rsid w:val="003B7A35"/>
    <w:rsid w:val="003B7B00"/>
    <w:rsid w:val="003B7BEB"/>
    <w:rsid w:val="003B7C81"/>
    <w:rsid w:val="003B7D2E"/>
    <w:rsid w:val="003B7D5F"/>
    <w:rsid w:val="003B7E20"/>
    <w:rsid w:val="003C0018"/>
    <w:rsid w:val="003C03B3"/>
    <w:rsid w:val="003C04CB"/>
    <w:rsid w:val="003C0531"/>
    <w:rsid w:val="003C05DB"/>
    <w:rsid w:val="003C05E2"/>
    <w:rsid w:val="003C064E"/>
    <w:rsid w:val="003C0783"/>
    <w:rsid w:val="003C088E"/>
    <w:rsid w:val="003C0AEA"/>
    <w:rsid w:val="003C0D40"/>
    <w:rsid w:val="003C1113"/>
    <w:rsid w:val="003C12F7"/>
    <w:rsid w:val="003C1352"/>
    <w:rsid w:val="003C1464"/>
    <w:rsid w:val="003C15FD"/>
    <w:rsid w:val="003C1C19"/>
    <w:rsid w:val="003C1CEA"/>
    <w:rsid w:val="003C1ED3"/>
    <w:rsid w:val="003C1FCB"/>
    <w:rsid w:val="003C2360"/>
    <w:rsid w:val="003C258B"/>
    <w:rsid w:val="003C25FB"/>
    <w:rsid w:val="003C26BC"/>
    <w:rsid w:val="003C2A44"/>
    <w:rsid w:val="003C2CC1"/>
    <w:rsid w:val="003C2EF2"/>
    <w:rsid w:val="003C2F73"/>
    <w:rsid w:val="003C2F83"/>
    <w:rsid w:val="003C31E9"/>
    <w:rsid w:val="003C3249"/>
    <w:rsid w:val="003C34CC"/>
    <w:rsid w:val="003C34EB"/>
    <w:rsid w:val="003C3C82"/>
    <w:rsid w:val="003C3F21"/>
    <w:rsid w:val="003C3FC6"/>
    <w:rsid w:val="003C4129"/>
    <w:rsid w:val="003C4663"/>
    <w:rsid w:val="003C48E9"/>
    <w:rsid w:val="003C4F18"/>
    <w:rsid w:val="003C4FAF"/>
    <w:rsid w:val="003C54DE"/>
    <w:rsid w:val="003C5763"/>
    <w:rsid w:val="003C5B0C"/>
    <w:rsid w:val="003C60CC"/>
    <w:rsid w:val="003C61DD"/>
    <w:rsid w:val="003C636B"/>
    <w:rsid w:val="003C6445"/>
    <w:rsid w:val="003C65CF"/>
    <w:rsid w:val="003C6653"/>
    <w:rsid w:val="003C6705"/>
    <w:rsid w:val="003C68CF"/>
    <w:rsid w:val="003C6C37"/>
    <w:rsid w:val="003C6C66"/>
    <w:rsid w:val="003C6D91"/>
    <w:rsid w:val="003C6DE3"/>
    <w:rsid w:val="003C6E5C"/>
    <w:rsid w:val="003C6E82"/>
    <w:rsid w:val="003C6F2A"/>
    <w:rsid w:val="003C6F4A"/>
    <w:rsid w:val="003C7118"/>
    <w:rsid w:val="003C76D1"/>
    <w:rsid w:val="003C76E7"/>
    <w:rsid w:val="003C786E"/>
    <w:rsid w:val="003C7C4A"/>
    <w:rsid w:val="003C7CFD"/>
    <w:rsid w:val="003C7DF1"/>
    <w:rsid w:val="003C7EE3"/>
    <w:rsid w:val="003C7F67"/>
    <w:rsid w:val="003C7FD5"/>
    <w:rsid w:val="003D0271"/>
    <w:rsid w:val="003D04B6"/>
    <w:rsid w:val="003D08ED"/>
    <w:rsid w:val="003D10A1"/>
    <w:rsid w:val="003D110D"/>
    <w:rsid w:val="003D1205"/>
    <w:rsid w:val="003D15BB"/>
    <w:rsid w:val="003D194A"/>
    <w:rsid w:val="003D1ABC"/>
    <w:rsid w:val="003D1DEB"/>
    <w:rsid w:val="003D1EB0"/>
    <w:rsid w:val="003D1FB8"/>
    <w:rsid w:val="003D1FDC"/>
    <w:rsid w:val="003D2013"/>
    <w:rsid w:val="003D217B"/>
    <w:rsid w:val="003D2184"/>
    <w:rsid w:val="003D23AB"/>
    <w:rsid w:val="003D2658"/>
    <w:rsid w:val="003D26F7"/>
    <w:rsid w:val="003D276C"/>
    <w:rsid w:val="003D2BB7"/>
    <w:rsid w:val="003D2C48"/>
    <w:rsid w:val="003D2D81"/>
    <w:rsid w:val="003D2E52"/>
    <w:rsid w:val="003D2E9C"/>
    <w:rsid w:val="003D2F71"/>
    <w:rsid w:val="003D32DF"/>
    <w:rsid w:val="003D32E0"/>
    <w:rsid w:val="003D33B0"/>
    <w:rsid w:val="003D3441"/>
    <w:rsid w:val="003D357B"/>
    <w:rsid w:val="003D3630"/>
    <w:rsid w:val="003D3662"/>
    <w:rsid w:val="003D3685"/>
    <w:rsid w:val="003D38A9"/>
    <w:rsid w:val="003D3A63"/>
    <w:rsid w:val="003D3AB5"/>
    <w:rsid w:val="003D3B51"/>
    <w:rsid w:val="003D3BDC"/>
    <w:rsid w:val="003D3FC4"/>
    <w:rsid w:val="003D4033"/>
    <w:rsid w:val="003D4273"/>
    <w:rsid w:val="003D44DE"/>
    <w:rsid w:val="003D4641"/>
    <w:rsid w:val="003D467D"/>
    <w:rsid w:val="003D4780"/>
    <w:rsid w:val="003D49BE"/>
    <w:rsid w:val="003D4AE2"/>
    <w:rsid w:val="003D4B88"/>
    <w:rsid w:val="003D4BEF"/>
    <w:rsid w:val="003D526D"/>
    <w:rsid w:val="003D5270"/>
    <w:rsid w:val="003D566E"/>
    <w:rsid w:val="003D579C"/>
    <w:rsid w:val="003D58A8"/>
    <w:rsid w:val="003D5A3B"/>
    <w:rsid w:val="003D5CD2"/>
    <w:rsid w:val="003D6037"/>
    <w:rsid w:val="003D60E4"/>
    <w:rsid w:val="003D616F"/>
    <w:rsid w:val="003D6170"/>
    <w:rsid w:val="003D62BF"/>
    <w:rsid w:val="003D633E"/>
    <w:rsid w:val="003D652F"/>
    <w:rsid w:val="003D69EC"/>
    <w:rsid w:val="003D6B7B"/>
    <w:rsid w:val="003D6C17"/>
    <w:rsid w:val="003D6C45"/>
    <w:rsid w:val="003D6F47"/>
    <w:rsid w:val="003D6F7A"/>
    <w:rsid w:val="003D7253"/>
    <w:rsid w:val="003D729B"/>
    <w:rsid w:val="003D734E"/>
    <w:rsid w:val="003D75DB"/>
    <w:rsid w:val="003D7857"/>
    <w:rsid w:val="003D7ABC"/>
    <w:rsid w:val="003D7B98"/>
    <w:rsid w:val="003D7BC0"/>
    <w:rsid w:val="003D7D8C"/>
    <w:rsid w:val="003D7DA2"/>
    <w:rsid w:val="003D7DC3"/>
    <w:rsid w:val="003D7E6D"/>
    <w:rsid w:val="003E0235"/>
    <w:rsid w:val="003E067A"/>
    <w:rsid w:val="003E0858"/>
    <w:rsid w:val="003E0924"/>
    <w:rsid w:val="003E0B47"/>
    <w:rsid w:val="003E0FD5"/>
    <w:rsid w:val="003E1066"/>
    <w:rsid w:val="003E12CA"/>
    <w:rsid w:val="003E1330"/>
    <w:rsid w:val="003E16A9"/>
    <w:rsid w:val="003E16F8"/>
    <w:rsid w:val="003E1708"/>
    <w:rsid w:val="003E1B1A"/>
    <w:rsid w:val="003E1C5A"/>
    <w:rsid w:val="003E1E4C"/>
    <w:rsid w:val="003E1F44"/>
    <w:rsid w:val="003E1F94"/>
    <w:rsid w:val="003E2046"/>
    <w:rsid w:val="003E2190"/>
    <w:rsid w:val="003E2290"/>
    <w:rsid w:val="003E235E"/>
    <w:rsid w:val="003E2422"/>
    <w:rsid w:val="003E24D3"/>
    <w:rsid w:val="003E26E1"/>
    <w:rsid w:val="003E292D"/>
    <w:rsid w:val="003E2C72"/>
    <w:rsid w:val="003E2EE4"/>
    <w:rsid w:val="003E301A"/>
    <w:rsid w:val="003E31D1"/>
    <w:rsid w:val="003E36F0"/>
    <w:rsid w:val="003E3824"/>
    <w:rsid w:val="003E38B5"/>
    <w:rsid w:val="003E3CBA"/>
    <w:rsid w:val="003E3EAD"/>
    <w:rsid w:val="003E4121"/>
    <w:rsid w:val="003E414C"/>
    <w:rsid w:val="003E41C7"/>
    <w:rsid w:val="003E45E9"/>
    <w:rsid w:val="003E466F"/>
    <w:rsid w:val="003E47E4"/>
    <w:rsid w:val="003E4851"/>
    <w:rsid w:val="003E490E"/>
    <w:rsid w:val="003E4BB2"/>
    <w:rsid w:val="003E4BEF"/>
    <w:rsid w:val="003E4C98"/>
    <w:rsid w:val="003E4F94"/>
    <w:rsid w:val="003E5065"/>
    <w:rsid w:val="003E5295"/>
    <w:rsid w:val="003E530E"/>
    <w:rsid w:val="003E53E4"/>
    <w:rsid w:val="003E56FE"/>
    <w:rsid w:val="003E58F4"/>
    <w:rsid w:val="003E5B79"/>
    <w:rsid w:val="003E5E93"/>
    <w:rsid w:val="003E5EF6"/>
    <w:rsid w:val="003E5F51"/>
    <w:rsid w:val="003E605B"/>
    <w:rsid w:val="003E6203"/>
    <w:rsid w:val="003E636B"/>
    <w:rsid w:val="003E6678"/>
    <w:rsid w:val="003E6704"/>
    <w:rsid w:val="003E67A7"/>
    <w:rsid w:val="003E6903"/>
    <w:rsid w:val="003E6998"/>
    <w:rsid w:val="003E69A3"/>
    <w:rsid w:val="003E6B01"/>
    <w:rsid w:val="003E6C7B"/>
    <w:rsid w:val="003E6D26"/>
    <w:rsid w:val="003E6E57"/>
    <w:rsid w:val="003E7096"/>
    <w:rsid w:val="003E73C6"/>
    <w:rsid w:val="003E7462"/>
    <w:rsid w:val="003E76AC"/>
    <w:rsid w:val="003E7870"/>
    <w:rsid w:val="003E79BA"/>
    <w:rsid w:val="003E7AD5"/>
    <w:rsid w:val="003E7AF6"/>
    <w:rsid w:val="003E7E57"/>
    <w:rsid w:val="003F014D"/>
    <w:rsid w:val="003F04C0"/>
    <w:rsid w:val="003F052D"/>
    <w:rsid w:val="003F097A"/>
    <w:rsid w:val="003F0B7A"/>
    <w:rsid w:val="003F1008"/>
    <w:rsid w:val="003F11D1"/>
    <w:rsid w:val="003F12B9"/>
    <w:rsid w:val="003F1430"/>
    <w:rsid w:val="003F1657"/>
    <w:rsid w:val="003F167E"/>
    <w:rsid w:val="003F16B6"/>
    <w:rsid w:val="003F18CE"/>
    <w:rsid w:val="003F19D2"/>
    <w:rsid w:val="003F1B84"/>
    <w:rsid w:val="003F1C90"/>
    <w:rsid w:val="003F1D36"/>
    <w:rsid w:val="003F1FD9"/>
    <w:rsid w:val="003F20AF"/>
    <w:rsid w:val="003F230C"/>
    <w:rsid w:val="003F248B"/>
    <w:rsid w:val="003F2566"/>
    <w:rsid w:val="003F271B"/>
    <w:rsid w:val="003F28E7"/>
    <w:rsid w:val="003F2AC0"/>
    <w:rsid w:val="003F2B1F"/>
    <w:rsid w:val="003F2C5A"/>
    <w:rsid w:val="003F2C9D"/>
    <w:rsid w:val="003F2CF4"/>
    <w:rsid w:val="003F33A6"/>
    <w:rsid w:val="003F35D1"/>
    <w:rsid w:val="003F370A"/>
    <w:rsid w:val="003F3745"/>
    <w:rsid w:val="003F3913"/>
    <w:rsid w:val="003F3916"/>
    <w:rsid w:val="003F3C2D"/>
    <w:rsid w:val="003F422B"/>
    <w:rsid w:val="003F43D9"/>
    <w:rsid w:val="003F4455"/>
    <w:rsid w:val="003F4491"/>
    <w:rsid w:val="003F4558"/>
    <w:rsid w:val="003F4561"/>
    <w:rsid w:val="003F46C1"/>
    <w:rsid w:val="003F4787"/>
    <w:rsid w:val="003F492A"/>
    <w:rsid w:val="003F4945"/>
    <w:rsid w:val="003F4BAA"/>
    <w:rsid w:val="003F4BEF"/>
    <w:rsid w:val="003F4C25"/>
    <w:rsid w:val="003F4CF8"/>
    <w:rsid w:val="003F4DB2"/>
    <w:rsid w:val="003F4E15"/>
    <w:rsid w:val="003F4F04"/>
    <w:rsid w:val="003F4FF4"/>
    <w:rsid w:val="003F500C"/>
    <w:rsid w:val="003F553E"/>
    <w:rsid w:val="003F57B7"/>
    <w:rsid w:val="003F5E0A"/>
    <w:rsid w:val="003F5F09"/>
    <w:rsid w:val="003F5F7A"/>
    <w:rsid w:val="003F60C3"/>
    <w:rsid w:val="003F63EB"/>
    <w:rsid w:val="003F64CB"/>
    <w:rsid w:val="003F66AF"/>
    <w:rsid w:val="003F6957"/>
    <w:rsid w:val="003F697F"/>
    <w:rsid w:val="003F6A9E"/>
    <w:rsid w:val="003F6BA4"/>
    <w:rsid w:val="003F6E3C"/>
    <w:rsid w:val="003F6E54"/>
    <w:rsid w:val="003F6F58"/>
    <w:rsid w:val="003F716C"/>
    <w:rsid w:val="003F72ED"/>
    <w:rsid w:val="003F7469"/>
    <w:rsid w:val="003F7586"/>
    <w:rsid w:val="003F781D"/>
    <w:rsid w:val="003F7919"/>
    <w:rsid w:val="004000D7"/>
    <w:rsid w:val="00400137"/>
    <w:rsid w:val="004002AA"/>
    <w:rsid w:val="004003DF"/>
    <w:rsid w:val="00400685"/>
    <w:rsid w:val="004007CA"/>
    <w:rsid w:val="004008C9"/>
    <w:rsid w:val="00400BA4"/>
    <w:rsid w:val="00400C36"/>
    <w:rsid w:val="00400D80"/>
    <w:rsid w:val="00400ED9"/>
    <w:rsid w:val="004011D7"/>
    <w:rsid w:val="00401354"/>
    <w:rsid w:val="00401389"/>
    <w:rsid w:val="00401700"/>
    <w:rsid w:val="004018A9"/>
    <w:rsid w:val="00401A34"/>
    <w:rsid w:val="00401C73"/>
    <w:rsid w:val="00401E0F"/>
    <w:rsid w:val="00401E74"/>
    <w:rsid w:val="00402057"/>
    <w:rsid w:val="004023CF"/>
    <w:rsid w:val="00402418"/>
    <w:rsid w:val="00402491"/>
    <w:rsid w:val="004024F3"/>
    <w:rsid w:val="00402511"/>
    <w:rsid w:val="00402655"/>
    <w:rsid w:val="004027F7"/>
    <w:rsid w:val="004028FB"/>
    <w:rsid w:val="0040299D"/>
    <w:rsid w:val="004029A9"/>
    <w:rsid w:val="00402C49"/>
    <w:rsid w:val="00402D79"/>
    <w:rsid w:val="00402E14"/>
    <w:rsid w:val="00402F2D"/>
    <w:rsid w:val="00402F8A"/>
    <w:rsid w:val="00403006"/>
    <w:rsid w:val="00403330"/>
    <w:rsid w:val="004033FF"/>
    <w:rsid w:val="00403409"/>
    <w:rsid w:val="0040347D"/>
    <w:rsid w:val="00403513"/>
    <w:rsid w:val="0040373A"/>
    <w:rsid w:val="0040373B"/>
    <w:rsid w:val="00403827"/>
    <w:rsid w:val="0040386A"/>
    <w:rsid w:val="0040392B"/>
    <w:rsid w:val="00403953"/>
    <w:rsid w:val="00403D5F"/>
    <w:rsid w:val="00403EE8"/>
    <w:rsid w:val="00403F1A"/>
    <w:rsid w:val="00403F21"/>
    <w:rsid w:val="00403F7F"/>
    <w:rsid w:val="00404300"/>
    <w:rsid w:val="00404357"/>
    <w:rsid w:val="00404383"/>
    <w:rsid w:val="0040491A"/>
    <w:rsid w:val="004049E6"/>
    <w:rsid w:val="00404A68"/>
    <w:rsid w:val="00404AD3"/>
    <w:rsid w:val="00404C3F"/>
    <w:rsid w:val="00405479"/>
    <w:rsid w:val="0040547D"/>
    <w:rsid w:val="00405532"/>
    <w:rsid w:val="004055FC"/>
    <w:rsid w:val="00405780"/>
    <w:rsid w:val="00405861"/>
    <w:rsid w:val="00405891"/>
    <w:rsid w:val="00405A46"/>
    <w:rsid w:val="00405BA4"/>
    <w:rsid w:val="004060A9"/>
    <w:rsid w:val="004062C0"/>
    <w:rsid w:val="00406334"/>
    <w:rsid w:val="00406339"/>
    <w:rsid w:val="0040668E"/>
    <w:rsid w:val="00406977"/>
    <w:rsid w:val="00406FB7"/>
    <w:rsid w:val="00407075"/>
    <w:rsid w:val="00407203"/>
    <w:rsid w:val="0040755C"/>
    <w:rsid w:val="0040759A"/>
    <w:rsid w:val="004077C1"/>
    <w:rsid w:val="004078D8"/>
    <w:rsid w:val="00407945"/>
    <w:rsid w:val="004079B2"/>
    <w:rsid w:val="00407E53"/>
    <w:rsid w:val="0041004E"/>
    <w:rsid w:val="00410144"/>
    <w:rsid w:val="00410250"/>
    <w:rsid w:val="00410294"/>
    <w:rsid w:val="00410404"/>
    <w:rsid w:val="00410849"/>
    <w:rsid w:val="004109B4"/>
    <w:rsid w:val="00410A42"/>
    <w:rsid w:val="00410AF7"/>
    <w:rsid w:val="00410B75"/>
    <w:rsid w:val="00410B8A"/>
    <w:rsid w:val="00410F00"/>
    <w:rsid w:val="0041128A"/>
    <w:rsid w:val="004114E6"/>
    <w:rsid w:val="00411506"/>
    <w:rsid w:val="0041154C"/>
    <w:rsid w:val="0041162A"/>
    <w:rsid w:val="00411977"/>
    <w:rsid w:val="00411A9E"/>
    <w:rsid w:val="00411B9D"/>
    <w:rsid w:val="00411C1A"/>
    <w:rsid w:val="00411D72"/>
    <w:rsid w:val="00411DF7"/>
    <w:rsid w:val="00411ED2"/>
    <w:rsid w:val="00412116"/>
    <w:rsid w:val="004122C0"/>
    <w:rsid w:val="0041231D"/>
    <w:rsid w:val="004123F8"/>
    <w:rsid w:val="0041255A"/>
    <w:rsid w:val="00412577"/>
    <w:rsid w:val="004126A9"/>
    <w:rsid w:val="0041270A"/>
    <w:rsid w:val="0041274F"/>
    <w:rsid w:val="00412CB0"/>
    <w:rsid w:val="00412D5A"/>
    <w:rsid w:val="00413157"/>
    <w:rsid w:val="004131E5"/>
    <w:rsid w:val="00413218"/>
    <w:rsid w:val="0041332E"/>
    <w:rsid w:val="0041356F"/>
    <w:rsid w:val="00413582"/>
    <w:rsid w:val="00413590"/>
    <w:rsid w:val="0041359E"/>
    <w:rsid w:val="00413609"/>
    <w:rsid w:val="0041376F"/>
    <w:rsid w:val="00413843"/>
    <w:rsid w:val="00413C36"/>
    <w:rsid w:val="00413C3F"/>
    <w:rsid w:val="004140B6"/>
    <w:rsid w:val="004142DD"/>
    <w:rsid w:val="00414655"/>
    <w:rsid w:val="00414802"/>
    <w:rsid w:val="004148CD"/>
    <w:rsid w:val="00414B41"/>
    <w:rsid w:val="00414B90"/>
    <w:rsid w:val="00414E5A"/>
    <w:rsid w:val="004150FE"/>
    <w:rsid w:val="0041510F"/>
    <w:rsid w:val="00415134"/>
    <w:rsid w:val="00415188"/>
    <w:rsid w:val="004153F6"/>
    <w:rsid w:val="00415587"/>
    <w:rsid w:val="004155EF"/>
    <w:rsid w:val="00415741"/>
    <w:rsid w:val="0041582B"/>
    <w:rsid w:val="00415897"/>
    <w:rsid w:val="00415DB2"/>
    <w:rsid w:val="00415FCE"/>
    <w:rsid w:val="0041621A"/>
    <w:rsid w:val="00416254"/>
    <w:rsid w:val="0041638B"/>
    <w:rsid w:val="00416616"/>
    <w:rsid w:val="004167C1"/>
    <w:rsid w:val="004168DF"/>
    <w:rsid w:val="00416C6A"/>
    <w:rsid w:val="0041714D"/>
    <w:rsid w:val="0041719C"/>
    <w:rsid w:val="00417306"/>
    <w:rsid w:val="004174B1"/>
    <w:rsid w:val="004174EF"/>
    <w:rsid w:val="004175D5"/>
    <w:rsid w:val="0041762C"/>
    <w:rsid w:val="0041771D"/>
    <w:rsid w:val="00417975"/>
    <w:rsid w:val="00417AC5"/>
    <w:rsid w:val="00417B66"/>
    <w:rsid w:val="00417B82"/>
    <w:rsid w:val="00417E57"/>
    <w:rsid w:val="00417F51"/>
    <w:rsid w:val="0042011D"/>
    <w:rsid w:val="0042050C"/>
    <w:rsid w:val="00420636"/>
    <w:rsid w:val="00420666"/>
    <w:rsid w:val="00420CCB"/>
    <w:rsid w:val="00420EB8"/>
    <w:rsid w:val="00420F23"/>
    <w:rsid w:val="00421132"/>
    <w:rsid w:val="00421164"/>
    <w:rsid w:val="00421287"/>
    <w:rsid w:val="0042143E"/>
    <w:rsid w:val="00421459"/>
    <w:rsid w:val="004216E3"/>
    <w:rsid w:val="0042172D"/>
    <w:rsid w:val="00421733"/>
    <w:rsid w:val="004217A1"/>
    <w:rsid w:val="004218E0"/>
    <w:rsid w:val="00421909"/>
    <w:rsid w:val="00421933"/>
    <w:rsid w:val="00421A3C"/>
    <w:rsid w:val="00421EB7"/>
    <w:rsid w:val="004222F1"/>
    <w:rsid w:val="00422369"/>
    <w:rsid w:val="0042237C"/>
    <w:rsid w:val="004223C3"/>
    <w:rsid w:val="004225B0"/>
    <w:rsid w:val="004225D3"/>
    <w:rsid w:val="004225E0"/>
    <w:rsid w:val="00422762"/>
    <w:rsid w:val="00422855"/>
    <w:rsid w:val="00422920"/>
    <w:rsid w:val="00422BD2"/>
    <w:rsid w:val="00422CAA"/>
    <w:rsid w:val="00422CD9"/>
    <w:rsid w:val="00422EBD"/>
    <w:rsid w:val="004233BD"/>
    <w:rsid w:val="0042345F"/>
    <w:rsid w:val="004234F2"/>
    <w:rsid w:val="004235E9"/>
    <w:rsid w:val="00423749"/>
    <w:rsid w:val="00423A09"/>
    <w:rsid w:val="00423B59"/>
    <w:rsid w:val="00423C7D"/>
    <w:rsid w:val="004241F4"/>
    <w:rsid w:val="004246FD"/>
    <w:rsid w:val="00424792"/>
    <w:rsid w:val="00424A41"/>
    <w:rsid w:val="00424BC5"/>
    <w:rsid w:val="00424BF7"/>
    <w:rsid w:val="00424C68"/>
    <w:rsid w:val="00424F45"/>
    <w:rsid w:val="004250CD"/>
    <w:rsid w:val="0042523B"/>
    <w:rsid w:val="004252CC"/>
    <w:rsid w:val="00425328"/>
    <w:rsid w:val="00425422"/>
    <w:rsid w:val="00425447"/>
    <w:rsid w:val="00425611"/>
    <w:rsid w:val="0042569D"/>
    <w:rsid w:val="0042573A"/>
    <w:rsid w:val="00425742"/>
    <w:rsid w:val="00425C7B"/>
    <w:rsid w:val="00425EFE"/>
    <w:rsid w:val="00426216"/>
    <w:rsid w:val="00426514"/>
    <w:rsid w:val="00426774"/>
    <w:rsid w:val="00426B3A"/>
    <w:rsid w:val="00426C56"/>
    <w:rsid w:val="00427024"/>
    <w:rsid w:val="00427110"/>
    <w:rsid w:val="0042731D"/>
    <w:rsid w:val="004274C2"/>
    <w:rsid w:val="00427620"/>
    <w:rsid w:val="00427CED"/>
    <w:rsid w:val="00427F17"/>
    <w:rsid w:val="004300AB"/>
    <w:rsid w:val="004300C2"/>
    <w:rsid w:val="00430223"/>
    <w:rsid w:val="0043029C"/>
    <w:rsid w:val="00430748"/>
    <w:rsid w:val="00430878"/>
    <w:rsid w:val="004309A7"/>
    <w:rsid w:val="004309E8"/>
    <w:rsid w:val="00430EFA"/>
    <w:rsid w:val="0043107A"/>
    <w:rsid w:val="004311D1"/>
    <w:rsid w:val="0043134D"/>
    <w:rsid w:val="0043143C"/>
    <w:rsid w:val="004314DF"/>
    <w:rsid w:val="004317C5"/>
    <w:rsid w:val="00432009"/>
    <w:rsid w:val="00432147"/>
    <w:rsid w:val="00432292"/>
    <w:rsid w:val="00432331"/>
    <w:rsid w:val="004323A3"/>
    <w:rsid w:val="00432420"/>
    <w:rsid w:val="00432625"/>
    <w:rsid w:val="0043272C"/>
    <w:rsid w:val="0043295B"/>
    <w:rsid w:val="00432C2A"/>
    <w:rsid w:val="00432C62"/>
    <w:rsid w:val="0043346E"/>
    <w:rsid w:val="004338F5"/>
    <w:rsid w:val="00433AED"/>
    <w:rsid w:val="00433D31"/>
    <w:rsid w:val="00433F33"/>
    <w:rsid w:val="00433FAB"/>
    <w:rsid w:val="00433FE2"/>
    <w:rsid w:val="00434286"/>
    <w:rsid w:val="0043428D"/>
    <w:rsid w:val="0043449D"/>
    <w:rsid w:val="004344FA"/>
    <w:rsid w:val="0043455B"/>
    <w:rsid w:val="004347FA"/>
    <w:rsid w:val="0043485A"/>
    <w:rsid w:val="0043487E"/>
    <w:rsid w:val="004349A7"/>
    <w:rsid w:val="00434EDE"/>
    <w:rsid w:val="00434FFE"/>
    <w:rsid w:val="00435225"/>
    <w:rsid w:val="00435468"/>
    <w:rsid w:val="00435571"/>
    <w:rsid w:val="004355BA"/>
    <w:rsid w:val="00435869"/>
    <w:rsid w:val="00435961"/>
    <w:rsid w:val="0043597F"/>
    <w:rsid w:val="00435B6C"/>
    <w:rsid w:val="00435D48"/>
    <w:rsid w:val="004361A6"/>
    <w:rsid w:val="004361B0"/>
    <w:rsid w:val="004361BD"/>
    <w:rsid w:val="00436246"/>
    <w:rsid w:val="00436734"/>
    <w:rsid w:val="0043676D"/>
    <w:rsid w:val="0043685E"/>
    <w:rsid w:val="004368D2"/>
    <w:rsid w:val="00436AAF"/>
    <w:rsid w:val="00436B06"/>
    <w:rsid w:val="00436CF8"/>
    <w:rsid w:val="00436D23"/>
    <w:rsid w:val="00437051"/>
    <w:rsid w:val="00437246"/>
    <w:rsid w:val="00437337"/>
    <w:rsid w:val="00437473"/>
    <w:rsid w:val="0043753E"/>
    <w:rsid w:val="00437551"/>
    <w:rsid w:val="004378B2"/>
    <w:rsid w:val="00437B06"/>
    <w:rsid w:val="00437B10"/>
    <w:rsid w:val="00437BF4"/>
    <w:rsid w:val="00437FF7"/>
    <w:rsid w:val="004401C0"/>
    <w:rsid w:val="00440553"/>
    <w:rsid w:val="00440809"/>
    <w:rsid w:val="00440A48"/>
    <w:rsid w:val="00440E6C"/>
    <w:rsid w:val="00440F62"/>
    <w:rsid w:val="00441166"/>
    <w:rsid w:val="0044136B"/>
    <w:rsid w:val="00441642"/>
    <w:rsid w:val="00441681"/>
    <w:rsid w:val="0044197B"/>
    <w:rsid w:val="004419D0"/>
    <w:rsid w:val="00441B97"/>
    <w:rsid w:val="00441C9D"/>
    <w:rsid w:val="00441FA9"/>
    <w:rsid w:val="0044202C"/>
    <w:rsid w:val="004422B4"/>
    <w:rsid w:val="004424C4"/>
    <w:rsid w:val="00442528"/>
    <w:rsid w:val="004427AF"/>
    <w:rsid w:val="00442B72"/>
    <w:rsid w:val="00442EA4"/>
    <w:rsid w:val="00442EF9"/>
    <w:rsid w:val="004430E3"/>
    <w:rsid w:val="00443205"/>
    <w:rsid w:val="0044327F"/>
    <w:rsid w:val="004432B8"/>
    <w:rsid w:val="004434AF"/>
    <w:rsid w:val="004434FA"/>
    <w:rsid w:val="00443583"/>
    <w:rsid w:val="004435CB"/>
    <w:rsid w:val="00443719"/>
    <w:rsid w:val="00443837"/>
    <w:rsid w:val="00443908"/>
    <w:rsid w:val="00443E3E"/>
    <w:rsid w:val="00443EBE"/>
    <w:rsid w:val="00443ED0"/>
    <w:rsid w:val="00444094"/>
    <w:rsid w:val="004440D5"/>
    <w:rsid w:val="00444276"/>
    <w:rsid w:val="00444764"/>
    <w:rsid w:val="0044480E"/>
    <w:rsid w:val="00444814"/>
    <w:rsid w:val="00444822"/>
    <w:rsid w:val="00444A65"/>
    <w:rsid w:val="00444AD4"/>
    <w:rsid w:val="0044510E"/>
    <w:rsid w:val="0044511D"/>
    <w:rsid w:val="004452B5"/>
    <w:rsid w:val="0044534E"/>
    <w:rsid w:val="00445442"/>
    <w:rsid w:val="004459AB"/>
    <w:rsid w:val="00445CCA"/>
    <w:rsid w:val="00445E30"/>
    <w:rsid w:val="00445F27"/>
    <w:rsid w:val="004460B0"/>
    <w:rsid w:val="00446228"/>
    <w:rsid w:val="00446A32"/>
    <w:rsid w:val="00446B1B"/>
    <w:rsid w:val="00446C60"/>
    <w:rsid w:val="00446CBD"/>
    <w:rsid w:val="00446F94"/>
    <w:rsid w:val="00447362"/>
    <w:rsid w:val="004476AF"/>
    <w:rsid w:val="00447863"/>
    <w:rsid w:val="00447AAC"/>
    <w:rsid w:val="00447C5F"/>
    <w:rsid w:val="00447E02"/>
    <w:rsid w:val="00447F10"/>
    <w:rsid w:val="0045099A"/>
    <w:rsid w:val="00450A0F"/>
    <w:rsid w:val="00450D28"/>
    <w:rsid w:val="00450DE4"/>
    <w:rsid w:val="004510C7"/>
    <w:rsid w:val="0045124D"/>
    <w:rsid w:val="0045130D"/>
    <w:rsid w:val="004513D3"/>
    <w:rsid w:val="00451412"/>
    <w:rsid w:val="0045167E"/>
    <w:rsid w:val="00451775"/>
    <w:rsid w:val="004517B0"/>
    <w:rsid w:val="004517C8"/>
    <w:rsid w:val="0045189F"/>
    <w:rsid w:val="0045192B"/>
    <w:rsid w:val="004519BB"/>
    <w:rsid w:val="00451A51"/>
    <w:rsid w:val="00451CBC"/>
    <w:rsid w:val="00451D04"/>
    <w:rsid w:val="00451D08"/>
    <w:rsid w:val="00451F02"/>
    <w:rsid w:val="00451FEC"/>
    <w:rsid w:val="00452212"/>
    <w:rsid w:val="00452337"/>
    <w:rsid w:val="0045251E"/>
    <w:rsid w:val="0045271B"/>
    <w:rsid w:val="004528F6"/>
    <w:rsid w:val="00452A36"/>
    <w:rsid w:val="00452B3D"/>
    <w:rsid w:val="00452C11"/>
    <w:rsid w:val="00452DCF"/>
    <w:rsid w:val="00452E40"/>
    <w:rsid w:val="00453227"/>
    <w:rsid w:val="004538EF"/>
    <w:rsid w:val="00453AD6"/>
    <w:rsid w:val="00453D6C"/>
    <w:rsid w:val="00453ED3"/>
    <w:rsid w:val="0045419C"/>
    <w:rsid w:val="00454294"/>
    <w:rsid w:val="0045443E"/>
    <w:rsid w:val="004546E3"/>
    <w:rsid w:val="00454712"/>
    <w:rsid w:val="00454821"/>
    <w:rsid w:val="004548AF"/>
    <w:rsid w:val="00454BC0"/>
    <w:rsid w:val="00454C4A"/>
    <w:rsid w:val="00454CE9"/>
    <w:rsid w:val="00455061"/>
    <w:rsid w:val="00455230"/>
    <w:rsid w:val="004552B7"/>
    <w:rsid w:val="00455479"/>
    <w:rsid w:val="004554E7"/>
    <w:rsid w:val="0045553A"/>
    <w:rsid w:val="00455577"/>
    <w:rsid w:val="004557BB"/>
    <w:rsid w:val="00455982"/>
    <w:rsid w:val="00455A8D"/>
    <w:rsid w:val="00455BBA"/>
    <w:rsid w:val="00455D42"/>
    <w:rsid w:val="00455F12"/>
    <w:rsid w:val="0045604B"/>
    <w:rsid w:val="00456059"/>
    <w:rsid w:val="00456226"/>
    <w:rsid w:val="00456423"/>
    <w:rsid w:val="00456454"/>
    <w:rsid w:val="00456545"/>
    <w:rsid w:val="004565BF"/>
    <w:rsid w:val="0045665B"/>
    <w:rsid w:val="0045683D"/>
    <w:rsid w:val="004569A1"/>
    <w:rsid w:val="00456D6B"/>
    <w:rsid w:val="00456E26"/>
    <w:rsid w:val="004570F8"/>
    <w:rsid w:val="00457164"/>
    <w:rsid w:val="00457203"/>
    <w:rsid w:val="004574E5"/>
    <w:rsid w:val="00457605"/>
    <w:rsid w:val="004576F8"/>
    <w:rsid w:val="00457949"/>
    <w:rsid w:val="0045795F"/>
    <w:rsid w:val="00457A98"/>
    <w:rsid w:val="00457D62"/>
    <w:rsid w:val="00457D86"/>
    <w:rsid w:val="00457ED2"/>
    <w:rsid w:val="00457F39"/>
    <w:rsid w:val="00460194"/>
    <w:rsid w:val="0046033A"/>
    <w:rsid w:val="004603EE"/>
    <w:rsid w:val="00460437"/>
    <w:rsid w:val="00460562"/>
    <w:rsid w:val="004605A6"/>
    <w:rsid w:val="00460944"/>
    <w:rsid w:val="00460992"/>
    <w:rsid w:val="00460A4F"/>
    <w:rsid w:val="00460AD9"/>
    <w:rsid w:val="00460CBA"/>
    <w:rsid w:val="00461155"/>
    <w:rsid w:val="0046117C"/>
    <w:rsid w:val="004611CB"/>
    <w:rsid w:val="00461488"/>
    <w:rsid w:val="00461A60"/>
    <w:rsid w:val="00461D99"/>
    <w:rsid w:val="00462184"/>
    <w:rsid w:val="0046249F"/>
    <w:rsid w:val="0046254D"/>
    <w:rsid w:val="00462827"/>
    <w:rsid w:val="004628A1"/>
    <w:rsid w:val="00462927"/>
    <w:rsid w:val="00462963"/>
    <w:rsid w:val="00462A1D"/>
    <w:rsid w:val="00462B3B"/>
    <w:rsid w:val="00462D20"/>
    <w:rsid w:val="00463098"/>
    <w:rsid w:val="004630D8"/>
    <w:rsid w:val="004634BA"/>
    <w:rsid w:val="004637C8"/>
    <w:rsid w:val="004638A9"/>
    <w:rsid w:val="004638E6"/>
    <w:rsid w:val="00463BE9"/>
    <w:rsid w:val="00463C06"/>
    <w:rsid w:val="00463C69"/>
    <w:rsid w:val="00463D5B"/>
    <w:rsid w:val="00463EBB"/>
    <w:rsid w:val="00463F07"/>
    <w:rsid w:val="00463F18"/>
    <w:rsid w:val="00463F57"/>
    <w:rsid w:val="00464048"/>
    <w:rsid w:val="0046419E"/>
    <w:rsid w:val="0046429E"/>
    <w:rsid w:val="00464527"/>
    <w:rsid w:val="00464538"/>
    <w:rsid w:val="00464588"/>
    <w:rsid w:val="00464760"/>
    <w:rsid w:val="00464929"/>
    <w:rsid w:val="00464934"/>
    <w:rsid w:val="00464B1F"/>
    <w:rsid w:val="00464B65"/>
    <w:rsid w:val="00464DE2"/>
    <w:rsid w:val="00464F16"/>
    <w:rsid w:val="0046514C"/>
    <w:rsid w:val="0046519F"/>
    <w:rsid w:val="004651D9"/>
    <w:rsid w:val="00465239"/>
    <w:rsid w:val="00465487"/>
    <w:rsid w:val="00465518"/>
    <w:rsid w:val="0046562D"/>
    <w:rsid w:val="004656AF"/>
    <w:rsid w:val="00465868"/>
    <w:rsid w:val="00465ABB"/>
    <w:rsid w:val="00465C50"/>
    <w:rsid w:val="00465E97"/>
    <w:rsid w:val="0046605C"/>
    <w:rsid w:val="004665D2"/>
    <w:rsid w:val="004669A0"/>
    <w:rsid w:val="004669E5"/>
    <w:rsid w:val="00466BAF"/>
    <w:rsid w:val="00466BB5"/>
    <w:rsid w:val="00466CEB"/>
    <w:rsid w:val="00466D23"/>
    <w:rsid w:val="00466EBD"/>
    <w:rsid w:val="0046708A"/>
    <w:rsid w:val="004671EC"/>
    <w:rsid w:val="004672FE"/>
    <w:rsid w:val="0046745C"/>
    <w:rsid w:val="004677B9"/>
    <w:rsid w:val="0046787F"/>
    <w:rsid w:val="004678E4"/>
    <w:rsid w:val="00467A1E"/>
    <w:rsid w:val="00467AC9"/>
    <w:rsid w:val="00467BCD"/>
    <w:rsid w:val="00467C48"/>
    <w:rsid w:val="00467D18"/>
    <w:rsid w:val="00467E7F"/>
    <w:rsid w:val="00470351"/>
    <w:rsid w:val="0047044C"/>
    <w:rsid w:val="00470589"/>
    <w:rsid w:val="004705FB"/>
    <w:rsid w:val="00470782"/>
    <w:rsid w:val="0047081A"/>
    <w:rsid w:val="00470844"/>
    <w:rsid w:val="00470A47"/>
    <w:rsid w:val="00470A51"/>
    <w:rsid w:val="00470ACE"/>
    <w:rsid w:val="00470AED"/>
    <w:rsid w:val="00470AFF"/>
    <w:rsid w:val="00470B15"/>
    <w:rsid w:val="0047110B"/>
    <w:rsid w:val="00471116"/>
    <w:rsid w:val="004712CF"/>
    <w:rsid w:val="0047136E"/>
    <w:rsid w:val="00471471"/>
    <w:rsid w:val="004714D7"/>
    <w:rsid w:val="004717C9"/>
    <w:rsid w:val="00471A30"/>
    <w:rsid w:val="00472042"/>
    <w:rsid w:val="00472116"/>
    <w:rsid w:val="00472264"/>
    <w:rsid w:val="004722F4"/>
    <w:rsid w:val="00472339"/>
    <w:rsid w:val="0047236B"/>
    <w:rsid w:val="004723AA"/>
    <w:rsid w:val="004724B2"/>
    <w:rsid w:val="00472604"/>
    <w:rsid w:val="00472785"/>
    <w:rsid w:val="004727DF"/>
    <w:rsid w:val="004729D5"/>
    <w:rsid w:val="00472AD0"/>
    <w:rsid w:val="00472DA4"/>
    <w:rsid w:val="00472EDE"/>
    <w:rsid w:val="00473160"/>
    <w:rsid w:val="00473260"/>
    <w:rsid w:val="004732A1"/>
    <w:rsid w:val="0047343C"/>
    <w:rsid w:val="0047347F"/>
    <w:rsid w:val="00473616"/>
    <w:rsid w:val="004736FA"/>
    <w:rsid w:val="00473940"/>
    <w:rsid w:val="00473D9E"/>
    <w:rsid w:val="00473E1A"/>
    <w:rsid w:val="00473F11"/>
    <w:rsid w:val="00473F3C"/>
    <w:rsid w:val="004740A3"/>
    <w:rsid w:val="004740BA"/>
    <w:rsid w:val="00474210"/>
    <w:rsid w:val="00474397"/>
    <w:rsid w:val="0047498B"/>
    <w:rsid w:val="004749E0"/>
    <w:rsid w:val="00474BC1"/>
    <w:rsid w:val="00474E9C"/>
    <w:rsid w:val="00474F85"/>
    <w:rsid w:val="00475120"/>
    <w:rsid w:val="004753A5"/>
    <w:rsid w:val="00475613"/>
    <w:rsid w:val="004756F7"/>
    <w:rsid w:val="004758C9"/>
    <w:rsid w:val="0047593D"/>
    <w:rsid w:val="00475A09"/>
    <w:rsid w:val="00475B7E"/>
    <w:rsid w:val="00475E3A"/>
    <w:rsid w:val="00476181"/>
    <w:rsid w:val="0047618B"/>
    <w:rsid w:val="00476214"/>
    <w:rsid w:val="00476286"/>
    <w:rsid w:val="00476760"/>
    <w:rsid w:val="00476A65"/>
    <w:rsid w:val="00476C4A"/>
    <w:rsid w:val="00477169"/>
    <w:rsid w:val="004773A0"/>
    <w:rsid w:val="004773B0"/>
    <w:rsid w:val="0047755C"/>
    <w:rsid w:val="004775DD"/>
    <w:rsid w:val="00477A97"/>
    <w:rsid w:val="00477CE4"/>
    <w:rsid w:val="00477DC8"/>
    <w:rsid w:val="00477E14"/>
    <w:rsid w:val="00477FFC"/>
    <w:rsid w:val="004801B4"/>
    <w:rsid w:val="00480211"/>
    <w:rsid w:val="0048024E"/>
    <w:rsid w:val="0048028E"/>
    <w:rsid w:val="004805F4"/>
    <w:rsid w:val="004805FC"/>
    <w:rsid w:val="00480609"/>
    <w:rsid w:val="004807E8"/>
    <w:rsid w:val="00480938"/>
    <w:rsid w:val="00480ADD"/>
    <w:rsid w:val="00480C55"/>
    <w:rsid w:val="00480E7E"/>
    <w:rsid w:val="00480F5C"/>
    <w:rsid w:val="00481036"/>
    <w:rsid w:val="004810C3"/>
    <w:rsid w:val="00481396"/>
    <w:rsid w:val="00481558"/>
    <w:rsid w:val="00481A0F"/>
    <w:rsid w:val="00481A1E"/>
    <w:rsid w:val="00481D99"/>
    <w:rsid w:val="0048210B"/>
    <w:rsid w:val="00482381"/>
    <w:rsid w:val="004827A9"/>
    <w:rsid w:val="00482974"/>
    <w:rsid w:val="004829EE"/>
    <w:rsid w:val="00482E40"/>
    <w:rsid w:val="00482E70"/>
    <w:rsid w:val="00482E95"/>
    <w:rsid w:val="004830BC"/>
    <w:rsid w:val="004832FE"/>
    <w:rsid w:val="0048368F"/>
    <w:rsid w:val="00483890"/>
    <w:rsid w:val="004839E4"/>
    <w:rsid w:val="00483C52"/>
    <w:rsid w:val="00484831"/>
    <w:rsid w:val="00484902"/>
    <w:rsid w:val="00484A43"/>
    <w:rsid w:val="00484AFA"/>
    <w:rsid w:val="00484C19"/>
    <w:rsid w:val="00484C2F"/>
    <w:rsid w:val="00484E58"/>
    <w:rsid w:val="00484EF9"/>
    <w:rsid w:val="0048511F"/>
    <w:rsid w:val="0048532F"/>
    <w:rsid w:val="0048556D"/>
    <w:rsid w:val="00485614"/>
    <w:rsid w:val="004857D7"/>
    <w:rsid w:val="00485AE8"/>
    <w:rsid w:val="00485AFD"/>
    <w:rsid w:val="00485DDA"/>
    <w:rsid w:val="004860C2"/>
    <w:rsid w:val="00486396"/>
    <w:rsid w:val="004863E1"/>
    <w:rsid w:val="00486963"/>
    <w:rsid w:val="00486A05"/>
    <w:rsid w:val="00486B03"/>
    <w:rsid w:val="00486CD7"/>
    <w:rsid w:val="00486CD8"/>
    <w:rsid w:val="00486EB9"/>
    <w:rsid w:val="00486EC0"/>
    <w:rsid w:val="00486FC4"/>
    <w:rsid w:val="00486FED"/>
    <w:rsid w:val="00487119"/>
    <w:rsid w:val="004872F4"/>
    <w:rsid w:val="0048733B"/>
    <w:rsid w:val="00487697"/>
    <w:rsid w:val="004876FE"/>
    <w:rsid w:val="0048786E"/>
    <w:rsid w:val="004878F3"/>
    <w:rsid w:val="00487A6C"/>
    <w:rsid w:val="00487A85"/>
    <w:rsid w:val="00487BFD"/>
    <w:rsid w:val="00487D8D"/>
    <w:rsid w:val="00487F15"/>
    <w:rsid w:val="00487F25"/>
    <w:rsid w:val="00490081"/>
    <w:rsid w:val="0049014B"/>
    <w:rsid w:val="004903A2"/>
    <w:rsid w:val="004904C3"/>
    <w:rsid w:val="004907EC"/>
    <w:rsid w:val="004908E8"/>
    <w:rsid w:val="00490958"/>
    <w:rsid w:val="00490AB4"/>
    <w:rsid w:val="00490BE5"/>
    <w:rsid w:val="0049106D"/>
    <w:rsid w:val="00491131"/>
    <w:rsid w:val="00491168"/>
    <w:rsid w:val="004913E3"/>
    <w:rsid w:val="004915BA"/>
    <w:rsid w:val="004917B6"/>
    <w:rsid w:val="004918FF"/>
    <w:rsid w:val="00491905"/>
    <w:rsid w:val="00491C6B"/>
    <w:rsid w:val="00491D43"/>
    <w:rsid w:val="00491DFA"/>
    <w:rsid w:val="00491E60"/>
    <w:rsid w:val="00491F3D"/>
    <w:rsid w:val="004924A3"/>
    <w:rsid w:val="0049252B"/>
    <w:rsid w:val="004926ED"/>
    <w:rsid w:val="00492859"/>
    <w:rsid w:val="00492A00"/>
    <w:rsid w:val="00492D9F"/>
    <w:rsid w:val="00492DC0"/>
    <w:rsid w:val="00492E52"/>
    <w:rsid w:val="004931C9"/>
    <w:rsid w:val="0049331C"/>
    <w:rsid w:val="004934D4"/>
    <w:rsid w:val="00493741"/>
    <w:rsid w:val="00493778"/>
    <w:rsid w:val="00493936"/>
    <w:rsid w:val="00493A9D"/>
    <w:rsid w:val="00493ED5"/>
    <w:rsid w:val="0049411D"/>
    <w:rsid w:val="00494274"/>
    <w:rsid w:val="00494324"/>
    <w:rsid w:val="00494356"/>
    <w:rsid w:val="0049438E"/>
    <w:rsid w:val="0049467D"/>
    <w:rsid w:val="00494909"/>
    <w:rsid w:val="0049498A"/>
    <w:rsid w:val="00494A97"/>
    <w:rsid w:val="00494AFE"/>
    <w:rsid w:val="00494EDC"/>
    <w:rsid w:val="00494F76"/>
    <w:rsid w:val="004950CF"/>
    <w:rsid w:val="00495B1F"/>
    <w:rsid w:val="00495C4E"/>
    <w:rsid w:val="00495CAB"/>
    <w:rsid w:val="00495ECB"/>
    <w:rsid w:val="00495F83"/>
    <w:rsid w:val="00496000"/>
    <w:rsid w:val="00496135"/>
    <w:rsid w:val="00496754"/>
    <w:rsid w:val="00496877"/>
    <w:rsid w:val="004968A4"/>
    <w:rsid w:val="004968B6"/>
    <w:rsid w:val="00496A0A"/>
    <w:rsid w:val="00496A84"/>
    <w:rsid w:val="00496E27"/>
    <w:rsid w:val="00497041"/>
    <w:rsid w:val="004971A3"/>
    <w:rsid w:val="004973AD"/>
    <w:rsid w:val="00497416"/>
    <w:rsid w:val="004976F7"/>
    <w:rsid w:val="0049783A"/>
    <w:rsid w:val="004978C7"/>
    <w:rsid w:val="00497902"/>
    <w:rsid w:val="00497BCE"/>
    <w:rsid w:val="00497DC7"/>
    <w:rsid w:val="00497EB4"/>
    <w:rsid w:val="004A00B9"/>
    <w:rsid w:val="004A04DD"/>
    <w:rsid w:val="004A05BA"/>
    <w:rsid w:val="004A05D9"/>
    <w:rsid w:val="004A0618"/>
    <w:rsid w:val="004A0823"/>
    <w:rsid w:val="004A08B9"/>
    <w:rsid w:val="004A0B16"/>
    <w:rsid w:val="004A0C11"/>
    <w:rsid w:val="004A0C33"/>
    <w:rsid w:val="004A0CF1"/>
    <w:rsid w:val="004A0E89"/>
    <w:rsid w:val="004A0F6C"/>
    <w:rsid w:val="004A1067"/>
    <w:rsid w:val="004A112F"/>
    <w:rsid w:val="004A120A"/>
    <w:rsid w:val="004A1735"/>
    <w:rsid w:val="004A18DA"/>
    <w:rsid w:val="004A1973"/>
    <w:rsid w:val="004A19FD"/>
    <w:rsid w:val="004A1A43"/>
    <w:rsid w:val="004A1B66"/>
    <w:rsid w:val="004A1B95"/>
    <w:rsid w:val="004A1C23"/>
    <w:rsid w:val="004A1DC2"/>
    <w:rsid w:val="004A1F99"/>
    <w:rsid w:val="004A1FAA"/>
    <w:rsid w:val="004A2133"/>
    <w:rsid w:val="004A22ED"/>
    <w:rsid w:val="004A2388"/>
    <w:rsid w:val="004A25C0"/>
    <w:rsid w:val="004A26FA"/>
    <w:rsid w:val="004A291C"/>
    <w:rsid w:val="004A2C2A"/>
    <w:rsid w:val="004A2EA1"/>
    <w:rsid w:val="004A2F85"/>
    <w:rsid w:val="004A3089"/>
    <w:rsid w:val="004A30E2"/>
    <w:rsid w:val="004A3258"/>
    <w:rsid w:val="004A334A"/>
    <w:rsid w:val="004A341E"/>
    <w:rsid w:val="004A345E"/>
    <w:rsid w:val="004A3B2A"/>
    <w:rsid w:val="004A3BA0"/>
    <w:rsid w:val="004A3BBD"/>
    <w:rsid w:val="004A3CB8"/>
    <w:rsid w:val="004A3EB9"/>
    <w:rsid w:val="004A404D"/>
    <w:rsid w:val="004A414A"/>
    <w:rsid w:val="004A46D3"/>
    <w:rsid w:val="004A4725"/>
    <w:rsid w:val="004A479A"/>
    <w:rsid w:val="004A49AC"/>
    <w:rsid w:val="004A4D0E"/>
    <w:rsid w:val="004A4D3C"/>
    <w:rsid w:val="004A4E40"/>
    <w:rsid w:val="004A4EEB"/>
    <w:rsid w:val="004A50B6"/>
    <w:rsid w:val="004A5223"/>
    <w:rsid w:val="004A5298"/>
    <w:rsid w:val="004A5562"/>
    <w:rsid w:val="004A563C"/>
    <w:rsid w:val="004A59F0"/>
    <w:rsid w:val="004A5A62"/>
    <w:rsid w:val="004A5AB5"/>
    <w:rsid w:val="004A5CF0"/>
    <w:rsid w:val="004A61AB"/>
    <w:rsid w:val="004A62B9"/>
    <w:rsid w:val="004A6542"/>
    <w:rsid w:val="004A6832"/>
    <w:rsid w:val="004A6AD9"/>
    <w:rsid w:val="004A6E53"/>
    <w:rsid w:val="004A700A"/>
    <w:rsid w:val="004A706A"/>
    <w:rsid w:val="004A7245"/>
    <w:rsid w:val="004A724F"/>
    <w:rsid w:val="004A76F9"/>
    <w:rsid w:val="004A78FD"/>
    <w:rsid w:val="004B0489"/>
    <w:rsid w:val="004B0736"/>
    <w:rsid w:val="004B07B6"/>
    <w:rsid w:val="004B08AA"/>
    <w:rsid w:val="004B0927"/>
    <w:rsid w:val="004B0AF3"/>
    <w:rsid w:val="004B0C4D"/>
    <w:rsid w:val="004B0F13"/>
    <w:rsid w:val="004B108E"/>
    <w:rsid w:val="004B1178"/>
    <w:rsid w:val="004B1577"/>
    <w:rsid w:val="004B163E"/>
    <w:rsid w:val="004B1642"/>
    <w:rsid w:val="004B1713"/>
    <w:rsid w:val="004B1ADF"/>
    <w:rsid w:val="004B1CA4"/>
    <w:rsid w:val="004B1CD2"/>
    <w:rsid w:val="004B1DC9"/>
    <w:rsid w:val="004B215C"/>
    <w:rsid w:val="004B21BE"/>
    <w:rsid w:val="004B2217"/>
    <w:rsid w:val="004B228A"/>
    <w:rsid w:val="004B22A9"/>
    <w:rsid w:val="004B22DD"/>
    <w:rsid w:val="004B263A"/>
    <w:rsid w:val="004B2670"/>
    <w:rsid w:val="004B2750"/>
    <w:rsid w:val="004B2795"/>
    <w:rsid w:val="004B281E"/>
    <w:rsid w:val="004B2838"/>
    <w:rsid w:val="004B2B6B"/>
    <w:rsid w:val="004B2DE2"/>
    <w:rsid w:val="004B2F57"/>
    <w:rsid w:val="004B2F84"/>
    <w:rsid w:val="004B3679"/>
    <w:rsid w:val="004B3818"/>
    <w:rsid w:val="004B3A46"/>
    <w:rsid w:val="004B3B89"/>
    <w:rsid w:val="004B3F0B"/>
    <w:rsid w:val="004B3F87"/>
    <w:rsid w:val="004B4070"/>
    <w:rsid w:val="004B411C"/>
    <w:rsid w:val="004B43F4"/>
    <w:rsid w:val="004B4458"/>
    <w:rsid w:val="004B44BB"/>
    <w:rsid w:val="004B45C7"/>
    <w:rsid w:val="004B4ADC"/>
    <w:rsid w:val="004B4BC8"/>
    <w:rsid w:val="004B4D09"/>
    <w:rsid w:val="004B4D49"/>
    <w:rsid w:val="004B4E4C"/>
    <w:rsid w:val="004B502F"/>
    <w:rsid w:val="004B5140"/>
    <w:rsid w:val="004B532C"/>
    <w:rsid w:val="004B56AA"/>
    <w:rsid w:val="004B56B6"/>
    <w:rsid w:val="004B57C2"/>
    <w:rsid w:val="004B593A"/>
    <w:rsid w:val="004B5A1E"/>
    <w:rsid w:val="004B5A2E"/>
    <w:rsid w:val="004B5A65"/>
    <w:rsid w:val="004B5B4F"/>
    <w:rsid w:val="004B5B60"/>
    <w:rsid w:val="004B5D4A"/>
    <w:rsid w:val="004B6004"/>
    <w:rsid w:val="004B612C"/>
    <w:rsid w:val="004B62D4"/>
    <w:rsid w:val="004B648D"/>
    <w:rsid w:val="004B66DB"/>
    <w:rsid w:val="004B6768"/>
    <w:rsid w:val="004B6787"/>
    <w:rsid w:val="004B692E"/>
    <w:rsid w:val="004B6B36"/>
    <w:rsid w:val="004B6E75"/>
    <w:rsid w:val="004B6ED5"/>
    <w:rsid w:val="004B6F21"/>
    <w:rsid w:val="004B6F59"/>
    <w:rsid w:val="004B6FAC"/>
    <w:rsid w:val="004B7037"/>
    <w:rsid w:val="004B705A"/>
    <w:rsid w:val="004B706B"/>
    <w:rsid w:val="004B707C"/>
    <w:rsid w:val="004B70E0"/>
    <w:rsid w:val="004B724C"/>
    <w:rsid w:val="004B72FD"/>
    <w:rsid w:val="004B7391"/>
    <w:rsid w:val="004B745E"/>
    <w:rsid w:val="004B753D"/>
    <w:rsid w:val="004B78A3"/>
    <w:rsid w:val="004B7B90"/>
    <w:rsid w:val="004B7F7B"/>
    <w:rsid w:val="004B7FB5"/>
    <w:rsid w:val="004C03CE"/>
    <w:rsid w:val="004C0432"/>
    <w:rsid w:val="004C0762"/>
    <w:rsid w:val="004C0A8B"/>
    <w:rsid w:val="004C0BF6"/>
    <w:rsid w:val="004C0D8D"/>
    <w:rsid w:val="004C0DF2"/>
    <w:rsid w:val="004C1021"/>
    <w:rsid w:val="004C11BD"/>
    <w:rsid w:val="004C1279"/>
    <w:rsid w:val="004C139F"/>
    <w:rsid w:val="004C1738"/>
    <w:rsid w:val="004C17A7"/>
    <w:rsid w:val="004C1854"/>
    <w:rsid w:val="004C19DA"/>
    <w:rsid w:val="004C1CD4"/>
    <w:rsid w:val="004C1D44"/>
    <w:rsid w:val="004C1D9D"/>
    <w:rsid w:val="004C1EA4"/>
    <w:rsid w:val="004C200C"/>
    <w:rsid w:val="004C2146"/>
    <w:rsid w:val="004C2414"/>
    <w:rsid w:val="004C247C"/>
    <w:rsid w:val="004C28AB"/>
    <w:rsid w:val="004C2982"/>
    <w:rsid w:val="004C31CE"/>
    <w:rsid w:val="004C348E"/>
    <w:rsid w:val="004C35F3"/>
    <w:rsid w:val="004C385F"/>
    <w:rsid w:val="004C3ACA"/>
    <w:rsid w:val="004C3B0E"/>
    <w:rsid w:val="004C3C6A"/>
    <w:rsid w:val="004C3CFF"/>
    <w:rsid w:val="004C3E3A"/>
    <w:rsid w:val="004C3FE3"/>
    <w:rsid w:val="004C4357"/>
    <w:rsid w:val="004C44DA"/>
    <w:rsid w:val="004C4898"/>
    <w:rsid w:val="004C4906"/>
    <w:rsid w:val="004C4A54"/>
    <w:rsid w:val="004C4A83"/>
    <w:rsid w:val="004C4CC1"/>
    <w:rsid w:val="004C5208"/>
    <w:rsid w:val="004C5225"/>
    <w:rsid w:val="004C54E5"/>
    <w:rsid w:val="004C5556"/>
    <w:rsid w:val="004C58E8"/>
    <w:rsid w:val="004C5AFD"/>
    <w:rsid w:val="004C5D2F"/>
    <w:rsid w:val="004C60D9"/>
    <w:rsid w:val="004C629B"/>
    <w:rsid w:val="004C62AF"/>
    <w:rsid w:val="004C6580"/>
    <w:rsid w:val="004C659B"/>
    <w:rsid w:val="004C681F"/>
    <w:rsid w:val="004C68C1"/>
    <w:rsid w:val="004C68EF"/>
    <w:rsid w:val="004C6B73"/>
    <w:rsid w:val="004C6C31"/>
    <w:rsid w:val="004C6CAD"/>
    <w:rsid w:val="004C6D40"/>
    <w:rsid w:val="004C6D4E"/>
    <w:rsid w:val="004C6D58"/>
    <w:rsid w:val="004C6DED"/>
    <w:rsid w:val="004C7333"/>
    <w:rsid w:val="004C77FC"/>
    <w:rsid w:val="004C795C"/>
    <w:rsid w:val="004C7C8D"/>
    <w:rsid w:val="004C7DDB"/>
    <w:rsid w:val="004C7F26"/>
    <w:rsid w:val="004D008C"/>
    <w:rsid w:val="004D01F9"/>
    <w:rsid w:val="004D05EB"/>
    <w:rsid w:val="004D0828"/>
    <w:rsid w:val="004D0853"/>
    <w:rsid w:val="004D0C1C"/>
    <w:rsid w:val="004D0C73"/>
    <w:rsid w:val="004D0DEC"/>
    <w:rsid w:val="004D0F2B"/>
    <w:rsid w:val="004D10EA"/>
    <w:rsid w:val="004D1179"/>
    <w:rsid w:val="004D13FF"/>
    <w:rsid w:val="004D15F8"/>
    <w:rsid w:val="004D1854"/>
    <w:rsid w:val="004D18AF"/>
    <w:rsid w:val="004D1E75"/>
    <w:rsid w:val="004D1F30"/>
    <w:rsid w:val="004D2082"/>
    <w:rsid w:val="004D27AC"/>
    <w:rsid w:val="004D27AF"/>
    <w:rsid w:val="004D29B3"/>
    <w:rsid w:val="004D2BC1"/>
    <w:rsid w:val="004D2C0B"/>
    <w:rsid w:val="004D2C34"/>
    <w:rsid w:val="004D2F68"/>
    <w:rsid w:val="004D3389"/>
    <w:rsid w:val="004D3409"/>
    <w:rsid w:val="004D3507"/>
    <w:rsid w:val="004D36A8"/>
    <w:rsid w:val="004D3764"/>
    <w:rsid w:val="004D3A39"/>
    <w:rsid w:val="004D3B7C"/>
    <w:rsid w:val="004D3CC1"/>
    <w:rsid w:val="004D3CDF"/>
    <w:rsid w:val="004D3D16"/>
    <w:rsid w:val="004D3DB0"/>
    <w:rsid w:val="004D4026"/>
    <w:rsid w:val="004D4308"/>
    <w:rsid w:val="004D4386"/>
    <w:rsid w:val="004D44A2"/>
    <w:rsid w:val="004D44E6"/>
    <w:rsid w:val="004D4C79"/>
    <w:rsid w:val="004D4D3B"/>
    <w:rsid w:val="004D4F0C"/>
    <w:rsid w:val="004D4F21"/>
    <w:rsid w:val="004D502F"/>
    <w:rsid w:val="004D506B"/>
    <w:rsid w:val="004D507D"/>
    <w:rsid w:val="004D51ED"/>
    <w:rsid w:val="004D52B7"/>
    <w:rsid w:val="004D5472"/>
    <w:rsid w:val="004D54FE"/>
    <w:rsid w:val="004D551F"/>
    <w:rsid w:val="004D5547"/>
    <w:rsid w:val="004D56FD"/>
    <w:rsid w:val="004D5746"/>
    <w:rsid w:val="004D57D0"/>
    <w:rsid w:val="004D57F5"/>
    <w:rsid w:val="004D5BEA"/>
    <w:rsid w:val="004D5D58"/>
    <w:rsid w:val="004D5F09"/>
    <w:rsid w:val="004D60BF"/>
    <w:rsid w:val="004D6263"/>
    <w:rsid w:val="004D6331"/>
    <w:rsid w:val="004D6446"/>
    <w:rsid w:val="004D64D4"/>
    <w:rsid w:val="004D6503"/>
    <w:rsid w:val="004D652E"/>
    <w:rsid w:val="004D65C3"/>
    <w:rsid w:val="004D6664"/>
    <w:rsid w:val="004D666E"/>
    <w:rsid w:val="004D6D42"/>
    <w:rsid w:val="004D6DD3"/>
    <w:rsid w:val="004D6E66"/>
    <w:rsid w:val="004D6F23"/>
    <w:rsid w:val="004D6F9C"/>
    <w:rsid w:val="004D702D"/>
    <w:rsid w:val="004D774D"/>
    <w:rsid w:val="004D77EA"/>
    <w:rsid w:val="004D782E"/>
    <w:rsid w:val="004D7C6E"/>
    <w:rsid w:val="004E0074"/>
    <w:rsid w:val="004E05AB"/>
    <w:rsid w:val="004E05D1"/>
    <w:rsid w:val="004E0ADE"/>
    <w:rsid w:val="004E0B7A"/>
    <w:rsid w:val="004E0B9D"/>
    <w:rsid w:val="004E0CC2"/>
    <w:rsid w:val="004E0E0B"/>
    <w:rsid w:val="004E0F4F"/>
    <w:rsid w:val="004E1033"/>
    <w:rsid w:val="004E12D8"/>
    <w:rsid w:val="004E1435"/>
    <w:rsid w:val="004E14A2"/>
    <w:rsid w:val="004E14F5"/>
    <w:rsid w:val="004E16D3"/>
    <w:rsid w:val="004E1704"/>
    <w:rsid w:val="004E171D"/>
    <w:rsid w:val="004E1731"/>
    <w:rsid w:val="004E1787"/>
    <w:rsid w:val="004E1827"/>
    <w:rsid w:val="004E1962"/>
    <w:rsid w:val="004E1C3C"/>
    <w:rsid w:val="004E1CBA"/>
    <w:rsid w:val="004E2517"/>
    <w:rsid w:val="004E25BA"/>
    <w:rsid w:val="004E292E"/>
    <w:rsid w:val="004E29B6"/>
    <w:rsid w:val="004E2AAD"/>
    <w:rsid w:val="004E2BCC"/>
    <w:rsid w:val="004E2CD6"/>
    <w:rsid w:val="004E3073"/>
    <w:rsid w:val="004E32B0"/>
    <w:rsid w:val="004E362A"/>
    <w:rsid w:val="004E3653"/>
    <w:rsid w:val="004E36B3"/>
    <w:rsid w:val="004E37A2"/>
    <w:rsid w:val="004E3DBF"/>
    <w:rsid w:val="004E4201"/>
    <w:rsid w:val="004E4256"/>
    <w:rsid w:val="004E42A9"/>
    <w:rsid w:val="004E4375"/>
    <w:rsid w:val="004E44FA"/>
    <w:rsid w:val="004E4602"/>
    <w:rsid w:val="004E460E"/>
    <w:rsid w:val="004E48A8"/>
    <w:rsid w:val="004E48F5"/>
    <w:rsid w:val="004E4947"/>
    <w:rsid w:val="004E4962"/>
    <w:rsid w:val="004E4B4C"/>
    <w:rsid w:val="004E4BF9"/>
    <w:rsid w:val="004E4CD7"/>
    <w:rsid w:val="004E4D19"/>
    <w:rsid w:val="004E4DC3"/>
    <w:rsid w:val="004E4FC8"/>
    <w:rsid w:val="004E5103"/>
    <w:rsid w:val="004E5224"/>
    <w:rsid w:val="004E5329"/>
    <w:rsid w:val="004E536F"/>
    <w:rsid w:val="004E56B9"/>
    <w:rsid w:val="004E591E"/>
    <w:rsid w:val="004E5B21"/>
    <w:rsid w:val="004E5B57"/>
    <w:rsid w:val="004E5BA2"/>
    <w:rsid w:val="004E5C9F"/>
    <w:rsid w:val="004E5EF6"/>
    <w:rsid w:val="004E5F43"/>
    <w:rsid w:val="004E5F47"/>
    <w:rsid w:val="004E629F"/>
    <w:rsid w:val="004E65FB"/>
    <w:rsid w:val="004E662B"/>
    <w:rsid w:val="004E662F"/>
    <w:rsid w:val="004E666B"/>
    <w:rsid w:val="004E6912"/>
    <w:rsid w:val="004E6BEA"/>
    <w:rsid w:val="004E6DC0"/>
    <w:rsid w:val="004E6E72"/>
    <w:rsid w:val="004E6F67"/>
    <w:rsid w:val="004E7180"/>
    <w:rsid w:val="004E71BC"/>
    <w:rsid w:val="004E727C"/>
    <w:rsid w:val="004E7365"/>
    <w:rsid w:val="004E7390"/>
    <w:rsid w:val="004E7505"/>
    <w:rsid w:val="004E753F"/>
    <w:rsid w:val="004E7D4A"/>
    <w:rsid w:val="004F0234"/>
    <w:rsid w:val="004F037D"/>
    <w:rsid w:val="004F05F6"/>
    <w:rsid w:val="004F0628"/>
    <w:rsid w:val="004F087A"/>
    <w:rsid w:val="004F095F"/>
    <w:rsid w:val="004F09D2"/>
    <w:rsid w:val="004F0CC7"/>
    <w:rsid w:val="004F0E99"/>
    <w:rsid w:val="004F0EF9"/>
    <w:rsid w:val="004F10E4"/>
    <w:rsid w:val="004F1340"/>
    <w:rsid w:val="004F13DC"/>
    <w:rsid w:val="004F173B"/>
    <w:rsid w:val="004F1BED"/>
    <w:rsid w:val="004F1D2B"/>
    <w:rsid w:val="004F1D34"/>
    <w:rsid w:val="004F1E2A"/>
    <w:rsid w:val="004F1FA3"/>
    <w:rsid w:val="004F20A5"/>
    <w:rsid w:val="004F2297"/>
    <w:rsid w:val="004F22BB"/>
    <w:rsid w:val="004F22C1"/>
    <w:rsid w:val="004F24EA"/>
    <w:rsid w:val="004F2745"/>
    <w:rsid w:val="004F28BE"/>
    <w:rsid w:val="004F2A28"/>
    <w:rsid w:val="004F2DD9"/>
    <w:rsid w:val="004F323E"/>
    <w:rsid w:val="004F3387"/>
    <w:rsid w:val="004F3403"/>
    <w:rsid w:val="004F36FD"/>
    <w:rsid w:val="004F39F1"/>
    <w:rsid w:val="004F3E30"/>
    <w:rsid w:val="004F4667"/>
    <w:rsid w:val="004F4717"/>
    <w:rsid w:val="004F48EE"/>
    <w:rsid w:val="004F4929"/>
    <w:rsid w:val="004F4BCE"/>
    <w:rsid w:val="004F4CDC"/>
    <w:rsid w:val="004F50E8"/>
    <w:rsid w:val="004F52BD"/>
    <w:rsid w:val="004F5343"/>
    <w:rsid w:val="004F53B5"/>
    <w:rsid w:val="004F55E7"/>
    <w:rsid w:val="004F56C9"/>
    <w:rsid w:val="004F5778"/>
    <w:rsid w:val="004F5847"/>
    <w:rsid w:val="004F58E6"/>
    <w:rsid w:val="004F5977"/>
    <w:rsid w:val="004F5B3E"/>
    <w:rsid w:val="004F5B5A"/>
    <w:rsid w:val="004F5E32"/>
    <w:rsid w:val="004F5E84"/>
    <w:rsid w:val="004F608D"/>
    <w:rsid w:val="004F6560"/>
    <w:rsid w:val="004F65EC"/>
    <w:rsid w:val="004F6836"/>
    <w:rsid w:val="004F6A6E"/>
    <w:rsid w:val="004F6B99"/>
    <w:rsid w:val="004F6CCA"/>
    <w:rsid w:val="004F6FD4"/>
    <w:rsid w:val="004F6FEE"/>
    <w:rsid w:val="004F70C4"/>
    <w:rsid w:val="004F71AD"/>
    <w:rsid w:val="004F741B"/>
    <w:rsid w:val="004F7481"/>
    <w:rsid w:val="004F7487"/>
    <w:rsid w:val="004F78B9"/>
    <w:rsid w:val="004F7907"/>
    <w:rsid w:val="004F79E2"/>
    <w:rsid w:val="004F7EFA"/>
    <w:rsid w:val="004F7FE3"/>
    <w:rsid w:val="005003BA"/>
    <w:rsid w:val="00500663"/>
    <w:rsid w:val="005006C7"/>
    <w:rsid w:val="0050077E"/>
    <w:rsid w:val="005007DB"/>
    <w:rsid w:val="00500919"/>
    <w:rsid w:val="0050097D"/>
    <w:rsid w:val="00500998"/>
    <w:rsid w:val="005009AB"/>
    <w:rsid w:val="00500A84"/>
    <w:rsid w:val="00500C11"/>
    <w:rsid w:val="00500CBC"/>
    <w:rsid w:val="00500DC2"/>
    <w:rsid w:val="00501263"/>
    <w:rsid w:val="005012D9"/>
    <w:rsid w:val="0050140A"/>
    <w:rsid w:val="0050196C"/>
    <w:rsid w:val="00501BDE"/>
    <w:rsid w:val="00502224"/>
    <w:rsid w:val="0050245A"/>
    <w:rsid w:val="005026D2"/>
    <w:rsid w:val="0050285B"/>
    <w:rsid w:val="005029D4"/>
    <w:rsid w:val="005029E4"/>
    <w:rsid w:val="00502CB0"/>
    <w:rsid w:val="00502E87"/>
    <w:rsid w:val="00502F78"/>
    <w:rsid w:val="00503010"/>
    <w:rsid w:val="0050303A"/>
    <w:rsid w:val="00503243"/>
    <w:rsid w:val="00503331"/>
    <w:rsid w:val="00503696"/>
    <w:rsid w:val="00503812"/>
    <w:rsid w:val="00503840"/>
    <w:rsid w:val="00503CBA"/>
    <w:rsid w:val="00503EE2"/>
    <w:rsid w:val="0050405E"/>
    <w:rsid w:val="0050430C"/>
    <w:rsid w:val="005046B7"/>
    <w:rsid w:val="005046C5"/>
    <w:rsid w:val="00504BAE"/>
    <w:rsid w:val="00504C4E"/>
    <w:rsid w:val="00504E83"/>
    <w:rsid w:val="00504EAB"/>
    <w:rsid w:val="00504EC8"/>
    <w:rsid w:val="00504F65"/>
    <w:rsid w:val="00505240"/>
    <w:rsid w:val="005052B8"/>
    <w:rsid w:val="005052C7"/>
    <w:rsid w:val="0050541A"/>
    <w:rsid w:val="0050563F"/>
    <w:rsid w:val="0050599A"/>
    <w:rsid w:val="00505D50"/>
    <w:rsid w:val="00505D61"/>
    <w:rsid w:val="00505D94"/>
    <w:rsid w:val="00505E88"/>
    <w:rsid w:val="00505EB5"/>
    <w:rsid w:val="005062DB"/>
    <w:rsid w:val="005063E5"/>
    <w:rsid w:val="005064BA"/>
    <w:rsid w:val="0050673B"/>
    <w:rsid w:val="00506794"/>
    <w:rsid w:val="005068BC"/>
    <w:rsid w:val="0050693E"/>
    <w:rsid w:val="00506B38"/>
    <w:rsid w:val="00506B4A"/>
    <w:rsid w:val="00506BF6"/>
    <w:rsid w:val="00506DAD"/>
    <w:rsid w:val="00506E06"/>
    <w:rsid w:val="00506EF4"/>
    <w:rsid w:val="00506F06"/>
    <w:rsid w:val="00507288"/>
    <w:rsid w:val="00507443"/>
    <w:rsid w:val="00507464"/>
    <w:rsid w:val="0050764B"/>
    <w:rsid w:val="0050770E"/>
    <w:rsid w:val="005077FD"/>
    <w:rsid w:val="0050798E"/>
    <w:rsid w:val="00507A88"/>
    <w:rsid w:val="00507C30"/>
    <w:rsid w:val="00507DC9"/>
    <w:rsid w:val="0051022D"/>
    <w:rsid w:val="005104F5"/>
    <w:rsid w:val="0051060C"/>
    <w:rsid w:val="005109C6"/>
    <w:rsid w:val="00510BE5"/>
    <w:rsid w:val="00510C1F"/>
    <w:rsid w:val="00511101"/>
    <w:rsid w:val="0051111C"/>
    <w:rsid w:val="005112E1"/>
    <w:rsid w:val="0051151F"/>
    <w:rsid w:val="005115A9"/>
    <w:rsid w:val="00511760"/>
    <w:rsid w:val="0051186A"/>
    <w:rsid w:val="00511B97"/>
    <w:rsid w:val="00511CE0"/>
    <w:rsid w:val="00511D1F"/>
    <w:rsid w:val="0051208E"/>
    <w:rsid w:val="00512155"/>
    <w:rsid w:val="005121AF"/>
    <w:rsid w:val="0051228F"/>
    <w:rsid w:val="00512452"/>
    <w:rsid w:val="0051257A"/>
    <w:rsid w:val="00512644"/>
    <w:rsid w:val="00512645"/>
    <w:rsid w:val="005126BA"/>
    <w:rsid w:val="005127BB"/>
    <w:rsid w:val="0051287A"/>
    <w:rsid w:val="005128E6"/>
    <w:rsid w:val="00512ACC"/>
    <w:rsid w:val="005130AF"/>
    <w:rsid w:val="005131B4"/>
    <w:rsid w:val="0051339A"/>
    <w:rsid w:val="00513743"/>
    <w:rsid w:val="005139F6"/>
    <w:rsid w:val="00513A51"/>
    <w:rsid w:val="00513B3D"/>
    <w:rsid w:val="00513C0E"/>
    <w:rsid w:val="00513E48"/>
    <w:rsid w:val="00514059"/>
    <w:rsid w:val="00514081"/>
    <w:rsid w:val="00514212"/>
    <w:rsid w:val="005142E7"/>
    <w:rsid w:val="0051445F"/>
    <w:rsid w:val="00514463"/>
    <w:rsid w:val="00514474"/>
    <w:rsid w:val="0051448A"/>
    <w:rsid w:val="00514526"/>
    <w:rsid w:val="00514625"/>
    <w:rsid w:val="00514626"/>
    <w:rsid w:val="00514788"/>
    <w:rsid w:val="00514805"/>
    <w:rsid w:val="005148F3"/>
    <w:rsid w:val="005149A6"/>
    <w:rsid w:val="005149DE"/>
    <w:rsid w:val="00514D1F"/>
    <w:rsid w:val="00514D28"/>
    <w:rsid w:val="00514DE2"/>
    <w:rsid w:val="005155B3"/>
    <w:rsid w:val="0051563D"/>
    <w:rsid w:val="005156F4"/>
    <w:rsid w:val="00515789"/>
    <w:rsid w:val="005158EB"/>
    <w:rsid w:val="00515AAC"/>
    <w:rsid w:val="00515D8F"/>
    <w:rsid w:val="00515EC5"/>
    <w:rsid w:val="005161D2"/>
    <w:rsid w:val="00516558"/>
    <w:rsid w:val="005166DB"/>
    <w:rsid w:val="00516A4D"/>
    <w:rsid w:val="00516BAB"/>
    <w:rsid w:val="00516E4E"/>
    <w:rsid w:val="00516E5B"/>
    <w:rsid w:val="00516FD2"/>
    <w:rsid w:val="005171A9"/>
    <w:rsid w:val="0051736B"/>
    <w:rsid w:val="00517430"/>
    <w:rsid w:val="0051765F"/>
    <w:rsid w:val="005176DB"/>
    <w:rsid w:val="00517A49"/>
    <w:rsid w:val="00517A4B"/>
    <w:rsid w:val="00517A90"/>
    <w:rsid w:val="00517A9E"/>
    <w:rsid w:val="00517B66"/>
    <w:rsid w:val="00517D37"/>
    <w:rsid w:val="00517E84"/>
    <w:rsid w:val="00517F4E"/>
    <w:rsid w:val="00520326"/>
    <w:rsid w:val="00520624"/>
    <w:rsid w:val="005207FC"/>
    <w:rsid w:val="00520860"/>
    <w:rsid w:val="005208B0"/>
    <w:rsid w:val="005208B8"/>
    <w:rsid w:val="005209D5"/>
    <w:rsid w:val="00520F29"/>
    <w:rsid w:val="005214E5"/>
    <w:rsid w:val="00521511"/>
    <w:rsid w:val="005218A9"/>
    <w:rsid w:val="00521921"/>
    <w:rsid w:val="0052195C"/>
    <w:rsid w:val="00521D27"/>
    <w:rsid w:val="00521D73"/>
    <w:rsid w:val="00521F67"/>
    <w:rsid w:val="00522182"/>
    <w:rsid w:val="0052269C"/>
    <w:rsid w:val="00522713"/>
    <w:rsid w:val="00522766"/>
    <w:rsid w:val="00522972"/>
    <w:rsid w:val="00522A67"/>
    <w:rsid w:val="00522AF4"/>
    <w:rsid w:val="00522E4D"/>
    <w:rsid w:val="00522E80"/>
    <w:rsid w:val="00522F65"/>
    <w:rsid w:val="005235FA"/>
    <w:rsid w:val="00523629"/>
    <w:rsid w:val="005236D8"/>
    <w:rsid w:val="005239DA"/>
    <w:rsid w:val="00523BD2"/>
    <w:rsid w:val="00523DE9"/>
    <w:rsid w:val="00523E2B"/>
    <w:rsid w:val="005241BA"/>
    <w:rsid w:val="00524261"/>
    <w:rsid w:val="005244C3"/>
    <w:rsid w:val="00524523"/>
    <w:rsid w:val="005246E7"/>
    <w:rsid w:val="00524724"/>
    <w:rsid w:val="00524782"/>
    <w:rsid w:val="005247D0"/>
    <w:rsid w:val="005249FC"/>
    <w:rsid w:val="005249FE"/>
    <w:rsid w:val="00524BD3"/>
    <w:rsid w:val="00524C8F"/>
    <w:rsid w:val="00524D42"/>
    <w:rsid w:val="00524EDF"/>
    <w:rsid w:val="00524F40"/>
    <w:rsid w:val="0052512A"/>
    <w:rsid w:val="0052529A"/>
    <w:rsid w:val="00525542"/>
    <w:rsid w:val="00525553"/>
    <w:rsid w:val="00525558"/>
    <w:rsid w:val="0052569A"/>
    <w:rsid w:val="00525746"/>
    <w:rsid w:val="005259ED"/>
    <w:rsid w:val="00525D19"/>
    <w:rsid w:val="00525D7A"/>
    <w:rsid w:val="00525EEB"/>
    <w:rsid w:val="00525F16"/>
    <w:rsid w:val="005260AC"/>
    <w:rsid w:val="005262E1"/>
    <w:rsid w:val="0052671A"/>
    <w:rsid w:val="005267FD"/>
    <w:rsid w:val="00526B79"/>
    <w:rsid w:val="00526B8E"/>
    <w:rsid w:val="00526D63"/>
    <w:rsid w:val="00526E14"/>
    <w:rsid w:val="005272E3"/>
    <w:rsid w:val="00527364"/>
    <w:rsid w:val="0052776A"/>
    <w:rsid w:val="00527D03"/>
    <w:rsid w:val="00527D0C"/>
    <w:rsid w:val="00530025"/>
    <w:rsid w:val="005302FD"/>
    <w:rsid w:val="0053070F"/>
    <w:rsid w:val="00530BAF"/>
    <w:rsid w:val="00530C79"/>
    <w:rsid w:val="00530D3E"/>
    <w:rsid w:val="00531108"/>
    <w:rsid w:val="0053114A"/>
    <w:rsid w:val="00531326"/>
    <w:rsid w:val="0053144C"/>
    <w:rsid w:val="00531599"/>
    <w:rsid w:val="00531983"/>
    <w:rsid w:val="0053199A"/>
    <w:rsid w:val="00531AAB"/>
    <w:rsid w:val="00531D09"/>
    <w:rsid w:val="00531FA5"/>
    <w:rsid w:val="00531FD8"/>
    <w:rsid w:val="0053218A"/>
    <w:rsid w:val="0053218F"/>
    <w:rsid w:val="00532216"/>
    <w:rsid w:val="00532532"/>
    <w:rsid w:val="005325FC"/>
    <w:rsid w:val="005326DC"/>
    <w:rsid w:val="00532745"/>
    <w:rsid w:val="005328FC"/>
    <w:rsid w:val="00532A29"/>
    <w:rsid w:val="00532B29"/>
    <w:rsid w:val="00532B5D"/>
    <w:rsid w:val="00532D47"/>
    <w:rsid w:val="00532DA2"/>
    <w:rsid w:val="00532E5A"/>
    <w:rsid w:val="00532E86"/>
    <w:rsid w:val="00532EB4"/>
    <w:rsid w:val="0053328A"/>
    <w:rsid w:val="005334B6"/>
    <w:rsid w:val="005335E3"/>
    <w:rsid w:val="0053390F"/>
    <w:rsid w:val="00533A38"/>
    <w:rsid w:val="00533ABD"/>
    <w:rsid w:val="00533BD0"/>
    <w:rsid w:val="00533D4E"/>
    <w:rsid w:val="00533E41"/>
    <w:rsid w:val="00533F16"/>
    <w:rsid w:val="00533F51"/>
    <w:rsid w:val="00533F6B"/>
    <w:rsid w:val="0053436B"/>
    <w:rsid w:val="005345FE"/>
    <w:rsid w:val="00534606"/>
    <w:rsid w:val="0053467A"/>
    <w:rsid w:val="00534BC1"/>
    <w:rsid w:val="00534CD6"/>
    <w:rsid w:val="00534CDA"/>
    <w:rsid w:val="00534CE8"/>
    <w:rsid w:val="00534D6A"/>
    <w:rsid w:val="00534F34"/>
    <w:rsid w:val="0053528E"/>
    <w:rsid w:val="0053545C"/>
    <w:rsid w:val="0053567E"/>
    <w:rsid w:val="0053577C"/>
    <w:rsid w:val="005358B7"/>
    <w:rsid w:val="00535A8F"/>
    <w:rsid w:val="00535AC8"/>
    <w:rsid w:val="00535D9C"/>
    <w:rsid w:val="00535EA7"/>
    <w:rsid w:val="00535F35"/>
    <w:rsid w:val="00535F4D"/>
    <w:rsid w:val="00536169"/>
    <w:rsid w:val="00536237"/>
    <w:rsid w:val="0053633C"/>
    <w:rsid w:val="005363EC"/>
    <w:rsid w:val="0053667F"/>
    <w:rsid w:val="005366C5"/>
    <w:rsid w:val="0053689F"/>
    <w:rsid w:val="005368EC"/>
    <w:rsid w:val="00536927"/>
    <w:rsid w:val="00536969"/>
    <w:rsid w:val="005369A5"/>
    <w:rsid w:val="00536A7D"/>
    <w:rsid w:val="00536D1C"/>
    <w:rsid w:val="00536D7F"/>
    <w:rsid w:val="00536E08"/>
    <w:rsid w:val="00536E5D"/>
    <w:rsid w:val="00536F2D"/>
    <w:rsid w:val="00536FE7"/>
    <w:rsid w:val="00537342"/>
    <w:rsid w:val="00537457"/>
    <w:rsid w:val="00537580"/>
    <w:rsid w:val="005375AF"/>
    <w:rsid w:val="005378C1"/>
    <w:rsid w:val="005378DD"/>
    <w:rsid w:val="005379E4"/>
    <w:rsid w:val="00537D6B"/>
    <w:rsid w:val="00537E1C"/>
    <w:rsid w:val="00537EF9"/>
    <w:rsid w:val="00537FB5"/>
    <w:rsid w:val="0054009E"/>
    <w:rsid w:val="0054041E"/>
    <w:rsid w:val="0054051F"/>
    <w:rsid w:val="0054056E"/>
    <w:rsid w:val="00540586"/>
    <w:rsid w:val="0054073C"/>
    <w:rsid w:val="005407B4"/>
    <w:rsid w:val="00540D67"/>
    <w:rsid w:val="00540DF5"/>
    <w:rsid w:val="00540E16"/>
    <w:rsid w:val="00540F33"/>
    <w:rsid w:val="00540F71"/>
    <w:rsid w:val="00541145"/>
    <w:rsid w:val="005412B0"/>
    <w:rsid w:val="005413FA"/>
    <w:rsid w:val="00541737"/>
    <w:rsid w:val="0054176D"/>
    <w:rsid w:val="00541BB7"/>
    <w:rsid w:val="00541BBB"/>
    <w:rsid w:val="00541C9D"/>
    <w:rsid w:val="00541DA3"/>
    <w:rsid w:val="0054210D"/>
    <w:rsid w:val="00542136"/>
    <w:rsid w:val="00542171"/>
    <w:rsid w:val="005421C5"/>
    <w:rsid w:val="00542288"/>
    <w:rsid w:val="005425FF"/>
    <w:rsid w:val="00542647"/>
    <w:rsid w:val="005426B6"/>
    <w:rsid w:val="005427C6"/>
    <w:rsid w:val="00542A2D"/>
    <w:rsid w:val="00542B03"/>
    <w:rsid w:val="00542B21"/>
    <w:rsid w:val="00542CCE"/>
    <w:rsid w:val="00542EA6"/>
    <w:rsid w:val="0054316D"/>
    <w:rsid w:val="005432AF"/>
    <w:rsid w:val="005433F0"/>
    <w:rsid w:val="0054340F"/>
    <w:rsid w:val="00543454"/>
    <w:rsid w:val="00543A9E"/>
    <w:rsid w:val="00543CE8"/>
    <w:rsid w:val="00543D4A"/>
    <w:rsid w:val="00544053"/>
    <w:rsid w:val="005440A0"/>
    <w:rsid w:val="005440EE"/>
    <w:rsid w:val="005442FB"/>
    <w:rsid w:val="0054436E"/>
    <w:rsid w:val="00544391"/>
    <w:rsid w:val="005443CD"/>
    <w:rsid w:val="00544408"/>
    <w:rsid w:val="005445BA"/>
    <w:rsid w:val="005446B0"/>
    <w:rsid w:val="00544A1F"/>
    <w:rsid w:val="00544B1D"/>
    <w:rsid w:val="00544BEA"/>
    <w:rsid w:val="00544DDF"/>
    <w:rsid w:val="00544E0C"/>
    <w:rsid w:val="00544FD2"/>
    <w:rsid w:val="005450B6"/>
    <w:rsid w:val="00545448"/>
    <w:rsid w:val="00545635"/>
    <w:rsid w:val="005459C2"/>
    <w:rsid w:val="00545AAA"/>
    <w:rsid w:val="00545AD7"/>
    <w:rsid w:val="00545B43"/>
    <w:rsid w:val="00545B7A"/>
    <w:rsid w:val="00545DA8"/>
    <w:rsid w:val="0054606F"/>
    <w:rsid w:val="0054634E"/>
    <w:rsid w:val="005463B0"/>
    <w:rsid w:val="00546533"/>
    <w:rsid w:val="00546795"/>
    <w:rsid w:val="005467F2"/>
    <w:rsid w:val="005469E6"/>
    <w:rsid w:val="00546AE0"/>
    <w:rsid w:val="00546D29"/>
    <w:rsid w:val="00546D61"/>
    <w:rsid w:val="00546E3C"/>
    <w:rsid w:val="0054703C"/>
    <w:rsid w:val="005470F2"/>
    <w:rsid w:val="005472A3"/>
    <w:rsid w:val="005473E1"/>
    <w:rsid w:val="00547412"/>
    <w:rsid w:val="005476E4"/>
    <w:rsid w:val="00547874"/>
    <w:rsid w:val="0054795E"/>
    <w:rsid w:val="00547A1E"/>
    <w:rsid w:val="00547B2D"/>
    <w:rsid w:val="00547BA3"/>
    <w:rsid w:val="00547BC9"/>
    <w:rsid w:val="00547D2C"/>
    <w:rsid w:val="00547F5F"/>
    <w:rsid w:val="005509D9"/>
    <w:rsid w:val="00550A0C"/>
    <w:rsid w:val="00550A65"/>
    <w:rsid w:val="00550CC7"/>
    <w:rsid w:val="00550D15"/>
    <w:rsid w:val="00550DBD"/>
    <w:rsid w:val="00550E2F"/>
    <w:rsid w:val="00550E88"/>
    <w:rsid w:val="00550FAB"/>
    <w:rsid w:val="005510D0"/>
    <w:rsid w:val="005510E2"/>
    <w:rsid w:val="00551266"/>
    <w:rsid w:val="005512F7"/>
    <w:rsid w:val="00551418"/>
    <w:rsid w:val="00551501"/>
    <w:rsid w:val="005518D9"/>
    <w:rsid w:val="00551933"/>
    <w:rsid w:val="005519BC"/>
    <w:rsid w:val="00551A01"/>
    <w:rsid w:val="00551A93"/>
    <w:rsid w:val="00551B23"/>
    <w:rsid w:val="00551C21"/>
    <w:rsid w:val="00551D20"/>
    <w:rsid w:val="00551D34"/>
    <w:rsid w:val="00551F1E"/>
    <w:rsid w:val="00551F63"/>
    <w:rsid w:val="005521A2"/>
    <w:rsid w:val="005521C5"/>
    <w:rsid w:val="005522DC"/>
    <w:rsid w:val="00552418"/>
    <w:rsid w:val="0055244E"/>
    <w:rsid w:val="005526F1"/>
    <w:rsid w:val="005527DF"/>
    <w:rsid w:val="00552935"/>
    <w:rsid w:val="00552CC8"/>
    <w:rsid w:val="00552E89"/>
    <w:rsid w:val="00552F1F"/>
    <w:rsid w:val="00553061"/>
    <w:rsid w:val="00553126"/>
    <w:rsid w:val="005532AE"/>
    <w:rsid w:val="00553341"/>
    <w:rsid w:val="005534CD"/>
    <w:rsid w:val="00553531"/>
    <w:rsid w:val="00553557"/>
    <w:rsid w:val="005535B5"/>
    <w:rsid w:val="005537F2"/>
    <w:rsid w:val="0055381F"/>
    <w:rsid w:val="00554072"/>
    <w:rsid w:val="005540DE"/>
    <w:rsid w:val="0055410A"/>
    <w:rsid w:val="0055429A"/>
    <w:rsid w:val="005544DE"/>
    <w:rsid w:val="00554538"/>
    <w:rsid w:val="0055497E"/>
    <w:rsid w:val="005549F7"/>
    <w:rsid w:val="00555034"/>
    <w:rsid w:val="00555061"/>
    <w:rsid w:val="005551CD"/>
    <w:rsid w:val="005551F3"/>
    <w:rsid w:val="005552F4"/>
    <w:rsid w:val="00555652"/>
    <w:rsid w:val="00555F33"/>
    <w:rsid w:val="00556036"/>
    <w:rsid w:val="00556074"/>
    <w:rsid w:val="005561EB"/>
    <w:rsid w:val="005563D4"/>
    <w:rsid w:val="005565B2"/>
    <w:rsid w:val="005565B8"/>
    <w:rsid w:val="00556619"/>
    <w:rsid w:val="0055664C"/>
    <w:rsid w:val="005567C9"/>
    <w:rsid w:val="0055697F"/>
    <w:rsid w:val="005569C8"/>
    <w:rsid w:val="00556AC1"/>
    <w:rsid w:val="00556AE9"/>
    <w:rsid w:val="00556C7D"/>
    <w:rsid w:val="00556F32"/>
    <w:rsid w:val="00556F60"/>
    <w:rsid w:val="00556FE2"/>
    <w:rsid w:val="005571DE"/>
    <w:rsid w:val="00557428"/>
    <w:rsid w:val="005575B7"/>
    <w:rsid w:val="00557668"/>
    <w:rsid w:val="005576BC"/>
    <w:rsid w:val="00557701"/>
    <w:rsid w:val="005577E4"/>
    <w:rsid w:val="005577F2"/>
    <w:rsid w:val="00557A82"/>
    <w:rsid w:val="00557C09"/>
    <w:rsid w:val="00557D41"/>
    <w:rsid w:val="00557F1F"/>
    <w:rsid w:val="00560245"/>
    <w:rsid w:val="00560251"/>
    <w:rsid w:val="00560291"/>
    <w:rsid w:val="0056039A"/>
    <w:rsid w:val="005606E9"/>
    <w:rsid w:val="00560710"/>
    <w:rsid w:val="00560754"/>
    <w:rsid w:val="00560A3A"/>
    <w:rsid w:val="00560E8E"/>
    <w:rsid w:val="00560FC2"/>
    <w:rsid w:val="00561033"/>
    <w:rsid w:val="00561113"/>
    <w:rsid w:val="00561397"/>
    <w:rsid w:val="00561490"/>
    <w:rsid w:val="00561557"/>
    <w:rsid w:val="0056159D"/>
    <w:rsid w:val="0056164A"/>
    <w:rsid w:val="00561694"/>
    <w:rsid w:val="005616DD"/>
    <w:rsid w:val="00561DDB"/>
    <w:rsid w:val="00561F87"/>
    <w:rsid w:val="00562055"/>
    <w:rsid w:val="00562061"/>
    <w:rsid w:val="00562289"/>
    <w:rsid w:val="0056229B"/>
    <w:rsid w:val="0056238C"/>
    <w:rsid w:val="00562442"/>
    <w:rsid w:val="0056257C"/>
    <w:rsid w:val="005626F5"/>
    <w:rsid w:val="00562706"/>
    <w:rsid w:val="005627E2"/>
    <w:rsid w:val="00562892"/>
    <w:rsid w:val="00562AC9"/>
    <w:rsid w:val="00562CC3"/>
    <w:rsid w:val="00562D59"/>
    <w:rsid w:val="00562D98"/>
    <w:rsid w:val="0056328B"/>
    <w:rsid w:val="00563402"/>
    <w:rsid w:val="00563470"/>
    <w:rsid w:val="0056351C"/>
    <w:rsid w:val="0056353D"/>
    <w:rsid w:val="00563585"/>
    <w:rsid w:val="0056363F"/>
    <w:rsid w:val="005637EC"/>
    <w:rsid w:val="00563BE7"/>
    <w:rsid w:val="00563C02"/>
    <w:rsid w:val="00563C48"/>
    <w:rsid w:val="00563D98"/>
    <w:rsid w:val="00563EF4"/>
    <w:rsid w:val="00563FF5"/>
    <w:rsid w:val="00564504"/>
    <w:rsid w:val="0056463E"/>
    <w:rsid w:val="00564847"/>
    <w:rsid w:val="00564B18"/>
    <w:rsid w:val="00564BB6"/>
    <w:rsid w:val="00564C0A"/>
    <w:rsid w:val="005652A1"/>
    <w:rsid w:val="0056535E"/>
    <w:rsid w:val="005654CD"/>
    <w:rsid w:val="005656F5"/>
    <w:rsid w:val="00565706"/>
    <w:rsid w:val="00565775"/>
    <w:rsid w:val="00565974"/>
    <w:rsid w:val="00565B58"/>
    <w:rsid w:val="00566091"/>
    <w:rsid w:val="005663A6"/>
    <w:rsid w:val="005664A2"/>
    <w:rsid w:val="005664B1"/>
    <w:rsid w:val="005665D4"/>
    <w:rsid w:val="00566887"/>
    <w:rsid w:val="0056688E"/>
    <w:rsid w:val="005668D7"/>
    <w:rsid w:val="00566927"/>
    <w:rsid w:val="00566A52"/>
    <w:rsid w:val="00566AFF"/>
    <w:rsid w:val="00566B32"/>
    <w:rsid w:val="00566C0E"/>
    <w:rsid w:val="00566D1D"/>
    <w:rsid w:val="00566D43"/>
    <w:rsid w:val="00566DA6"/>
    <w:rsid w:val="00567093"/>
    <w:rsid w:val="005670F3"/>
    <w:rsid w:val="00567347"/>
    <w:rsid w:val="005673A2"/>
    <w:rsid w:val="005673FB"/>
    <w:rsid w:val="005675EC"/>
    <w:rsid w:val="0056762D"/>
    <w:rsid w:val="0056778E"/>
    <w:rsid w:val="00567B24"/>
    <w:rsid w:val="00567CBB"/>
    <w:rsid w:val="00567D8D"/>
    <w:rsid w:val="00567E19"/>
    <w:rsid w:val="0057013B"/>
    <w:rsid w:val="00570255"/>
    <w:rsid w:val="005703D4"/>
    <w:rsid w:val="00570661"/>
    <w:rsid w:val="00570A14"/>
    <w:rsid w:val="00570AA8"/>
    <w:rsid w:val="00570C90"/>
    <w:rsid w:val="00570E4D"/>
    <w:rsid w:val="005710C2"/>
    <w:rsid w:val="005713AB"/>
    <w:rsid w:val="005713DC"/>
    <w:rsid w:val="00571496"/>
    <w:rsid w:val="00571536"/>
    <w:rsid w:val="0057159B"/>
    <w:rsid w:val="005715B7"/>
    <w:rsid w:val="00571646"/>
    <w:rsid w:val="0057171B"/>
    <w:rsid w:val="0057173A"/>
    <w:rsid w:val="00571C11"/>
    <w:rsid w:val="00571CE4"/>
    <w:rsid w:val="00571D09"/>
    <w:rsid w:val="00571E1A"/>
    <w:rsid w:val="00571F1E"/>
    <w:rsid w:val="00572198"/>
    <w:rsid w:val="005723E2"/>
    <w:rsid w:val="00572414"/>
    <w:rsid w:val="005724F0"/>
    <w:rsid w:val="00572867"/>
    <w:rsid w:val="005728A1"/>
    <w:rsid w:val="00572BD1"/>
    <w:rsid w:val="00572C26"/>
    <w:rsid w:val="00572D2F"/>
    <w:rsid w:val="00572D82"/>
    <w:rsid w:val="00572DC4"/>
    <w:rsid w:val="00572F26"/>
    <w:rsid w:val="00572F4D"/>
    <w:rsid w:val="00572FFD"/>
    <w:rsid w:val="0057301E"/>
    <w:rsid w:val="0057307C"/>
    <w:rsid w:val="005734D7"/>
    <w:rsid w:val="00573905"/>
    <w:rsid w:val="00573929"/>
    <w:rsid w:val="00573C4A"/>
    <w:rsid w:val="00573F55"/>
    <w:rsid w:val="00574044"/>
    <w:rsid w:val="00574048"/>
    <w:rsid w:val="00574139"/>
    <w:rsid w:val="005748D2"/>
    <w:rsid w:val="00574916"/>
    <w:rsid w:val="00574C83"/>
    <w:rsid w:val="00574D3E"/>
    <w:rsid w:val="00574D99"/>
    <w:rsid w:val="00575102"/>
    <w:rsid w:val="00575182"/>
    <w:rsid w:val="00575345"/>
    <w:rsid w:val="005754AA"/>
    <w:rsid w:val="00575545"/>
    <w:rsid w:val="005755C6"/>
    <w:rsid w:val="005758C7"/>
    <w:rsid w:val="005759D4"/>
    <w:rsid w:val="00575A32"/>
    <w:rsid w:val="00575BFA"/>
    <w:rsid w:val="00575DED"/>
    <w:rsid w:val="00575E98"/>
    <w:rsid w:val="00575F34"/>
    <w:rsid w:val="005760E8"/>
    <w:rsid w:val="005761EA"/>
    <w:rsid w:val="0057664A"/>
    <w:rsid w:val="00576730"/>
    <w:rsid w:val="005769AA"/>
    <w:rsid w:val="0057723D"/>
    <w:rsid w:val="0057738B"/>
    <w:rsid w:val="00577483"/>
    <w:rsid w:val="005777A2"/>
    <w:rsid w:val="005778A0"/>
    <w:rsid w:val="00577B09"/>
    <w:rsid w:val="00577C22"/>
    <w:rsid w:val="00577C4B"/>
    <w:rsid w:val="00577DC7"/>
    <w:rsid w:val="00577E2B"/>
    <w:rsid w:val="005802B9"/>
    <w:rsid w:val="0058047B"/>
    <w:rsid w:val="00580632"/>
    <w:rsid w:val="005808E5"/>
    <w:rsid w:val="005809CD"/>
    <w:rsid w:val="00580BAF"/>
    <w:rsid w:val="00580C16"/>
    <w:rsid w:val="00580C40"/>
    <w:rsid w:val="00580E9F"/>
    <w:rsid w:val="00580ECF"/>
    <w:rsid w:val="00580F8D"/>
    <w:rsid w:val="005812A1"/>
    <w:rsid w:val="005812B2"/>
    <w:rsid w:val="00581428"/>
    <w:rsid w:val="005815C1"/>
    <w:rsid w:val="00581676"/>
    <w:rsid w:val="00581763"/>
    <w:rsid w:val="00581987"/>
    <w:rsid w:val="00581E71"/>
    <w:rsid w:val="00581F96"/>
    <w:rsid w:val="00582216"/>
    <w:rsid w:val="005822BC"/>
    <w:rsid w:val="005822D3"/>
    <w:rsid w:val="005825BB"/>
    <w:rsid w:val="005829F2"/>
    <w:rsid w:val="00582AB1"/>
    <w:rsid w:val="00582B1E"/>
    <w:rsid w:val="00582B1F"/>
    <w:rsid w:val="00582B21"/>
    <w:rsid w:val="00582DAF"/>
    <w:rsid w:val="00582E02"/>
    <w:rsid w:val="00582EC0"/>
    <w:rsid w:val="00582EE9"/>
    <w:rsid w:val="00582F95"/>
    <w:rsid w:val="005833D5"/>
    <w:rsid w:val="005833E6"/>
    <w:rsid w:val="00583631"/>
    <w:rsid w:val="005839F8"/>
    <w:rsid w:val="00583A66"/>
    <w:rsid w:val="00583ADC"/>
    <w:rsid w:val="00583BED"/>
    <w:rsid w:val="00583CD6"/>
    <w:rsid w:val="00583DA2"/>
    <w:rsid w:val="005841F1"/>
    <w:rsid w:val="0058430B"/>
    <w:rsid w:val="005845A1"/>
    <w:rsid w:val="00584873"/>
    <w:rsid w:val="00584889"/>
    <w:rsid w:val="00584982"/>
    <w:rsid w:val="00584BBE"/>
    <w:rsid w:val="00584DDB"/>
    <w:rsid w:val="00584E06"/>
    <w:rsid w:val="005854ED"/>
    <w:rsid w:val="00585610"/>
    <w:rsid w:val="0058593C"/>
    <w:rsid w:val="00585958"/>
    <w:rsid w:val="00585BBA"/>
    <w:rsid w:val="00585CF1"/>
    <w:rsid w:val="0058624F"/>
    <w:rsid w:val="005862A6"/>
    <w:rsid w:val="005862CC"/>
    <w:rsid w:val="005862DE"/>
    <w:rsid w:val="005863B5"/>
    <w:rsid w:val="00586465"/>
    <w:rsid w:val="00586717"/>
    <w:rsid w:val="00586731"/>
    <w:rsid w:val="00586784"/>
    <w:rsid w:val="00586846"/>
    <w:rsid w:val="005869F3"/>
    <w:rsid w:val="00586D87"/>
    <w:rsid w:val="00586ED9"/>
    <w:rsid w:val="00586EF2"/>
    <w:rsid w:val="00586FBD"/>
    <w:rsid w:val="0058746F"/>
    <w:rsid w:val="00587B1F"/>
    <w:rsid w:val="00587CC8"/>
    <w:rsid w:val="00587D12"/>
    <w:rsid w:val="00587DBD"/>
    <w:rsid w:val="00587F89"/>
    <w:rsid w:val="00587FB0"/>
    <w:rsid w:val="0059085E"/>
    <w:rsid w:val="0059087A"/>
    <w:rsid w:val="005908AD"/>
    <w:rsid w:val="005909C9"/>
    <w:rsid w:val="00590C34"/>
    <w:rsid w:val="00590CCF"/>
    <w:rsid w:val="00591786"/>
    <w:rsid w:val="005917D8"/>
    <w:rsid w:val="00591998"/>
    <w:rsid w:val="00591AA7"/>
    <w:rsid w:val="00591B3B"/>
    <w:rsid w:val="00591D27"/>
    <w:rsid w:val="00591D68"/>
    <w:rsid w:val="00592099"/>
    <w:rsid w:val="005920C8"/>
    <w:rsid w:val="005921BD"/>
    <w:rsid w:val="005921F2"/>
    <w:rsid w:val="005922F6"/>
    <w:rsid w:val="0059235D"/>
    <w:rsid w:val="00592A13"/>
    <w:rsid w:val="00592A79"/>
    <w:rsid w:val="00592C8D"/>
    <w:rsid w:val="00592DC7"/>
    <w:rsid w:val="00592EF6"/>
    <w:rsid w:val="0059315B"/>
    <w:rsid w:val="00593259"/>
    <w:rsid w:val="00593264"/>
    <w:rsid w:val="00593310"/>
    <w:rsid w:val="00593398"/>
    <w:rsid w:val="00593457"/>
    <w:rsid w:val="005935A2"/>
    <w:rsid w:val="005935B2"/>
    <w:rsid w:val="0059384B"/>
    <w:rsid w:val="0059390D"/>
    <w:rsid w:val="005939CC"/>
    <w:rsid w:val="00593A09"/>
    <w:rsid w:val="00593F14"/>
    <w:rsid w:val="005940A9"/>
    <w:rsid w:val="0059419E"/>
    <w:rsid w:val="005941FA"/>
    <w:rsid w:val="00594575"/>
    <w:rsid w:val="005945B7"/>
    <w:rsid w:val="0059465A"/>
    <w:rsid w:val="0059479C"/>
    <w:rsid w:val="005947D9"/>
    <w:rsid w:val="005948D0"/>
    <w:rsid w:val="00594A7F"/>
    <w:rsid w:val="00594BE8"/>
    <w:rsid w:val="00594C84"/>
    <w:rsid w:val="00594C91"/>
    <w:rsid w:val="00594F2C"/>
    <w:rsid w:val="00595030"/>
    <w:rsid w:val="005954B6"/>
    <w:rsid w:val="005954CE"/>
    <w:rsid w:val="0059569A"/>
    <w:rsid w:val="00595B4D"/>
    <w:rsid w:val="00595BA0"/>
    <w:rsid w:val="00595C25"/>
    <w:rsid w:val="00595CD6"/>
    <w:rsid w:val="00595D82"/>
    <w:rsid w:val="00595E09"/>
    <w:rsid w:val="00595E51"/>
    <w:rsid w:val="00595E60"/>
    <w:rsid w:val="00596109"/>
    <w:rsid w:val="00596126"/>
    <w:rsid w:val="005962D8"/>
    <w:rsid w:val="005964B2"/>
    <w:rsid w:val="005964FF"/>
    <w:rsid w:val="00596863"/>
    <w:rsid w:val="00596942"/>
    <w:rsid w:val="0059698C"/>
    <w:rsid w:val="005969BA"/>
    <w:rsid w:val="00596A07"/>
    <w:rsid w:val="00596A30"/>
    <w:rsid w:val="00596B1F"/>
    <w:rsid w:val="00596BE6"/>
    <w:rsid w:val="00596CF7"/>
    <w:rsid w:val="00596DCF"/>
    <w:rsid w:val="00596DE1"/>
    <w:rsid w:val="00596E97"/>
    <w:rsid w:val="0059718E"/>
    <w:rsid w:val="0059728F"/>
    <w:rsid w:val="005972A7"/>
    <w:rsid w:val="00597399"/>
    <w:rsid w:val="0059739E"/>
    <w:rsid w:val="00597439"/>
    <w:rsid w:val="0059746E"/>
    <w:rsid w:val="005974F0"/>
    <w:rsid w:val="00597601"/>
    <w:rsid w:val="005979EA"/>
    <w:rsid w:val="00597A25"/>
    <w:rsid w:val="00597B31"/>
    <w:rsid w:val="00597CE7"/>
    <w:rsid w:val="00597E5F"/>
    <w:rsid w:val="00597F06"/>
    <w:rsid w:val="005A0057"/>
    <w:rsid w:val="005A00A4"/>
    <w:rsid w:val="005A024D"/>
    <w:rsid w:val="005A0452"/>
    <w:rsid w:val="005A06CF"/>
    <w:rsid w:val="005A0833"/>
    <w:rsid w:val="005A0964"/>
    <w:rsid w:val="005A09D3"/>
    <w:rsid w:val="005A0B75"/>
    <w:rsid w:val="005A0BE6"/>
    <w:rsid w:val="005A0E08"/>
    <w:rsid w:val="005A0FC1"/>
    <w:rsid w:val="005A10E0"/>
    <w:rsid w:val="005A115F"/>
    <w:rsid w:val="005A11E4"/>
    <w:rsid w:val="005A15A0"/>
    <w:rsid w:val="005A15BC"/>
    <w:rsid w:val="005A1832"/>
    <w:rsid w:val="005A18A5"/>
    <w:rsid w:val="005A18E4"/>
    <w:rsid w:val="005A195C"/>
    <w:rsid w:val="005A1A06"/>
    <w:rsid w:val="005A1C7E"/>
    <w:rsid w:val="005A1CC3"/>
    <w:rsid w:val="005A1CE1"/>
    <w:rsid w:val="005A1FA1"/>
    <w:rsid w:val="005A1FAA"/>
    <w:rsid w:val="005A1FFC"/>
    <w:rsid w:val="005A211F"/>
    <w:rsid w:val="005A2459"/>
    <w:rsid w:val="005A2537"/>
    <w:rsid w:val="005A25A7"/>
    <w:rsid w:val="005A2772"/>
    <w:rsid w:val="005A27B5"/>
    <w:rsid w:val="005A295F"/>
    <w:rsid w:val="005A2A4B"/>
    <w:rsid w:val="005A2BA1"/>
    <w:rsid w:val="005A2BB8"/>
    <w:rsid w:val="005A2CB9"/>
    <w:rsid w:val="005A2F00"/>
    <w:rsid w:val="005A2FB8"/>
    <w:rsid w:val="005A3285"/>
    <w:rsid w:val="005A3654"/>
    <w:rsid w:val="005A3691"/>
    <w:rsid w:val="005A376F"/>
    <w:rsid w:val="005A37B0"/>
    <w:rsid w:val="005A395F"/>
    <w:rsid w:val="005A3ADD"/>
    <w:rsid w:val="005A3B46"/>
    <w:rsid w:val="005A3C90"/>
    <w:rsid w:val="005A3DD3"/>
    <w:rsid w:val="005A3DF0"/>
    <w:rsid w:val="005A3E99"/>
    <w:rsid w:val="005A409F"/>
    <w:rsid w:val="005A42F6"/>
    <w:rsid w:val="005A455F"/>
    <w:rsid w:val="005A468F"/>
    <w:rsid w:val="005A4775"/>
    <w:rsid w:val="005A4A19"/>
    <w:rsid w:val="005A4C46"/>
    <w:rsid w:val="005A4D0C"/>
    <w:rsid w:val="005A4E7E"/>
    <w:rsid w:val="005A4E9C"/>
    <w:rsid w:val="005A4F14"/>
    <w:rsid w:val="005A5359"/>
    <w:rsid w:val="005A5451"/>
    <w:rsid w:val="005A55B1"/>
    <w:rsid w:val="005A574D"/>
    <w:rsid w:val="005A5850"/>
    <w:rsid w:val="005A5A1F"/>
    <w:rsid w:val="005A5BBA"/>
    <w:rsid w:val="005A5C3E"/>
    <w:rsid w:val="005A5C78"/>
    <w:rsid w:val="005A5E6D"/>
    <w:rsid w:val="005A5F93"/>
    <w:rsid w:val="005A60E1"/>
    <w:rsid w:val="005A6670"/>
    <w:rsid w:val="005A679C"/>
    <w:rsid w:val="005A6AFD"/>
    <w:rsid w:val="005A713D"/>
    <w:rsid w:val="005A727A"/>
    <w:rsid w:val="005A72C4"/>
    <w:rsid w:val="005A7328"/>
    <w:rsid w:val="005A735F"/>
    <w:rsid w:val="005A7576"/>
    <w:rsid w:val="005A76B1"/>
    <w:rsid w:val="005A781D"/>
    <w:rsid w:val="005A783E"/>
    <w:rsid w:val="005A793B"/>
    <w:rsid w:val="005A7F76"/>
    <w:rsid w:val="005A7F7B"/>
    <w:rsid w:val="005B0117"/>
    <w:rsid w:val="005B0126"/>
    <w:rsid w:val="005B0555"/>
    <w:rsid w:val="005B05A0"/>
    <w:rsid w:val="005B064C"/>
    <w:rsid w:val="005B064D"/>
    <w:rsid w:val="005B0782"/>
    <w:rsid w:val="005B080D"/>
    <w:rsid w:val="005B0C15"/>
    <w:rsid w:val="005B0F75"/>
    <w:rsid w:val="005B0FA1"/>
    <w:rsid w:val="005B0FD3"/>
    <w:rsid w:val="005B11BD"/>
    <w:rsid w:val="005B1368"/>
    <w:rsid w:val="005B136E"/>
    <w:rsid w:val="005B138A"/>
    <w:rsid w:val="005B169A"/>
    <w:rsid w:val="005B181E"/>
    <w:rsid w:val="005B18DD"/>
    <w:rsid w:val="005B1A3B"/>
    <w:rsid w:val="005B1CA2"/>
    <w:rsid w:val="005B207B"/>
    <w:rsid w:val="005B20DD"/>
    <w:rsid w:val="005B2161"/>
    <w:rsid w:val="005B2268"/>
    <w:rsid w:val="005B2931"/>
    <w:rsid w:val="005B2974"/>
    <w:rsid w:val="005B29E7"/>
    <w:rsid w:val="005B2B56"/>
    <w:rsid w:val="005B2BC5"/>
    <w:rsid w:val="005B2C9E"/>
    <w:rsid w:val="005B2DDA"/>
    <w:rsid w:val="005B32C2"/>
    <w:rsid w:val="005B32CE"/>
    <w:rsid w:val="005B33B6"/>
    <w:rsid w:val="005B33C8"/>
    <w:rsid w:val="005B33D6"/>
    <w:rsid w:val="005B379F"/>
    <w:rsid w:val="005B3CBE"/>
    <w:rsid w:val="005B3D85"/>
    <w:rsid w:val="005B3D8E"/>
    <w:rsid w:val="005B3E16"/>
    <w:rsid w:val="005B3E50"/>
    <w:rsid w:val="005B3E93"/>
    <w:rsid w:val="005B3F24"/>
    <w:rsid w:val="005B4169"/>
    <w:rsid w:val="005B420B"/>
    <w:rsid w:val="005B4214"/>
    <w:rsid w:val="005B43DF"/>
    <w:rsid w:val="005B48E8"/>
    <w:rsid w:val="005B4FE5"/>
    <w:rsid w:val="005B516F"/>
    <w:rsid w:val="005B522D"/>
    <w:rsid w:val="005B5390"/>
    <w:rsid w:val="005B55EB"/>
    <w:rsid w:val="005B577A"/>
    <w:rsid w:val="005B5877"/>
    <w:rsid w:val="005B589D"/>
    <w:rsid w:val="005B598A"/>
    <w:rsid w:val="005B59BB"/>
    <w:rsid w:val="005B5CF4"/>
    <w:rsid w:val="005B60E4"/>
    <w:rsid w:val="005B6119"/>
    <w:rsid w:val="005B628F"/>
    <w:rsid w:val="005B631E"/>
    <w:rsid w:val="005B63E8"/>
    <w:rsid w:val="005B67DE"/>
    <w:rsid w:val="005B67E0"/>
    <w:rsid w:val="005B6CF5"/>
    <w:rsid w:val="005B6EFA"/>
    <w:rsid w:val="005B70F5"/>
    <w:rsid w:val="005B7216"/>
    <w:rsid w:val="005B73D6"/>
    <w:rsid w:val="005B74D2"/>
    <w:rsid w:val="005B7678"/>
    <w:rsid w:val="005B76BC"/>
    <w:rsid w:val="005B7841"/>
    <w:rsid w:val="005B78D2"/>
    <w:rsid w:val="005B7AAA"/>
    <w:rsid w:val="005B7C08"/>
    <w:rsid w:val="005B7C20"/>
    <w:rsid w:val="005B7C47"/>
    <w:rsid w:val="005B7F12"/>
    <w:rsid w:val="005C00B6"/>
    <w:rsid w:val="005C00D0"/>
    <w:rsid w:val="005C01F9"/>
    <w:rsid w:val="005C02CF"/>
    <w:rsid w:val="005C0307"/>
    <w:rsid w:val="005C040E"/>
    <w:rsid w:val="005C0507"/>
    <w:rsid w:val="005C0508"/>
    <w:rsid w:val="005C05DF"/>
    <w:rsid w:val="005C05FF"/>
    <w:rsid w:val="005C0605"/>
    <w:rsid w:val="005C060D"/>
    <w:rsid w:val="005C06A2"/>
    <w:rsid w:val="005C0993"/>
    <w:rsid w:val="005C0A80"/>
    <w:rsid w:val="005C0AD1"/>
    <w:rsid w:val="005C0CB9"/>
    <w:rsid w:val="005C0F28"/>
    <w:rsid w:val="005C0F73"/>
    <w:rsid w:val="005C10C1"/>
    <w:rsid w:val="005C1187"/>
    <w:rsid w:val="005C124E"/>
    <w:rsid w:val="005C134D"/>
    <w:rsid w:val="005C161B"/>
    <w:rsid w:val="005C1956"/>
    <w:rsid w:val="005C1CA2"/>
    <w:rsid w:val="005C1D34"/>
    <w:rsid w:val="005C1ECE"/>
    <w:rsid w:val="005C1F22"/>
    <w:rsid w:val="005C20A3"/>
    <w:rsid w:val="005C226A"/>
    <w:rsid w:val="005C2275"/>
    <w:rsid w:val="005C239A"/>
    <w:rsid w:val="005C27E1"/>
    <w:rsid w:val="005C28EE"/>
    <w:rsid w:val="005C2955"/>
    <w:rsid w:val="005C29BB"/>
    <w:rsid w:val="005C2B6D"/>
    <w:rsid w:val="005C2BF4"/>
    <w:rsid w:val="005C2BF7"/>
    <w:rsid w:val="005C3417"/>
    <w:rsid w:val="005C341B"/>
    <w:rsid w:val="005C3614"/>
    <w:rsid w:val="005C3AEA"/>
    <w:rsid w:val="005C3E23"/>
    <w:rsid w:val="005C4151"/>
    <w:rsid w:val="005C4171"/>
    <w:rsid w:val="005C432E"/>
    <w:rsid w:val="005C4382"/>
    <w:rsid w:val="005C48E6"/>
    <w:rsid w:val="005C4AAD"/>
    <w:rsid w:val="005C4C98"/>
    <w:rsid w:val="005C4D32"/>
    <w:rsid w:val="005C4FA9"/>
    <w:rsid w:val="005C5318"/>
    <w:rsid w:val="005C539B"/>
    <w:rsid w:val="005C53C4"/>
    <w:rsid w:val="005C5401"/>
    <w:rsid w:val="005C5533"/>
    <w:rsid w:val="005C571C"/>
    <w:rsid w:val="005C590D"/>
    <w:rsid w:val="005C5DC1"/>
    <w:rsid w:val="005C5EDE"/>
    <w:rsid w:val="005C5F0F"/>
    <w:rsid w:val="005C613C"/>
    <w:rsid w:val="005C61C6"/>
    <w:rsid w:val="005C688D"/>
    <w:rsid w:val="005C6926"/>
    <w:rsid w:val="005C6A19"/>
    <w:rsid w:val="005C6AA5"/>
    <w:rsid w:val="005C6C0B"/>
    <w:rsid w:val="005C6C45"/>
    <w:rsid w:val="005C6C8F"/>
    <w:rsid w:val="005C6D54"/>
    <w:rsid w:val="005C731B"/>
    <w:rsid w:val="005C7A09"/>
    <w:rsid w:val="005C7B1B"/>
    <w:rsid w:val="005C7BBA"/>
    <w:rsid w:val="005C7CAF"/>
    <w:rsid w:val="005C7F53"/>
    <w:rsid w:val="005D0201"/>
    <w:rsid w:val="005D04A1"/>
    <w:rsid w:val="005D0549"/>
    <w:rsid w:val="005D0624"/>
    <w:rsid w:val="005D07C5"/>
    <w:rsid w:val="005D1386"/>
    <w:rsid w:val="005D1429"/>
    <w:rsid w:val="005D17AD"/>
    <w:rsid w:val="005D18B9"/>
    <w:rsid w:val="005D1B25"/>
    <w:rsid w:val="005D1E25"/>
    <w:rsid w:val="005D1E86"/>
    <w:rsid w:val="005D1ECF"/>
    <w:rsid w:val="005D2026"/>
    <w:rsid w:val="005D2173"/>
    <w:rsid w:val="005D2179"/>
    <w:rsid w:val="005D2725"/>
    <w:rsid w:val="005D28A4"/>
    <w:rsid w:val="005D28CB"/>
    <w:rsid w:val="005D291D"/>
    <w:rsid w:val="005D2BF1"/>
    <w:rsid w:val="005D2EA6"/>
    <w:rsid w:val="005D2FF1"/>
    <w:rsid w:val="005D3140"/>
    <w:rsid w:val="005D3210"/>
    <w:rsid w:val="005D328F"/>
    <w:rsid w:val="005D32EE"/>
    <w:rsid w:val="005D3563"/>
    <w:rsid w:val="005D37A6"/>
    <w:rsid w:val="005D37B9"/>
    <w:rsid w:val="005D3A1C"/>
    <w:rsid w:val="005D3B8C"/>
    <w:rsid w:val="005D3CF1"/>
    <w:rsid w:val="005D3CF5"/>
    <w:rsid w:val="005D3ECA"/>
    <w:rsid w:val="005D3FCE"/>
    <w:rsid w:val="005D405C"/>
    <w:rsid w:val="005D40A3"/>
    <w:rsid w:val="005D41FB"/>
    <w:rsid w:val="005D471C"/>
    <w:rsid w:val="005D481C"/>
    <w:rsid w:val="005D4B85"/>
    <w:rsid w:val="005D4BFE"/>
    <w:rsid w:val="005D4D84"/>
    <w:rsid w:val="005D4DD9"/>
    <w:rsid w:val="005D4DEE"/>
    <w:rsid w:val="005D512C"/>
    <w:rsid w:val="005D5247"/>
    <w:rsid w:val="005D5365"/>
    <w:rsid w:val="005D5456"/>
    <w:rsid w:val="005D54B3"/>
    <w:rsid w:val="005D5739"/>
    <w:rsid w:val="005D57B4"/>
    <w:rsid w:val="005D58CE"/>
    <w:rsid w:val="005D5958"/>
    <w:rsid w:val="005D5A7C"/>
    <w:rsid w:val="005D5E88"/>
    <w:rsid w:val="005D5FB5"/>
    <w:rsid w:val="005D60E5"/>
    <w:rsid w:val="005D6683"/>
    <w:rsid w:val="005D68AA"/>
    <w:rsid w:val="005D68F3"/>
    <w:rsid w:val="005D69F9"/>
    <w:rsid w:val="005D6A7B"/>
    <w:rsid w:val="005D70C7"/>
    <w:rsid w:val="005D7377"/>
    <w:rsid w:val="005D74B7"/>
    <w:rsid w:val="005D74D6"/>
    <w:rsid w:val="005D75DF"/>
    <w:rsid w:val="005D7704"/>
    <w:rsid w:val="005D771F"/>
    <w:rsid w:val="005D79C4"/>
    <w:rsid w:val="005D7AAA"/>
    <w:rsid w:val="005D7BCD"/>
    <w:rsid w:val="005D7C6C"/>
    <w:rsid w:val="005D7E7A"/>
    <w:rsid w:val="005D7F24"/>
    <w:rsid w:val="005E061C"/>
    <w:rsid w:val="005E0668"/>
    <w:rsid w:val="005E096E"/>
    <w:rsid w:val="005E096F"/>
    <w:rsid w:val="005E0B0F"/>
    <w:rsid w:val="005E0DE6"/>
    <w:rsid w:val="005E0E28"/>
    <w:rsid w:val="005E0EC2"/>
    <w:rsid w:val="005E0F90"/>
    <w:rsid w:val="005E11B2"/>
    <w:rsid w:val="005E13F5"/>
    <w:rsid w:val="005E1546"/>
    <w:rsid w:val="005E1655"/>
    <w:rsid w:val="005E1745"/>
    <w:rsid w:val="005E1806"/>
    <w:rsid w:val="005E1B27"/>
    <w:rsid w:val="005E1C1B"/>
    <w:rsid w:val="005E23FA"/>
    <w:rsid w:val="005E25BF"/>
    <w:rsid w:val="005E2713"/>
    <w:rsid w:val="005E2A17"/>
    <w:rsid w:val="005E2B8B"/>
    <w:rsid w:val="005E2D69"/>
    <w:rsid w:val="005E2E5A"/>
    <w:rsid w:val="005E2E65"/>
    <w:rsid w:val="005E2F9E"/>
    <w:rsid w:val="005E2FAC"/>
    <w:rsid w:val="005E2FB4"/>
    <w:rsid w:val="005E33BF"/>
    <w:rsid w:val="005E35C3"/>
    <w:rsid w:val="005E39D4"/>
    <w:rsid w:val="005E3BD2"/>
    <w:rsid w:val="005E3D99"/>
    <w:rsid w:val="005E4016"/>
    <w:rsid w:val="005E411E"/>
    <w:rsid w:val="005E416B"/>
    <w:rsid w:val="005E4172"/>
    <w:rsid w:val="005E4249"/>
    <w:rsid w:val="005E42B2"/>
    <w:rsid w:val="005E4550"/>
    <w:rsid w:val="005E4867"/>
    <w:rsid w:val="005E48CF"/>
    <w:rsid w:val="005E491B"/>
    <w:rsid w:val="005E4C6B"/>
    <w:rsid w:val="005E4D6E"/>
    <w:rsid w:val="005E4DC8"/>
    <w:rsid w:val="005E4E13"/>
    <w:rsid w:val="005E4E5F"/>
    <w:rsid w:val="005E4F70"/>
    <w:rsid w:val="005E506F"/>
    <w:rsid w:val="005E52E1"/>
    <w:rsid w:val="005E54D5"/>
    <w:rsid w:val="005E5543"/>
    <w:rsid w:val="005E572B"/>
    <w:rsid w:val="005E5833"/>
    <w:rsid w:val="005E5996"/>
    <w:rsid w:val="005E5AE5"/>
    <w:rsid w:val="005E5C29"/>
    <w:rsid w:val="005E5CA3"/>
    <w:rsid w:val="005E5FD4"/>
    <w:rsid w:val="005E6267"/>
    <w:rsid w:val="005E652B"/>
    <w:rsid w:val="005E660D"/>
    <w:rsid w:val="005E689C"/>
    <w:rsid w:val="005E6B52"/>
    <w:rsid w:val="005E6E3E"/>
    <w:rsid w:val="005E7225"/>
    <w:rsid w:val="005E7462"/>
    <w:rsid w:val="005E7B78"/>
    <w:rsid w:val="005E7C00"/>
    <w:rsid w:val="005E7E5E"/>
    <w:rsid w:val="005F0266"/>
    <w:rsid w:val="005F08B8"/>
    <w:rsid w:val="005F09BE"/>
    <w:rsid w:val="005F0AD2"/>
    <w:rsid w:val="005F0D79"/>
    <w:rsid w:val="005F0E01"/>
    <w:rsid w:val="005F0E5E"/>
    <w:rsid w:val="005F12A9"/>
    <w:rsid w:val="005F18A4"/>
    <w:rsid w:val="005F1B36"/>
    <w:rsid w:val="005F1BD2"/>
    <w:rsid w:val="005F1C86"/>
    <w:rsid w:val="005F1D54"/>
    <w:rsid w:val="005F1D99"/>
    <w:rsid w:val="005F1EB5"/>
    <w:rsid w:val="005F1F7A"/>
    <w:rsid w:val="005F2106"/>
    <w:rsid w:val="005F2114"/>
    <w:rsid w:val="005F23E4"/>
    <w:rsid w:val="005F2470"/>
    <w:rsid w:val="005F279F"/>
    <w:rsid w:val="005F2C13"/>
    <w:rsid w:val="005F2CA7"/>
    <w:rsid w:val="005F2EB2"/>
    <w:rsid w:val="005F2FE6"/>
    <w:rsid w:val="005F30B9"/>
    <w:rsid w:val="005F32BC"/>
    <w:rsid w:val="005F3467"/>
    <w:rsid w:val="005F3482"/>
    <w:rsid w:val="005F3816"/>
    <w:rsid w:val="005F3881"/>
    <w:rsid w:val="005F3A30"/>
    <w:rsid w:val="005F3A72"/>
    <w:rsid w:val="005F3A8C"/>
    <w:rsid w:val="005F3BF0"/>
    <w:rsid w:val="005F3C3E"/>
    <w:rsid w:val="005F3C84"/>
    <w:rsid w:val="005F3C98"/>
    <w:rsid w:val="005F3CE8"/>
    <w:rsid w:val="005F41EC"/>
    <w:rsid w:val="005F422D"/>
    <w:rsid w:val="005F42EC"/>
    <w:rsid w:val="005F44B5"/>
    <w:rsid w:val="005F4AF3"/>
    <w:rsid w:val="005F4B6A"/>
    <w:rsid w:val="005F4D2C"/>
    <w:rsid w:val="005F5252"/>
    <w:rsid w:val="005F570C"/>
    <w:rsid w:val="005F5905"/>
    <w:rsid w:val="005F59EB"/>
    <w:rsid w:val="005F5BA4"/>
    <w:rsid w:val="005F5E35"/>
    <w:rsid w:val="005F5F0D"/>
    <w:rsid w:val="005F60D4"/>
    <w:rsid w:val="005F6118"/>
    <w:rsid w:val="005F642E"/>
    <w:rsid w:val="005F671D"/>
    <w:rsid w:val="005F687E"/>
    <w:rsid w:val="005F68F7"/>
    <w:rsid w:val="005F6B9E"/>
    <w:rsid w:val="005F6DD3"/>
    <w:rsid w:val="005F6E8B"/>
    <w:rsid w:val="005F6FBE"/>
    <w:rsid w:val="005F7021"/>
    <w:rsid w:val="005F73FC"/>
    <w:rsid w:val="005F7511"/>
    <w:rsid w:val="005F76B2"/>
    <w:rsid w:val="005F7975"/>
    <w:rsid w:val="005F7B6C"/>
    <w:rsid w:val="005F7BEC"/>
    <w:rsid w:val="005F7D97"/>
    <w:rsid w:val="005F7ECA"/>
    <w:rsid w:val="00600006"/>
    <w:rsid w:val="0060002A"/>
    <w:rsid w:val="00600041"/>
    <w:rsid w:val="006001C5"/>
    <w:rsid w:val="00600289"/>
    <w:rsid w:val="00600550"/>
    <w:rsid w:val="00600571"/>
    <w:rsid w:val="006005A5"/>
    <w:rsid w:val="006006EF"/>
    <w:rsid w:val="0060073A"/>
    <w:rsid w:val="00600746"/>
    <w:rsid w:val="0060079A"/>
    <w:rsid w:val="00600971"/>
    <w:rsid w:val="00600AE5"/>
    <w:rsid w:val="00600AEB"/>
    <w:rsid w:val="00601115"/>
    <w:rsid w:val="00601168"/>
    <w:rsid w:val="00601224"/>
    <w:rsid w:val="00601232"/>
    <w:rsid w:val="006012B4"/>
    <w:rsid w:val="006017A5"/>
    <w:rsid w:val="0060188F"/>
    <w:rsid w:val="0060191F"/>
    <w:rsid w:val="006019FD"/>
    <w:rsid w:val="00601A19"/>
    <w:rsid w:val="0060210A"/>
    <w:rsid w:val="0060211C"/>
    <w:rsid w:val="00602398"/>
    <w:rsid w:val="006023C4"/>
    <w:rsid w:val="006024A6"/>
    <w:rsid w:val="00602567"/>
    <w:rsid w:val="00602789"/>
    <w:rsid w:val="006027D4"/>
    <w:rsid w:val="00602AFB"/>
    <w:rsid w:val="00602D0A"/>
    <w:rsid w:val="006030E8"/>
    <w:rsid w:val="006032B6"/>
    <w:rsid w:val="006033DB"/>
    <w:rsid w:val="006033FD"/>
    <w:rsid w:val="00603619"/>
    <w:rsid w:val="0060367D"/>
    <w:rsid w:val="00603842"/>
    <w:rsid w:val="00603AC2"/>
    <w:rsid w:val="00603E3A"/>
    <w:rsid w:val="00603E55"/>
    <w:rsid w:val="0060432D"/>
    <w:rsid w:val="006044EE"/>
    <w:rsid w:val="006045B2"/>
    <w:rsid w:val="0060466A"/>
    <w:rsid w:val="00604876"/>
    <w:rsid w:val="00604878"/>
    <w:rsid w:val="00604ACE"/>
    <w:rsid w:val="00604B4F"/>
    <w:rsid w:val="00604D47"/>
    <w:rsid w:val="0060503A"/>
    <w:rsid w:val="006050E6"/>
    <w:rsid w:val="00605156"/>
    <w:rsid w:val="00605200"/>
    <w:rsid w:val="0060528D"/>
    <w:rsid w:val="00605381"/>
    <w:rsid w:val="006053FF"/>
    <w:rsid w:val="0060573A"/>
    <w:rsid w:val="0060597D"/>
    <w:rsid w:val="00605CC5"/>
    <w:rsid w:val="00605D5C"/>
    <w:rsid w:val="00605D8E"/>
    <w:rsid w:val="00605EB5"/>
    <w:rsid w:val="00605FB3"/>
    <w:rsid w:val="00606153"/>
    <w:rsid w:val="006061E6"/>
    <w:rsid w:val="0060658F"/>
    <w:rsid w:val="006065C5"/>
    <w:rsid w:val="0060660A"/>
    <w:rsid w:val="0060675C"/>
    <w:rsid w:val="00606E36"/>
    <w:rsid w:val="00606E6E"/>
    <w:rsid w:val="00606F20"/>
    <w:rsid w:val="00606F3B"/>
    <w:rsid w:val="00607091"/>
    <w:rsid w:val="006070E7"/>
    <w:rsid w:val="006071A1"/>
    <w:rsid w:val="0060725D"/>
    <w:rsid w:val="006073A4"/>
    <w:rsid w:val="00607465"/>
    <w:rsid w:val="0060749B"/>
    <w:rsid w:val="00607528"/>
    <w:rsid w:val="0060789C"/>
    <w:rsid w:val="0060792C"/>
    <w:rsid w:val="00607AD7"/>
    <w:rsid w:val="00607B67"/>
    <w:rsid w:val="00607D47"/>
    <w:rsid w:val="006100C4"/>
    <w:rsid w:val="006101F9"/>
    <w:rsid w:val="00610429"/>
    <w:rsid w:val="00610500"/>
    <w:rsid w:val="00610547"/>
    <w:rsid w:val="006105C2"/>
    <w:rsid w:val="006105C4"/>
    <w:rsid w:val="00610683"/>
    <w:rsid w:val="00610817"/>
    <w:rsid w:val="00610DF8"/>
    <w:rsid w:val="00610FF0"/>
    <w:rsid w:val="0061142A"/>
    <w:rsid w:val="006114AE"/>
    <w:rsid w:val="006114B4"/>
    <w:rsid w:val="00611611"/>
    <w:rsid w:val="00611759"/>
    <w:rsid w:val="00611BC5"/>
    <w:rsid w:val="00611BE2"/>
    <w:rsid w:val="00612118"/>
    <w:rsid w:val="0061212B"/>
    <w:rsid w:val="0061244C"/>
    <w:rsid w:val="006126AF"/>
    <w:rsid w:val="006128FF"/>
    <w:rsid w:val="00612910"/>
    <w:rsid w:val="00612CF6"/>
    <w:rsid w:val="00612D9A"/>
    <w:rsid w:val="006130AB"/>
    <w:rsid w:val="006131EF"/>
    <w:rsid w:val="00613220"/>
    <w:rsid w:val="0061331B"/>
    <w:rsid w:val="006135DB"/>
    <w:rsid w:val="00613635"/>
    <w:rsid w:val="006138EC"/>
    <w:rsid w:val="00613AE8"/>
    <w:rsid w:val="0061403A"/>
    <w:rsid w:val="006142AF"/>
    <w:rsid w:val="006146C0"/>
    <w:rsid w:val="006146EF"/>
    <w:rsid w:val="00614798"/>
    <w:rsid w:val="00614951"/>
    <w:rsid w:val="00614A8F"/>
    <w:rsid w:val="00614BE9"/>
    <w:rsid w:val="00615148"/>
    <w:rsid w:val="006152B1"/>
    <w:rsid w:val="00615437"/>
    <w:rsid w:val="00615684"/>
    <w:rsid w:val="006156DD"/>
    <w:rsid w:val="006156FF"/>
    <w:rsid w:val="0061579D"/>
    <w:rsid w:val="006157F1"/>
    <w:rsid w:val="00615B5B"/>
    <w:rsid w:val="00615B69"/>
    <w:rsid w:val="00615CD3"/>
    <w:rsid w:val="00615E30"/>
    <w:rsid w:val="00615E34"/>
    <w:rsid w:val="00615E7D"/>
    <w:rsid w:val="00615EE4"/>
    <w:rsid w:val="00615FA5"/>
    <w:rsid w:val="00616002"/>
    <w:rsid w:val="0061600D"/>
    <w:rsid w:val="00616026"/>
    <w:rsid w:val="006160B3"/>
    <w:rsid w:val="00616158"/>
    <w:rsid w:val="0061667C"/>
    <w:rsid w:val="00616A3D"/>
    <w:rsid w:val="00616B2B"/>
    <w:rsid w:val="00616D36"/>
    <w:rsid w:val="00616EE0"/>
    <w:rsid w:val="00616F7D"/>
    <w:rsid w:val="00617122"/>
    <w:rsid w:val="0061720C"/>
    <w:rsid w:val="006173C5"/>
    <w:rsid w:val="006175DF"/>
    <w:rsid w:val="006175ED"/>
    <w:rsid w:val="00617A9E"/>
    <w:rsid w:val="00617E35"/>
    <w:rsid w:val="00617E5A"/>
    <w:rsid w:val="00620751"/>
    <w:rsid w:val="006209EC"/>
    <w:rsid w:val="00620E64"/>
    <w:rsid w:val="00620E6B"/>
    <w:rsid w:val="00621268"/>
    <w:rsid w:val="006217E1"/>
    <w:rsid w:val="00621A35"/>
    <w:rsid w:val="00621E40"/>
    <w:rsid w:val="00622103"/>
    <w:rsid w:val="006223BF"/>
    <w:rsid w:val="00622428"/>
    <w:rsid w:val="0062250B"/>
    <w:rsid w:val="00622524"/>
    <w:rsid w:val="006226DD"/>
    <w:rsid w:val="006229B6"/>
    <w:rsid w:val="00622D55"/>
    <w:rsid w:val="00622E22"/>
    <w:rsid w:val="00622E90"/>
    <w:rsid w:val="00622FB4"/>
    <w:rsid w:val="00623187"/>
    <w:rsid w:val="006234C9"/>
    <w:rsid w:val="006234F9"/>
    <w:rsid w:val="00623798"/>
    <w:rsid w:val="00623AD0"/>
    <w:rsid w:val="00623B92"/>
    <w:rsid w:val="00623D51"/>
    <w:rsid w:val="006243A2"/>
    <w:rsid w:val="006243C8"/>
    <w:rsid w:val="00624458"/>
    <w:rsid w:val="006248CB"/>
    <w:rsid w:val="006249AB"/>
    <w:rsid w:val="006249FF"/>
    <w:rsid w:val="00624A30"/>
    <w:rsid w:val="00624A82"/>
    <w:rsid w:val="00624CA8"/>
    <w:rsid w:val="00624DD0"/>
    <w:rsid w:val="00624EBD"/>
    <w:rsid w:val="00624F7B"/>
    <w:rsid w:val="006251A9"/>
    <w:rsid w:val="006251EB"/>
    <w:rsid w:val="00625227"/>
    <w:rsid w:val="0062525E"/>
    <w:rsid w:val="00625311"/>
    <w:rsid w:val="0062533A"/>
    <w:rsid w:val="00625408"/>
    <w:rsid w:val="00625636"/>
    <w:rsid w:val="00625725"/>
    <w:rsid w:val="0062594A"/>
    <w:rsid w:val="00625AAC"/>
    <w:rsid w:val="00625B83"/>
    <w:rsid w:val="00625B89"/>
    <w:rsid w:val="00625E44"/>
    <w:rsid w:val="00625E76"/>
    <w:rsid w:val="00625E8C"/>
    <w:rsid w:val="00625FB8"/>
    <w:rsid w:val="0062604D"/>
    <w:rsid w:val="006261DD"/>
    <w:rsid w:val="006261ED"/>
    <w:rsid w:val="0062632F"/>
    <w:rsid w:val="00626829"/>
    <w:rsid w:val="00626833"/>
    <w:rsid w:val="00626D84"/>
    <w:rsid w:val="00626E93"/>
    <w:rsid w:val="00626FEB"/>
    <w:rsid w:val="00627001"/>
    <w:rsid w:val="00627002"/>
    <w:rsid w:val="00627052"/>
    <w:rsid w:val="006272CE"/>
    <w:rsid w:val="006273E6"/>
    <w:rsid w:val="006274E8"/>
    <w:rsid w:val="0062769B"/>
    <w:rsid w:val="00627A3C"/>
    <w:rsid w:val="00627BD1"/>
    <w:rsid w:val="00630020"/>
    <w:rsid w:val="00630077"/>
    <w:rsid w:val="00630091"/>
    <w:rsid w:val="006300F2"/>
    <w:rsid w:val="006301D9"/>
    <w:rsid w:val="00630200"/>
    <w:rsid w:val="006302B1"/>
    <w:rsid w:val="006302C7"/>
    <w:rsid w:val="00630352"/>
    <w:rsid w:val="00630534"/>
    <w:rsid w:val="0063064B"/>
    <w:rsid w:val="0063086F"/>
    <w:rsid w:val="0063093C"/>
    <w:rsid w:val="006309F6"/>
    <w:rsid w:val="00630C37"/>
    <w:rsid w:val="00631051"/>
    <w:rsid w:val="00631249"/>
    <w:rsid w:val="0063138A"/>
    <w:rsid w:val="0063184D"/>
    <w:rsid w:val="00631B38"/>
    <w:rsid w:val="00631C2D"/>
    <w:rsid w:val="00631F13"/>
    <w:rsid w:val="00631F28"/>
    <w:rsid w:val="006323AA"/>
    <w:rsid w:val="0063263E"/>
    <w:rsid w:val="00632729"/>
    <w:rsid w:val="00632895"/>
    <w:rsid w:val="00632B5C"/>
    <w:rsid w:val="00632B7B"/>
    <w:rsid w:val="00632CA0"/>
    <w:rsid w:val="00632D24"/>
    <w:rsid w:val="00632DFF"/>
    <w:rsid w:val="00632E1F"/>
    <w:rsid w:val="00633125"/>
    <w:rsid w:val="00633210"/>
    <w:rsid w:val="00633294"/>
    <w:rsid w:val="006333A2"/>
    <w:rsid w:val="00633561"/>
    <w:rsid w:val="00633CD5"/>
    <w:rsid w:val="00633DA6"/>
    <w:rsid w:val="00633E0B"/>
    <w:rsid w:val="00633F73"/>
    <w:rsid w:val="00633F89"/>
    <w:rsid w:val="00633FB8"/>
    <w:rsid w:val="00634026"/>
    <w:rsid w:val="00634104"/>
    <w:rsid w:val="00634112"/>
    <w:rsid w:val="00634383"/>
    <w:rsid w:val="006348B5"/>
    <w:rsid w:val="0063495F"/>
    <w:rsid w:val="00634B94"/>
    <w:rsid w:val="00634C33"/>
    <w:rsid w:val="00634DF3"/>
    <w:rsid w:val="00634EE7"/>
    <w:rsid w:val="00635225"/>
    <w:rsid w:val="006353E2"/>
    <w:rsid w:val="00635600"/>
    <w:rsid w:val="00635726"/>
    <w:rsid w:val="00635A60"/>
    <w:rsid w:val="00635A7A"/>
    <w:rsid w:val="00636399"/>
    <w:rsid w:val="006363FF"/>
    <w:rsid w:val="006364FE"/>
    <w:rsid w:val="006366D0"/>
    <w:rsid w:val="00636C2F"/>
    <w:rsid w:val="00636EF1"/>
    <w:rsid w:val="006372D4"/>
    <w:rsid w:val="006372DA"/>
    <w:rsid w:val="00637575"/>
    <w:rsid w:val="006377C1"/>
    <w:rsid w:val="00637848"/>
    <w:rsid w:val="0064037D"/>
    <w:rsid w:val="006404D3"/>
    <w:rsid w:val="00640786"/>
    <w:rsid w:val="00640A1F"/>
    <w:rsid w:val="00640E24"/>
    <w:rsid w:val="00641234"/>
    <w:rsid w:val="00641317"/>
    <w:rsid w:val="006413CB"/>
    <w:rsid w:val="00641416"/>
    <w:rsid w:val="00641510"/>
    <w:rsid w:val="006416C9"/>
    <w:rsid w:val="00641D45"/>
    <w:rsid w:val="00641F4E"/>
    <w:rsid w:val="006420E1"/>
    <w:rsid w:val="006421D9"/>
    <w:rsid w:val="00642328"/>
    <w:rsid w:val="006424E3"/>
    <w:rsid w:val="0064273B"/>
    <w:rsid w:val="0064278A"/>
    <w:rsid w:val="0064284A"/>
    <w:rsid w:val="00642B3B"/>
    <w:rsid w:val="00642CCD"/>
    <w:rsid w:val="00642CF5"/>
    <w:rsid w:val="00642D4F"/>
    <w:rsid w:val="00642DE6"/>
    <w:rsid w:val="00642FB4"/>
    <w:rsid w:val="00643151"/>
    <w:rsid w:val="0064317D"/>
    <w:rsid w:val="006432F3"/>
    <w:rsid w:val="0064348C"/>
    <w:rsid w:val="0064387D"/>
    <w:rsid w:val="006438D6"/>
    <w:rsid w:val="0064397C"/>
    <w:rsid w:val="00643B84"/>
    <w:rsid w:val="00643C48"/>
    <w:rsid w:val="00643E77"/>
    <w:rsid w:val="00643EA5"/>
    <w:rsid w:val="00644028"/>
    <w:rsid w:val="00644160"/>
    <w:rsid w:val="0064424B"/>
    <w:rsid w:val="00644480"/>
    <w:rsid w:val="00644491"/>
    <w:rsid w:val="006446A4"/>
    <w:rsid w:val="006446A9"/>
    <w:rsid w:val="00644DB5"/>
    <w:rsid w:val="00644DEB"/>
    <w:rsid w:val="00644F9A"/>
    <w:rsid w:val="00644FD2"/>
    <w:rsid w:val="006452C3"/>
    <w:rsid w:val="006454C8"/>
    <w:rsid w:val="00645818"/>
    <w:rsid w:val="00645894"/>
    <w:rsid w:val="006458FB"/>
    <w:rsid w:val="00645909"/>
    <w:rsid w:val="0064599D"/>
    <w:rsid w:val="00645C19"/>
    <w:rsid w:val="00645CA5"/>
    <w:rsid w:val="00645D32"/>
    <w:rsid w:val="0064631E"/>
    <w:rsid w:val="00646472"/>
    <w:rsid w:val="00646488"/>
    <w:rsid w:val="00646591"/>
    <w:rsid w:val="00646913"/>
    <w:rsid w:val="00647078"/>
    <w:rsid w:val="00647195"/>
    <w:rsid w:val="006472DF"/>
    <w:rsid w:val="0064736C"/>
    <w:rsid w:val="0064738B"/>
    <w:rsid w:val="00647527"/>
    <w:rsid w:val="00647986"/>
    <w:rsid w:val="00647992"/>
    <w:rsid w:val="00647B62"/>
    <w:rsid w:val="00647DFE"/>
    <w:rsid w:val="00647F89"/>
    <w:rsid w:val="006500CF"/>
    <w:rsid w:val="0065020A"/>
    <w:rsid w:val="006503F7"/>
    <w:rsid w:val="0065042D"/>
    <w:rsid w:val="00650893"/>
    <w:rsid w:val="006508F6"/>
    <w:rsid w:val="00650BF5"/>
    <w:rsid w:val="00650D55"/>
    <w:rsid w:val="00650DB9"/>
    <w:rsid w:val="006511E3"/>
    <w:rsid w:val="006512BB"/>
    <w:rsid w:val="006512F3"/>
    <w:rsid w:val="006512FD"/>
    <w:rsid w:val="0065136A"/>
    <w:rsid w:val="0065138D"/>
    <w:rsid w:val="0065141A"/>
    <w:rsid w:val="006516B3"/>
    <w:rsid w:val="006516F9"/>
    <w:rsid w:val="0065171B"/>
    <w:rsid w:val="00651E4B"/>
    <w:rsid w:val="00651FB0"/>
    <w:rsid w:val="00651FE3"/>
    <w:rsid w:val="006524EC"/>
    <w:rsid w:val="0065251F"/>
    <w:rsid w:val="0065262D"/>
    <w:rsid w:val="006527F8"/>
    <w:rsid w:val="00652968"/>
    <w:rsid w:val="00652991"/>
    <w:rsid w:val="00652C24"/>
    <w:rsid w:val="00652DBA"/>
    <w:rsid w:val="006533FB"/>
    <w:rsid w:val="00653821"/>
    <w:rsid w:val="00653849"/>
    <w:rsid w:val="00653A6A"/>
    <w:rsid w:val="00653CB7"/>
    <w:rsid w:val="00654060"/>
    <w:rsid w:val="0065407E"/>
    <w:rsid w:val="0065417E"/>
    <w:rsid w:val="006541AE"/>
    <w:rsid w:val="006541C6"/>
    <w:rsid w:val="00654264"/>
    <w:rsid w:val="006543D7"/>
    <w:rsid w:val="00654600"/>
    <w:rsid w:val="006546B5"/>
    <w:rsid w:val="00654767"/>
    <w:rsid w:val="006547D7"/>
    <w:rsid w:val="00654843"/>
    <w:rsid w:val="006548E9"/>
    <w:rsid w:val="00654965"/>
    <w:rsid w:val="00654AA5"/>
    <w:rsid w:val="00654ABB"/>
    <w:rsid w:val="00654E59"/>
    <w:rsid w:val="00654E6C"/>
    <w:rsid w:val="00654EA5"/>
    <w:rsid w:val="0065509C"/>
    <w:rsid w:val="00655175"/>
    <w:rsid w:val="0065524D"/>
    <w:rsid w:val="006552C9"/>
    <w:rsid w:val="00655806"/>
    <w:rsid w:val="006558A6"/>
    <w:rsid w:val="00656069"/>
    <w:rsid w:val="006561A6"/>
    <w:rsid w:val="0065664D"/>
    <w:rsid w:val="00656940"/>
    <w:rsid w:val="00656ACA"/>
    <w:rsid w:val="00656F8F"/>
    <w:rsid w:val="00657079"/>
    <w:rsid w:val="006571CB"/>
    <w:rsid w:val="00657346"/>
    <w:rsid w:val="00657589"/>
    <w:rsid w:val="00657594"/>
    <w:rsid w:val="00657737"/>
    <w:rsid w:val="006579CE"/>
    <w:rsid w:val="0066028B"/>
    <w:rsid w:val="0066031F"/>
    <w:rsid w:val="0066038C"/>
    <w:rsid w:val="006606FD"/>
    <w:rsid w:val="00660962"/>
    <w:rsid w:val="00660978"/>
    <w:rsid w:val="0066098C"/>
    <w:rsid w:val="00660B5B"/>
    <w:rsid w:val="00660DE4"/>
    <w:rsid w:val="00660E93"/>
    <w:rsid w:val="00660EEA"/>
    <w:rsid w:val="00661106"/>
    <w:rsid w:val="00661272"/>
    <w:rsid w:val="00661596"/>
    <w:rsid w:val="0066192A"/>
    <w:rsid w:val="0066199A"/>
    <w:rsid w:val="00661D5C"/>
    <w:rsid w:val="00661DBB"/>
    <w:rsid w:val="00662003"/>
    <w:rsid w:val="006620FC"/>
    <w:rsid w:val="006621E3"/>
    <w:rsid w:val="00662287"/>
    <w:rsid w:val="00662A38"/>
    <w:rsid w:val="00662B05"/>
    <w:rsid w:val="00662EB4"/>
    <w:rsid w:val="00662FEC"/>
    <w:rsid w:val="00663032"/>
    <w:rsid w:val="006630C5"/>
    <w:rsid w:val="006631E2"/>
    <w:rsid w:val="006633C4"/>
    <w:rsid w:val="00663AEF"/>
    <w:rsid w:val="00663C27"/>
    <w:rsid w:val="00663CCE"/>
    <w:rsid w:val="006640B0"/>
    <w:rsid w:val="00664523"/>
    <w:rsid w:val="00664FD6"/>
    <w:rsid w:val="00665390"/>
    <w:rsid w:val="006653DC"/>
    <w:rsid w:val="00665629"/>
    <w:rsid w:val="00665641"/>
    <w:rsid w:val="0066569A"/>
    <w:rsid w:val="00665766"/>
    <w:rsid w:val="00665D65"/>
    <w:rsid w:val="00665EC4"/>
    <w:rsid w:val="00665F1F"/>
    <w:rsid w:val="006661B0"/>
    <w:rsid w:val="00666235"/>
    <w:rsid w:val="006662F4"/>
    <w:rsid w:val="0066634C"/>
    <w:rsid w:val="006665A0"/>
    <w:rsid w:val="00666650"/>
    <w:rsid w:val="00666687"/>
    <w:rsid w:val="006666F8"/>
    <w:rsid w:val="00666914"/>
    <w:rsid w:val="00666AAD"/>
    <w:rsid w:val="00666B92"/>
    <w:rsid w:val="00666C40"/>
    <w:rsid w:val="00666C64"/>
    <w:rsid w:val="00666E47"/>
    <w:rsid w:val="00666EED"/>
    <w:rsid w:val="006670FC"/>
    <w:rsid w:val="006671DB"/>
    <w:rsid w:val="00667729"/>
    <w:rsid w:val="00667BA2"/>
    <w:rsid w:val="00667CF1"/>
    <w:rsid w:val="00667D1C"/>
    <w:rsid w:val="00667EB9"/>
    <w:rsid w:val="0067041E"/>
    <w:rsid w:val="00670421"/>
    <w:rsid w:val="006704A7"/>
    <w:rsid w:val="00670718"/>
    <w:rsid w:val="00670913"/>
    <w:rsid w:val="00670935"/>
    <w:rsid w:val="00671066"/>
    <w:rsid w:val="0067118D"/>
    <w:rsid w:val="006711BE"/>
    <w:rsid w:val="00671254"/>
    <w:rsid w:val="0067153D"/>
    <w:rsid w:val="006716AD"/>
    <w:rsid w:val="006716F0"/>
    <w:rsid w:val="0067181B"/>
    <w:rsid w:val="006718DF"/>
    <w:rsid w:val="00671A3E"/>
    <w:rsid w:val="006720A3"/>
    <w:rsid w:val="006721EC"/>
    <w:rsid w:val="006723DC"/>
    <w:rsid w:val="00672528"/>
    <w:rsid w:val="006725EE"/>
    <w:rsid w:val="00672882"/>
    <w:rsid w:val="00673352"/>
    <w:rsid w:val="00673398"/>
    <w:rsid w:val="00673487"/>
    <w:rsid w:val="0067357D"/>
    <w:rsid w:val="0067389E"/>
    <w:rsid w:val="0067391C"/>
    <w:rsid w:val="00673A03"/>
    <w:rsid w:val="00673A99"/>
    <w:rsid w:val="00673BB6"/>
    <w:rsid w:val="00673C61"/>
    <w:rsid w:val="00673ED6"/>
    <w:rsid w:val="006740D5"/>
    <w:rsid w:val="00674117"/>
    <w:rsid w:val="006742E2"/>
    <w:rsid w:val="0067460B"/>
    <w:rsid w:val="00674BFE"/>
    <w:rsid w:val="00674F61"/>
    <w:rsid w:val="0067557F"/>
    <w:rsid w:val="0067563F"/>
    <w:rsid w:val="00675AC2"/>
    <w:rsid w:val="00675AFA"/>
    <w:rsid w:val="00675B73"/>
    <w:rsid w:val="00675C72"/>
    <w:rsid w:val="00675CB7"/>
    <w:rsid w:val="00675F10"/>
    <w:rsid w:val="00675F7C"/>
    <w:rsid w:val="00676272"/>
    <w:rsid w:val="0067638F"/>
    <w:rsid w:val="00676407"/>
    <w:rsid w:val="0067654F"/>
    <w:rsid w:val="00676732"/>
    <w:rsid w:val="00676ACB"/>
    <w:rsid w:val="00676B7B"/>
    <w:rsid w:val="00676BEB"/>
    <w:rsid w:val="00676E21"/>
    <w:rsid w:val="00676E8F"/>
    <w:rsid w:val="00677294"/>
    <w:rsid w:val="0067734E"/>
    <w:rsid w:val="0067743F"/>
    <w:rsid w:val="00677D10"/>
    <w:rsid w:val="0068016C"/>
    <w:rsid w:val="00680975"/>
    <w:rsid w:val="00680DB6"/>
    <w:rsid w:val="00680EC3"/>
    <w:rsid w:val="00680F44"/>
    <w:rsid w:val="00680FF4"/>
    <w:rsid w:val="0068106F"/>
    <w:rsid w:val="00681111"/>
    <w:rsid w:val="00681182"/>
    <w:rsid w:val="0068136C"/>
    <w:rsid w:val="0068141A"/>
    <w:rsid w:val="00681460"/>
    <w:rsid w:val="006816A4"/>
    <w:rsid w:val="0068181E"/>
    <w:rsid w:val="006818F1"/>
    <w:rsid w:val="0068190E"/>
    <w:rsid w:val="006819EF"/>
    <w:rsid w:val="00681B6A"/>
    <w:rsid w:val="00681CE1"/>
    <w:rsid w:val="00681DFB"/>
    <w:rsid w:val="00681E04"/>
    <w:rsid w:val="00681ECB"/>
    <w:rsid w:val="00682283"/>
    <w:rsid w:val="006824CA"/>
    <w:rsid w:val="006824F2"/>
    <w:rsid w:val="0068269C"/>
    <w:rsid w:val="00682745"/>
    <w:rsid w:val="006828DB"/>
    <w:rsid w:val="0068297D"/>
    <w:rsid w:val="00682C0A"/>
    <w:rsid w:val="0068304E"/>
    <w:rsid w:val="0068320D"/>
    <w:rsid w:val="006833ED"/>
    <w:rsid w:val="006836E1"/>
    <w:rsid w:val="0068376C"/>
    <w:rsid w:val="006839C1"/>
    <w:rsid w:val="00683A4C"/>
    <w:rsid w:val="00683BA4"/>
    <w:rsid w:val="00683C80"/>
    <w:rsid w:val="00683D04"/>
    <w:rsid w:val="00683E98"/>
    <w:rsid w:val="00683FD9"/>
    <w:rsid w:val="006840BB"/>
    <w:rsid w:val="00684260"/>
    <w:rsid w:val="00684571"/>
    <w:rsid w:val="006845F6"/>
    <w:rsid w:val="00684627"/>
    <w:rsid w:val="0068478E"/>
    <w:rsid w:val="00684954"/>
    <w:rsid w:val="006849CA"/>
    <w:rsid w:val="00684C4D"/>
    <w:rsid w:val="00684CEC"/>
    <w:rsid w:val="00685164"/>
    <w:rsid w:val="006851EB"/>
    <w:rsid w:val="006853FA"/>
    <w:rsid w:val="00685605"/>
    <w:rsid w:val="00685A20"/>
    <w:rsid w:val="00685A44"/>
    <w:rsid w:val="006863E7"/>
    <w:rsid w:val="00686668"/>
    <w:rsid w:val="006867C6"/>
    <w:rsid w:val="006868DA"/>
    <w:rsid w:val="00686F75"/>
    <w:rsid w:val="00686FED"/>
    <w:rsid w:val="006870F9"/>
    <w:rsid w:val="006872C6"/>
    <w:rsid w:val="006873B9"/>
    <w:rsid w:val="00687597"/>
    <w:rsid w:val="006877FC"/>
    <w:rsid w:val="00687986"/>
    <w:rsid w:val="00687B28"/>
    <w:rsid w:val="00687BE8"/>
    <w:rsid w:val="00687D96"/>
    <w:rsid w:val="00687FB3"/>
    <w:rsid w:val="00690784"/>
    <w:rsid w:val="00690BD7"/>
    <w:rsid w:val="00690C48"/>
    <w:rsid w:val="00690CA6"/>
    <w:rsid w:val="00690D64"/>
    <w:rsid w:val="00690D8E"/>
    <w:rsid w:val="00690D9E"/>
    <w:rsid w:val="00690E89"/>
    <w:rsid w:val="00691018"/>
    <w:rsid w:val="0069105F"/>
    <w:rsid w:val="0069127B"/>
    <w:rsid w:val="00691489"/>
    <w:rsid w:val="006915C2"/>
    <w:rsid w:val="006916BC"/>
    <w:rsid w:val="0069189E"/>
    <w:rsid w:val="006919BC"/>
    <w:rsid w:val="006919EC"/>
    <w:rsid w:val="00691AAC"/>
    <w:rsid w:val="00691C81"/>
    <w:rsid w:val="00691EAB"/>
    <w:rsid w:val="00691F01"/>
    <w:rsid w:val="00691F9D"/>
    <w:rsid w:val="00692098"/>
    <w:rsid w:val="00692653"/>
    <w:rsid w:val="006926AE"/>
    <w:rsid w:val="00692AF7"/>
    <w:rsid w:val="00692B2C"/>
    <w:rsid w:val="00692B3D"/>
    <w:rsid w:val="00692BC8"/>
    <w:rsid w:val="00692BD6"/>
    <w:rsid w:val="00692CF5"/>
    <w:rsid w:val="00692D3B"/>
    <w:rsid w:val="00692DFF"/>
    <w:rsid w:val="00692E3F"/>
    <w:rsid w:val="00692EE0"/>
    <w:rsid w:val="00692F75"/>
    <w:rsid w:val="00692F7D"/>
    <w:rsid w:val="00692F90"/>
    <w:rsid w:val="006932FA"/>
    <w:rsid w:val="00693328"/>
    <w:rsid w:val="0069332D"/>
    <w:rsid w:val="006934F4"/>
    <w:rsid w:val="0069352A"/>
    <w:rsid w:val="00693628"/>
    <w:rsid w:val="00693945"/>
    <w:rsid w:val="00693E9C"/>
    <w:rsid w:val="00693F68"/>
    <w:rsid w:val="00693FFB"/>
    <w:rsid w:val="00694082"/>
    <w:rsid w:val="006941BD"/>
    <w:rsid w:val="006943D1"/>
    <w:rsid w:val="00694560"/>
    <w:rsid w:val="00694946"/>
    <w:rsid w:val="00694A46"/>
    <w:rsid w:val="00694A90"/>
    <w:rsid w:val="00694B86"/>
    <w:rsid w:val="00694BBA"/>
    <w:rsid w:val="00695178"/>
    <w:rsid w:val="00695214"/>
    <w:rsid w:val="00695360"/>
    <w:rsid w:val="0069577D"/>
    <w:rsid w:val="00695974"/>
    <w:rsid w:val="00695C39"/>
    <w:rsid w:val="00695C9C"/>
    <w:rsid w:val="00695D48"/>
    <w:rsid w:val="00695E28"/>
    <w:rsid w:val="00695F68"/>
    <w:rsid w:val="00695F7C"/>
    <w:rsid w:val="00696126"/>
    <w:rsid w:val="0069615A"/>
    <w:rsid w:val="006962CB"/>
    <w:rsid w:val="006962F6"/>
    <w:rsid w:val="006963B9"/>
    <w:rsid w:val="00696795"/>
    <w:rsid w:val="00696847"/>
    <w:rsid w:val="00696864"/>
    <w:rsid w:val="00696AB7"/>
    <w:rsid w:val="00696B20"/>
    <w:rsid w:val="00696E91"/>
    <w:rsid w:val="00696FA0"/>
    <w:rsid w:val="00697265"/>
    <w:rsid w:val="0069737F"/>
    <w:rsid w:val="006973DA"/>
    <w:rsid w:val="006974FE"/>
    <w:rsid w:val="006975BD"/>
    <w:rsid w:val="006975C3"/>
    <w:rsid w:val="0069764F"/>
    <w:rsid w:val="0069785F"/>
    <w:rsid w:val="00697A53"/>
    <w:rsid w:val="00697A67"/>
    <w:rsid w:val="00697AA6"/>
    <w:rsid w:val="00697B30"/>
    <w:rsid w:val="00697E74"/>
    <w:rsid w:val="00697F42"/>
    <w:rsid w:val="006A00A5"/>
    <w:rsid w:val="006A014D"/>
    <w:rsid w:val="006A02E1"/>
    <w:rsid w:val="006A04A4"/>
    <w:rsid w:val="006A0671"/>
    <w:rsid w:val="006A06AC"/>
    <w:rsid w:val="006A0770"/>
    <w:rsid w:val="006A09B5"/>
    <w:rsid w:val="006A0DD1"/>
    <w:rsid w:val="006A10AA"/>
    <w:rsid w:val="006A1110"/>
    <w:rsid w:val="006A11B2"/>
    <w:rsid w:val="006A135A"/>
    <w:rsid w:val="006A13E6"/>
    <w:rsid w:val="006A14F4"/>
    <w:rsid w:val="006A1574"/>
    <w:rsid w:val="006A1611"/>
    <w:rsid w:val="006A1832"/>
    <w:rsid w:val="006A1A1A"/>
    <w:rsid w:val="006A1BA1"/>
    <w:rsid w:val="006A1C9C"/>
    <w:rsid w:val="006A1D36"/>
    <w:rsid w:val="006A2088"/>
    <w:rsid w:val="006A211C"/>
    <w:rsid w:val="006A21CE"/>
    <w:rsid w:val="006A2361"/>
    <w:rsid w:val="006A2499"/>
    <w:rsid w:val="006A24B4"/>
    <w:rsid w:val="006A289D"/>
    <w:rsid w:val="006A28B5"/>
    <w:rsid w:val="006A2D5B"/>
    <w:rsid w:val="006A2FC8"/>
    <w:rsid w:val="006A31BD"/>
    <w:rsid w:val="006A31F9"/>
    <w:rsid w:val="006A37EB"/>
    <w:rsid w:val="006A385D"/>
    <w:rsid w:val="006A391B"/>
    <w:rsid w:val="006A3A5A"/>
    <w:rsid w:val="006A3E98"/>
    <w:rsid w:val="006A3F9D"/>
    <w:rsid w:val="006A40C9"/>
    <w:rsid w:val="006A4177"/>
    <w:rsid w:val="006A427C"/>
    <w:rsid w:val="006A4302"/>
    <w:rsid w:val="006A46CC"/>
    <w:rsid w:val="006A4A43"/>
    <w:rsid w:val="006A4CEB"/>
    <w:rsid w:val="006A4CFC"/>
    <w:rsid w:val="006A4D88"/>
    <w:rsid w:val="006A4DF6"/>
    <w:rsid w:val="006A4E19"/>
    <w:rsid w:val="006A4F11"/>
    <w:rsid w:val="006A4F68"/>
    <w:rsid w:val="006A5083"/>
    <w:rsid w:val="006A5648"/>
    <w:rsid w:val="006A57DC"/>
    <w:rsid w:val="006A5BAF"/>
    <w:rsid w:val="006A5C51"/>
    <w:rsid w:val="006A5EC0"/>
    <w:rsid w:val="006A5F56"/>
    <w:rsid w:val="006A5F9D"/>
    <w:rsid w:val="006A6215"/>
    <w:rsid w:val="006A630B"/>
    <w:rsid w:val="006A6445"/>
    <w:rsid w:val="006A64F4"/>
    <w:rsid w:val="006A661F"/>
    <w:rsid w:val="006A666F"/>
    <w:rsid w:val="006A685A"/>
    <w:rsid w:val="006A68EF"/>
    <w:rsid w:val="006A6E18"/>
    <w:rsid w:val="006A6E26"/>
    <w:rsid w:val="006A6F52"/>
    <w:rsid w:val="006A70E8"/>
    <w:rsid w:val="006A7220"/>
    <w:rsid w:val="006A78B1"/>
    <w:rsid w:val="006A7919"/>
    <w:rsid w:val="006A79B6"/>
    <w:rsid w:val="006A7AAB"/>
    <w:rsid w:val="006A7B81"/>
    <w:rsid w:val="006A7C2D"/>
    <w:rsid w:val="006A7D0F"/>
    <w:rsid w:val="006A7D7B"/>
    <w:rsid w:val="006A7D9F"/>
    <w:rsid w:val="006A7E45"/>
    <w:rsid w:val="006A7F08"/>
    <w:rsid w:val="006A7FC5"/>
    <w:rsid w:val="006B00DB"/>
    <w:rsid w:val="006B011D"/>
    <w:rsid w:val="006B04D6"/>
    <w:rsid w:val="006B04DD"/>
    <w:rsid w:val="006B05D0"/>
    <w:rsid w:val="006B0BF9"/>
    <w:rsid w:val="006B0C29"/>
    <w:rsid w:val="006B0CDE"/>
    <w:rsid w:val="006B0D46"/>
    <w:rsid w:val="006B0ED8"/>
    <w:rsid w:val="006B0F6B"/>
    <w:rsid w:val="006B0FAF"/>
    <w:rsid w:val="006B1167"/>
    <w:rsid w:val="006B1217"/>
    <w:rsid w:val="006B1594"/>
    <w:rsid w:val="006B16DF"/>
    <w:rsid w:val="006B1753"/>
    <w:rsid w:val="006B19B1"/>
    <w:rsid w:val="006B1DC2"/>
    <w:rsid w:val="006B1E21"/>
    <w:rsid w:val="006B227B"/>
    <w:rsid w:val="006B2410"/>
    <w:rsid w:val="006B290E"/>
    <w:rsid w:val="006B2BF5"/>
    <w:rsid w:val="006B2D9E"/>
    <w:rsid w:val="006B2DA1"/>
    <w:rsid w:val="006B2EA4"/>
    <w:rsid w:val="006B2EC7"/>
    <w:rsid w:val="006B2EF5"/>
    <w:rsid w:val="006B3100"/>
    <w:rsid w:val="006B34FA"/>
    <w:rsid w:val="006B37DF"/>
    <w:rsid w:val="006B3B55"/>
    <w:rsid w:val="006B3DD2"/>
    <w:rsid w:val="006B3E82"/>
    <w:rsid w:val="006B40AE"/>
    <w:rsid w:val="006B40C1"/>
    <w:rsid w:val="006B41AD"/>
    <w:rsid w:val="006B437E"/>
    <w:rsid w:val="006B43D8"/>
    <w:rsid w:val="006B4555"/>
    <w:rsid w:val="006B45DF"/>
    <w:rsid w:val="006B467B"/>
    <w:rsid w:val="006B46AA"/>
    <w:rsid w:val="006B46D7"/>
    <w:rsid w:val="006B4890"/>
    <w:rsid w:val="006B48D1"/>
    <w:rsid w:val="006B4993"/>
    <w:rsid w:val="006B4ABB"/>
    <w:rsid w:val="006B4B45"/>
    <w:rsid w:val="006B4B80"/>
    <w:rsid w:val="006B4BBD"/>
    <w:rsid w:val="006B4DB3"/>
    <w:rsid w:val="006B4DF8"/>
    <w:rsid w:val="006B50C3"/>
    <w:rsid w:val="006B519C"/>
    <w:rsid w:val="006B5298"/>
    <w:rsid w:val="006B5341"/>
    <w:rsid w:val="006B536D"/>
    <w:rsid w:val="006B5649"/>
    <w:rsid w:val="006B57AE"/>
    <w:rsid w:val="006B5836"/>
    <w:rsid w:val="006B5892"/>
    <w:rsid w:val="006B59D0"/>
    <w:rsid w:val="006B59D9"/>
    <w:rsid w:val="006B60AA"/>
    <w:rsid w:val="006B63AA"/>
    <w:rsid w:val="006B6584"/>
    <w:rsid w:val="006B6704"/>
    <w:rsid w:val="006B6723"/>
    <w:rsid w:val="006B68A4"/>
    <w:rsid w:val="006B6ADA"/>
    <w:rsid w:val="006B6BBE"/>
    <w:rsid w:val="006B6C74"/>
    <w:rsid w:val="006B6D60"/>
    <w:rsid w:val="006B7152"/>
    <w:rsid w:val="006B71B4"/>
    <w:rsid w:val="006B73DA"/>
    <w:rsid w:val="006B762B"/>
    <w:rsid w:val="006B7789"/>
    <w:rsid w:val="006B7933"/>
    <w:rsid w:val="006B7D09"/>
    <w:rsid w:val="006B7D90"/>
    <w:rsid w:val="006B7DE1"/>
    <w:rsid w:val="006C0040"/>
    <w:rsid w:val="006C0071"/>
    <w:rsid w:val="006C0102"/>
    <w:rsid w:val="006C0108"/>
    <w:rsid w:val="006C0178"/>
    <w:rsid w:val="006C04CD"/>
    <w:rsid w:val="006C0530"/>
    <w:rsid w:val="006C0552"/>
    <w:rsid w:val="006C055B"/>
    <w:rsid w:val="006C06CF"/>
    <w:rsid w:val="006C07EB"/>
    <w:rsid w:val="006C080E"/>
    <w:rsid w:val="006C0A9F"/>
    <w:rsid w:val="006C0AC2"/>
    <w:rsid w:val="006C0C65"/>
    <w:rsid w:val="006C0C9D"/>
    <w:rsid w:val="006C117E"/>
    <w:rsid w:val="006C136A"/>
    <w:rsid w:val="006C163E"/>
    <w:rsid w:val="006C1830"/>
    <w:rsid w:val="006C18CC"/>
    <w:rsid w:val="006C18E0"/>
    <w:rsid w:val="006C1945"/>
    <w:rsid w:val="006C1C2C"/>
    <w:rsid w:val="006C1CE9"/>
    <w:rsid w:val="006C1D08"/>
    <w:rsid w:val="006C1D49"/>
    <w:rsid w:val="006C1F13"/>
    <w:rsid w:val="006C2175"/>
    <w:rsid w:val="006C2202"/>
    <w:rsid w:val="006C283B"/>
    <w:rsid w:val="006C2A15"/>
    <w:rsid w:val="006C2AD6"/>
    <w:rsid w:val="006C2BB7"/>
    <w:rsid w:val="006C2CDD"/>
    <w:rsid w:val="006C2F79"/>
    <w:rsid w:val="006C323B"/>
    <w:rsid w:val="006C34D1"/>
    <w:rsid w:val="006C3635"/>
    <w:rsid w:val="006C372B"/>
    <w:rsid w:val="006C395D"/>
    <w:rsid w:val="006C3A0D"/>
    <w:rsid w:val="006C3DA0"/>
    <w:rsid w:val="006C3E68"/>
    <w:rsid w:val="006C3F1F"/>
    <w:rsid w:val="006C4036"/>
    <w:rsid w:val="006C4140"/>
    <w:rsid w:val="006C44BB"/>
    <w:rsid w:val="006C45B8"/>
    <w:rsid w:val="006C4706"/>
    <w:rsid w:val="006C48D1"/>
    <w:rsid w:val="006C4E81"/>
    <w:rsid w:val="006C5094"/>
    <w:rsid w:val="006C53EE"/>
    <w:rsid w:val="006C54BB"/>
    <w:rsid w:val="006C555E"/>
    <w:rsid w:val="006C56AD"/>
    <w:rsid w:val="006C56D1"/>
    <w:rsid w:val="006C574F"/>
    <w:rsid w:val="006C5A8B"/>
    <w:rsid w:val="006C5D7A"/>
    <w:rsid w:val="006C5DC5"/>
    <w:rsid w:val="006C5E9C"/>
    <w:rsid w:val="006C5F8F"/>
    <w:rsid w:val="006C613D"/>
    <w:rsid w:val="006C6184"/>
    <w:rsid w:val="006C62ED"/>
    <w:rsid w:val="006C63BA"/>
    <w:rsid w:val="006C6466"/>
    <w:rsid w:val="006C665D"/>
    <w:rsid w:val="006C6731"/>
    <w:rsid w:val="006C67FB"/>
    <w:rsid w:val="006C6A20"/>
    <w:rsid w:val="006C6A76"/>
    <w:rsid w:val="006C6C34"/>
    <w:rsid w:val="006C6CF3"/>
    <w:rsid w:val="006C6D9E"/>
    <w:rsid w:val="006C6DB6"/>
    <w:rsid w:val="006C724F"/>
    <w:rsid w:val="006C7389"/>
    <w:rsid w:val="006C7A3E"/>
    <w:rsid w:val="006C7A96"/>
    <w:rsid w:val="006C7D59"/>
    <w:rsid w:val="006D0025"/>
    <w:rsid w:val="006D0040"/>
    <w:rsid w:val="006D017D"/>
    <w:rsid w:val="006D0382"/>
    <w:rsid w:val="006D05D3"/>
    <w:rsid w:val="006D06BF"/>
    <w:rsid w:val="006D086E"/>
    <w:rsid w:val="006D097F"/>
    <w:rsid w:val="006D0A10"/>
    <w:rsid w:val="006D1112"/>
    <w:rsid w:val="006D123B"/>
    <w:rsid w:val="006D1410"/>
    <w:rsid w:val="006D1511"/>
    <w:rsid w:val="006D1523"/>
    <w:rsid w:val="006D17A5"/>
    <w:rsid w:val="006D1942"/>
    <w:rsid w:val="006D1953"/>
    <w:rsid w:val="006D1F70"/>
    <w:rsid w:val="006D209C"/>
    <w:rsid w:val="006D24A5"/>
    <w:rsid w:val="006D2599"/>
    <w:rsid w:val="006D26F0"/>
    <w:rsid w:val="006D28E3"/>
    <w:rsid w:val="006D2C04"/>
    <w:rsid w:val="006D2CB3"/>
    <w:rsid w:val="006D2F8D"/>
    <w:rsid w:val="006D31B2"/>
    <w:rsid w:val="006D31C5"/>
    <w:rsid w:val="006D3336"/>
    <w:rsid w:val="006D3422"/>
    <w:rsid w:val="006D348A"/>
    <w:rsid w:val="006D3568"/>
    <w:rsid w:val="006D36ED"/>
    <w:rsid w:val="006D383A"/>
    <w:rsid w:val="006D3A95"/>
    <w:rsid w:val="006D3DC5"/>
    <w:rsid w:val="006D3F03"/>
    <w:rsid w:val="006D3FF1"/>
    <w:rsid w:val="006D4078"/>
    <w:rsid w:val="006D407F"/>
    <w:rsid w:val="006D4125"/>
    <w:rsid w:val="006D4176"/>
    <w:rsid w:val="006D4331"/>
    <w:rsid w:val="006D46AC"/>
    <w:rsid w:val="006D46AF"/>
    <w:rsid w:val="006D4857"/>
    <w:rsid w:val="006D49F5"/>
    <w:rsid w:val="006D4B05"/>
    <w:rsid w:val="006D5061"/>
    <w:rsid w:val="006D54C9"/>
    <w:rsid w:val="006D560E"/>
    <w:rsid w:val="006D5EA2"/>
    <w:rsid w:val="006D61D9"/>
    <w:rsid w:val="006D6201"/>
    <w:rsid w:val="006D620A"/>
    <w:rsid w:val="006D6874"/>
    <w:rsid w:val="006D6BF1"/>
    <w:rsid w:val="006D6E77"/>
    <w:rsid w:val="006D7079"/>
    <w:rsid w:val="006D70C2"/>
    <w:rsid w:val="006D737E"/>
    <w:rsid w:val="006D73F5"/>
    <w:rsid w:val="006D7ABF"/>
    <w:rsid w:val="006D7C82"/>
    <w:rsid w:val="006D7D4B"/>
    <w:rsid w:val="006D7DC1"/>
    <w:rsid w:val="006E008C"/>
    <w:rsid w:val="006E0110"/>
    <w:rsid w:val="006E0173"/>
    <w:rsid w:val="006E0202"/>
    <w:rsid w:val="006E023B"/>
    <w:rsid w:val="006E03D6"/>
    <w:rsid w:val="006E0560"/>
    <w:rsid w:val="006E05A6"/>
    <w:rsid w:val="006E0872"/>
    <w:rsid w:val="006E0891"/>
    <w:rsid w:val="006E0956"/>
    <w:rsid w:val="006E09B8"/>
    <w:rsid w:val="006E09F6"/>
    <w:rsid w:val="006E0A57"/>
    <w:rsid w:val="006E0C7E"/>
    <w:rsid w:val="006E0DB2"/>
    <w:rsid w:val="006E0E14"/>
    <w:rsid w:val="006E0EF2"/>
    <w:rsid w:val="006E109F"/>
    <w:rsid w:val="006E173C"/>
    <w:rsid w:val="006E1943"/>
    <w:rsid w:val="006E19AF"/>
    <w:rsid w:val="006E19B7"/>
    <w:rsid w:val="006E1A43"/>
    <w:rsid w:val="006E1AF7"/>
    <w:rsid w:val="006E1EB7"/>
    <w:rsid w:val="006E22AE"/>
    <w:rsid w:val="006E231B"/>
    <w:rsid w:val="006E271C"/>
    <w:rsid w:val="006E2753"/>
    <w:rsid w:val="006E275F"/>
    <w:rsid w:val="006E2A05"/>
    <w:rsid w:val="006E2A59"/>
    <w:rsid w:val="006E2CDB"/>
    <w:rsid w:val="006E2EFE"/>
    <w:rsid w:val="006E2FE0"/>
    <w:rsid w:val="006E31DE"/>
    <w:rsid w:val="006E329E"/>
    <w:rsid w:val="006E3306"/>
    <w:rsid w:val="006E33AF"/>
    <w:rsid w:val="006E3454"/>
    <w:rsid w:val="006E3BAA"/>
    <w:rsid w:val="006E3E02"/>
    <w:rsid w:val="006E405A"/>
    <w:rsid w:val="006E4069"/>
    <w:rsid w:val="006E416B"/>
    <w:rsid w:val="006E4198"/>
    <w:rsid w:val="006E42B0"/>
    <w:rsid w:val="006E4375"/>
    <w:rsid w:val="006E483E"/>
    <w:rsid w:val="006E4DA0"/>
    <w:rsid w:val="006E4E2B"/>
    <w:rsid w:val="006E4F70"/>
    <w:rsid w:val="006E4FA9"/>
    <w:rsid w:val="006E50CA"/>
    <w:rsid w:val="006E5486"/>
    <w:rsid w:val="006E56B2"/>
    <w:rsid w:val="006E57ED"/>
    <w:rsid w:val="006E5B42"/>
    <w:rsid w:val="006E5B97"/>
    <w:rsid w:val="006E5CB3"/>
    <w:rsid w:val="006E5CF4"/>
    <w:rsid w:val="006E5DA2"/>
    <w:rsid w:val="006E6046"/>
    <w:rsid w:val="006E60D6"/>
    <w:rsid w:val="006E6E60"/>
    <w:rsid w:val="006E6F33"/>
    <w:rsid w:val="006E738B"/>
    <w:rsid w:val="006E755A"/>
    <w:rsid w:val="006E779C"/>
    <w:rsid w:val="006E77CE"/>
    <w:rsid w:val="006E7A95"/>
    <w:rsid w:val="006E7C44"/>
    <w:rsid w:val="006E7E3E"/>
    <w:rsid w:val="006E7ECE"/>
    <w:rsid w:val="006F011F"/>
    <w:rsid w:val="006F04CA"/>
    <w:rsid w:val="006F068A"/>
    <w:rsid w:val="006F0C97"/>
    <w:rsid w:val="006F0CDF"/>
    <w:rsid w:val="006F1281"/>
    <w:rsid w:val="006F12B5"/>
    <w:rsid w:val="006F1344"/>
    <w:rsid w:val="006F1686"/>
    <w:rsid w:val="006F1709"/>
    <w:rsid w:val="006F1714"/>
    <w:rsid w:val="006F1945"/>
    <w:rsid w:val="006F1AE7"/>
    <w:rsid w:val="006F1C2F"/>
    <w:rsid w:val="006F1D53"/>
    <w:rsid w:val="006F1DE4"/>
    <w:rsid w:val="006F21C8"/>
    <w:rsid w:val="006F2292"/>
    <w:rsid w:val="006F24E4"/>
    <w:rsid w:val="006F263A"/>
    <w:rsid w:val="006F2A67"/>
    <w:rsid w:val="006F2AD6"/>
    <w:rsid w:val="006F2BC5"/>
    <w:rsid w:val="006F2DBA"/>
    <w:rsid w:val="006F2F0D"/>
    <w:rsid w:val="006F31FD"/>
    <w:rsid w:val="006F34A9"/>
    <w:rsid w:val="006F34BE"/>
    <w:rsid w:val="006F34E6"/>
    <w:rsid w:val="006F34E8"/>
    <w:rsid w:val="006F3647"/>
    <w:rsid w:val="006F3827"/>
    <w:rsid w:val="006F383D"/>
    <w:rsid w:val="006F3935"/>
    <w:rsid w:val="006F3AF9"/>
    <w:rsid w:val="006F3B63"/>
    <w:rsid w:val="006F3B67"/>
    <w:rsid w:val="006F3D82"/>
    <w:rsid w:val="006F4046"/>
    <w:rsid w:val="006F42B0"/>
    <w:rsid w:val="006F43FD"/>
    <w:rsid w:val="006F47FB"/>
    <w:rsid w:val="006F4850"/>
    <w:rsid w:val="006F487C"/>
    <w:rsid w:val="006F51FE"/>
    <w:rsid w:val="006F520A"/>
    <w:rsid w:val="006F52E9"/>
    <w:rsid w:val="006F53E3"/>
    <w:rsid w:val="006F5418"/>
    <w:rsid w:val="006F567F"/>
    <w:rsid w:val="006F56B2"/>
    <w:rsid w:val="006F5927"/>
    <w:rsid w:val="006F5D77"/>
    <w:rsid w:val="006F5DDD"/>
    <w:rsid w:val="006F5E2C"/>
    <w:rsid w:val="006F622E"/>
    <w:rsid w:val="006F670D"/>
    <w:rsid w:val="006F69BE"/>
    <w:rsid w:val="006F6A43"/>
    <w:rsid w:val="006F6A54"/>
    <w:rsid w:val="006F6DC3"/>
    <w:rsid w:val="006F700C"/>
    <w:rsid w:val="006F705D"/>
    <w:rsid w:val="006F708E"/>
    <w:rsid w:val="006F713D"/>
    <w:rsid w:val="006F73FF"/>
    <w:rsid w:val="006F74E9"/>
    <w:rsid w:val="006F7C16"/>
    <w:rsid w:val="006F7CE9"/>
    <w:rsid w:val="006F7D54"/>
    <w:rsid w:val="006F7EE3"/>
    <w:rsid w:val="00700247"/>
    <w:rsid w:val="007002A5"/>
    <w:rsid w:val="007003C0"/>
    <w:rsid w:val="00700515"/>
    <w:rsid w:val="0070051D"/>
    <w:rsid w:val="0070072A"/>
    <w:rsid w:val="00700750"/>
    <w:rsid w:val="0070081F"/>
    <w:rsid w:val="0070088B"/>
    <w:rsid w:val="007008C5"/>
    <w:rsid w:val="00700A11"/>
    <w:rsid w:val="00700A91"/>
    <w:rsid w:val="00700BE9"/>
    <w:rsid w:val="00700BFD"/>
    <w:rsid w:val="00700DAE"/>
    <w:rsid w:val="00701144"/>
    <w:rsid w:val="007012C7"/>
    <w:rsid w:val="007012F0"/>
    <w:rsid w:val="007016D3"/>
    <w:rsid w:val="00701882"/>
    <w:rsid w:val="00701FFB"/>
    <w:rsid w:val="007021F9"/>
    <w:rsid w:val="0070237B"/>
    <w:rsid w:val="007024F8"/>
    <w:rsid w:val="00702851"/>
    <w:rsid w:val="007029A7"/>
    <w:rsid w:val="007029CD"/>
    <w:rsid w:val="00702B4C"/>
    <w:rsid w:val="00702DF0"/>
    <w:rsid w:val="00702E4E"/>
    <w:rsid w:val="00703072"/>
    <w:rsid w:val="007031A0"/>
    <w:rsid w:val="00703221"/>
    <w:rsid w:val="0070348D"/>
    <w:rsid w:val="007034BA"/>
    <w:rsid w:val="00703633"/>
    <w:rsid w:val="007037DC"/>
    <w:rsid w:val="00703812"/>
    <w:rsid w:val="00703A49"/>
    <w:rsid w:val="00703BFB"/>
    <w:rsid w:val="00703F92"/>
    <w:rsid w:val="007040BA"/>
    <w:rsid w:val="00704129"/>
    <w:rsid w:val="00704242"/>
    <w:rsid w:val="00704271"/>
    <w:rsid w:val="007042C2"/>
    <w:rsid w:val="00704565"/>
    <w:rsid w:val="007046E5"/>
    <w:rsid w:val="00704A96"/>
    <w:rsid w:val="00704D6F"/>
    <w:rsid w:val="00704EEC"/>
    <w:rsid w:val="00704FB5"/>
    <w:rsid w:val="007051B1"/>
    <w:rsid w:val="007052BE"/>
    <w:rsid w:val="00705379"/>
    <w:rsid w:val="007054D9"/>
    <w:rsid w:val="007059C6"/>
    <w:rsid w:val="00705B96"/>
    <w:rsid w:val="00705C10"/>
    <w:rsid w:val="00705CD3"/>
    <w:rsid w:val="00705FE2"/>
    <w:rsid w:val="0070605E"/>
    <w:rsid w:val="00706075"/>
    <w:rsid w:val="00706077"/>
    <w:rsid w:val="00706341"/>
    <w:rsid w:val="00706354"/>
    <w:rsid w:val="00706451"/>
    <w:rsid w:val="00706CE3"/>
    <w:rsid w:val="00706EC1"/>
    <w:rsid w:val="00707006"/>
    <w:rsid w:val="0070712C"/>
    <w:rsid w:val="00707153"/>
    <w:rsid w:val="007077B1"/>
    <w:rsid w:val="00707899"/>
    <w:rsid w:val="00707BC0"/>
    <w:rsid w:val="00707C93"/>
    <w:rsid w:val="00707D5C"/>
    <w:rsid w:val="00707EEF"/>
    <w:rsid w:val="00707FF8"/>
    <w:rsid w:val="0071003F"/>
    <w:rsid w:val="00710149"/>
    <w:rsid w:val="00710166"/>
    <w:rsid w:val="00710541"/>
    <w:rsid w:val="0071069C"/>
    <w:rsid w:val="007107EF"/>
    <w:rsid w:val="00710EB8"/>
    <w:rsid w:val="00710F2E"/>
    <w:rsid w:val="00710F64"/>
    <w:rsid w:val="00710F80"/>
    <w:rsid w:val="00711579"/>
    <w:rsid w:val="00711642"/>
    <w:rsid w:val="00711A8D"/>
    <w:rsid w:val="00711B06"/>
    <w:rsid w:val="00711C44"/>
    <w:rsid w:val="00711D3B"/>
    <w:rsid w:val="00711F12"/>
    <w:rsid w:val="00711FC2"/>
    <w:rsid w:val="0071202F"/>
    <w:rsid w:val="00712813"/>
    <w:rsid w:val="00712826"/>
    <w:rsid w:val="0071293B"/>
    <w:rsid w:val="00712B8C"/>
    <w:rsid w:val="00712BB2"/>
    <w:rsid w:val="00712D7B"/>
    <w:rsid w:val="00712DA6"/>
    <w:rsid w:val="00712E2B"/>
    <w:rsid w:val="00712EE4"/>
    <w:rsid w:val="007130EC"/>
    <w:rsid w:val="007133BC"/>
    <w:rsid w:val="007135DD"/>
    <w:rsid w:val="007136D9"/>
    <w:rsid w:val="00713CEB"/>
    <w:rsid w:val="00713D29"/>
    <w:rsid w:val="00713ED5"/>
    <w:rsid w:val="0071418D"/>
    <w:rsid w:val="007142AB"/>
    <w:rsid w:val="007146C7"/>
    <w:rsid w:val="0071478D"/>
    <w:rsid w:val="007148C3"/>
    <w:rsid w:val="00714AD3"/>
    <w:rsid w:val="00714C65"/>
    <w:rsid w:val="00714D35"/>
    <w:rsid w:val="00714D4F"/>
    <w:rsid w:val="00714FAC"/>
    <w:rsid w:val="0071513F"/>
    <w:rsid w:val="007152D5"/>
    <w:rsid w:val="00715373"/>
    <w:rsid w:val="0071581C"/>
    <w:rsid w:val="0071586E"/>
    <w:rsid w:val="00715F47"/>
    <w:rsid w:val="007164BA"/>
    <w:rsid w:val="0071675C"/>
    <w:rsid w:val="0071679C"/>
    <w:rsid w:val="00716828"/>
    <w:rsid w:val="00716865"/>
    <w:rsid w:val="00716ED5"/>
    <w:rsid w:val="0071703B"/>
    <w:rsid w:val="00717559"/>
    <w:rsid w:val="00717A06"/>
    <w:rsid w:val="00717B18"/>
    <w:rsid w:val="00717B5F"/>
    <w:rsid w:val="00717BAB"/>
    <w:rsid w:val="00717C03"/>
    <w:rsid w:val="00717C5D"/>
    <w:rsid w:val="00717D0E"/>
    <w:rsid w:val="00717D6D"/>
    <w:rsid w:val="00717F3B"/>
    <w:rsid w:val="007200B7"/>
    <w:rsid w:val="007202DB"/>
    <w:rsid w:val="007203D7"/>
    <w:rsid w:val="00720669"/>
    <w:rsid w:val="0072066B"/>
    <w:rsid w:val="007208CB"/>
    <w:rsid w:val="00720BC0"/>
    <w:rsid w:val="00720C22"/>
    <w:rsid w:val="00720D40"/>
    <w:rsid w:val="00720EC2"/>
    <w:rsid w:val="00721174"/>
    <w:rsid w:val="007212D8"/>
    <w:rsid w:val="007214ED"/>
    <w:rsid w:val="007215CD"/>
    <w:rsid w:val="00721749"/>
    <w:rsid w:val="007218DA"/>
    <w:rsid w:val="00721B9C"/>
    <w:rsid w:val="00721CD7"/>
    <w:rsid w:val="007223F5"/>
    <w:rsid w:val="0072242B"/>
    <w:rsid w:val="0072243C"/>
    <w:rsid w:val="00722618"/>
    <w:rsid w:val="00722707"/>
    <w:rsid w:val="0072277F"/>
    <w:rsid w:val="00722794"/>
    <w:rsid w:val="007228F7"/>
    <w:rsid w:val="00722A9C"/>
    <w:rsid w:val="00722C7F"/>
    <w:rsid w:val="00722D15"/>
    <w:rsid w:val="00722F2B"/>
    <w:rsid w:val="00722F7F"/>
    <w:rsid w:val="00722FF1"/>
    <w:rsid w:val="00723140"/>
    <w:rsid w:val="00723172"/>
    <w:rsid w:val="007234E1"/>
    <w:rsid w:val="007237E5"/>
    <w:rsid w:val="00723843"/>
    <w:rsid w:val="0072386B"/>
    <w:rsid w:val="007238F5"/>
    <w:rsid w:val="00723B97"/>
    <w:rsid w:val="00723CE9"/>
    <w:rsid w:val="00723F62"/>
    <w:rsid w:val="00724086"/>
    <w:rsid w:val="007241CB"/>
    <w:rsid w:val="007241D2"/>
    <w:rsid w:val="00724212"/>
    <w:rsid w:val="00724219"/>
    <w:rsid w:val="00724226"/>
    <w:rsid w:val="00724249"/>
    <w:rsid w:val="00724364"/>
    <w:rsid w:val="0072469D"/>
    <w:rsid w:val="007246DC"/>
    <w:rsid w:val="00724712"/>
    <w:rsid w:val="0072476E"/>
    <w:rsid w:val="00724855"/>
    <w:rsid w:val="00724952"/>
    <w:rsid w:val="00724C30"/>
    <w:rsid w:val="00724D58"/>
    <w:rsid w:val="00724E8C"/>
    <w:rsid w:val="00724F64"/>
    <w:rsid w:val="0072505A"/>
    <w:rsid w:val="007252EE"/>
    <w:rsid w:val="00725472"/>
    <w:rsid w:val="00725633"/>
    <w:rsid w:val="007256FD"/>
    <w:rsid w:val="0072585A"/>
    <w:rsid w:val="00725A10"/>
    <w:rsid w:val="00725C95"/>
    <w:rsid w:val="00725EB0"/>
    <w:rsid w:val="00725FEF"/>
    <w:rsid w:val="00726065"/>
    <w:rsid w:val="0072606B"/>
    <w:rsid w:val="007261F4"/>
    <w:rsid w:val="00726357"/>
    <w:rsid w:val="007267EC"/>
    <w:rsid w:val="007269A9"/>
    <w:rsid w:val="00726C12"/>
    <w:rsid w:val="00726C5B"/>
    <w:rsid w:val="00726F1A"/>
    <w:rsid w:val="00726F66"/>
    <w:rsid w:val="007271C4"/>
    <w:rsid w:val="00727378"/>
    <w:rsid w:val="00727705"/>
    <w:rsid w:val="00727717"/>
    <w:rsid w:val="007278BA"/>
    <w:rsid w:val="007278E4"/>
    <w:rsid w:val="00727AA5"/>
    <w:rsid w:val="00727B8B"/>
    <w:rsid w:val="00727E37"/>
    <w:rsid w:val="00727F1E"/>
    <w:rsid w:val="007301C9"/>
    <w:rsid w:val="00730267"/>
    <w:rsid w:val="007303CF"/>
    <w:rsid w:val="007304E3"/>
    <w:rsid w:val="00730543"/>
    <w:rsid w:val="00730628"/>
    <w:rsid w:val="007307DA"/>
    <w:rsid w:val="007308FC"/>
    <w:rsid w:val="007309EA"/>
    <w:rsid w:val="00730B68"/>
    <w:rsid w:val="00730CF1"/>
    <w:rsid w:val="00731428"/>
    <w:rsid w:val="007316CC"/>
    <w:rsid w:val="007317BD"/>
    <w:rsid w:val="0073184A"/>
    <w:rsid w:val="00731870"/>
    <w:rsid w:val="007319F9"/>
    <w:rsid w:val="00731A6E"/>
    <w:rsid w:val="00731AB4"/>
    <w:rsid w:val="00731AEB"/>
    <w:rsid w:val="00731D73"/>
    <w:rsid w:val="00731F50"/>
    <w:rsid w:val="00731FB2"/>
    <w:rsid w:val="007320DD"/>
    <w:rsid w:val="00732111"/>
    <w:rsid w:val="007328D5"/>
    <w:rsid w:val="00732910"/>
    <w:rsid w:val="0073291A"/>
    <w:rsid w:val="00732BF4"/>
    <w:rsid w:val="0073322E"/>
    <w:rsid w:val="007335BE"/>
    <w:rsid w:val="0073361F"/>
    <w:rsid w:val="00733DE5"/>
    <w:rsid w:val="00733F1A"/>
    <w:rsid w:val="00733F47"/>
    <w:rsid w:val="007341B9"/>
    <w:rsid w:val="0073433B"/>
    <w:rsid w:val="00734829"/>
    <w:rsid w:val="007348B8"/>
    <w:rsid w:val="00734AA3"/>
    <w:rsid w:val="00734B3C"/>
    <w:rsid w:val="00734F2C"/>
    <w:rsid w:val="00735168"/>
    <w:rsid w:val="007351D5"/>
    <w:rsid w:val="00735390"/>
    <w:rsid w:val="007354D0"/>
    <w:rsid w:val="007356D6"/>
    <w:rsid w:val="00735802"/>
    <w:rsid w:val="00735965"/>
    <w:rsid w:val="007359C2"/>
    <w:rsid w:val="00735C39"/>
    <w:rsid w:val="00735E31"/>
    <w:rsid w:val="007360BE"/>
    <w:rsid w:val="00736174"/>
    <w:rsid w:val="007364D6"/>
    <w:rsid w:val="0073670C"/>
    <w:rsid w:val="00736790"/>
    <w:rsid w:val="00736C06"/>
    <w:rsid w:val="00736C1D"/>
    <w:rsid w:val="00736C47"/>
    <w:rsid w:val="00736E20"/>
    <w:rsid w:val="00737116"/>
    <w:rsid w:val="00737294"/>
    <w:rsid w:val="007377C5"/>
    <w:rsid w:val="00737CB5"/>
    <w:rsid w:val="00737D63"/>
    <w:rsid w:val="00737DE6"/>
    <w:rsid w:val="0074006D"/>
    <w:rsid w:val="007402ED"/>
    <w:rsid w:val="00740319"/>
    <w:rsid w:val="007405C8"/>
    <w:rsid w:val="0074062A"/>
    <w:rsid w:val="00740654"/>
    <w:rsid w:val="00740B46"/>
    <w:rsid w:val="00740C33"/>
    <w:rsid w:val="00740C3E"/>
    <w:rsid w:val="00740CEB"/>
    <w:rsid w:val="00740D68"/>
    <w:rsid w:val="00740EA8"/>
    <w:rsid w:val="00741089"/>
    <w:rsid w:val="00741111"/>
    <w:rsid w:val="007415E8"/>
    <w:rsid w:val="00741694"/>
    <w:rsid w:val="0074192B"/>
    <w:rsid w:val="00741ACF"/>
    <w:rsid w:val="00741AE5"/>
    <w:rsid w:val="00741B5C"/>
    <w:rsid w:val="00741BD6"/>
    <w:rsid w:val="00741C47"/>
    <w:rsid w:val="00741E65"/>
    <w:rsid w:val="00742003"/>
    <w:rsid w:val="0074200D"/>
    <w:rsid w:val="00742101"/>
    <w:rsid w:val="007422A3"/>
    <w:rsid w:val="00742783"/>
    <w:rsid w:val="00742847"/>
    <w:rsid w:val="0074296E"/>
    <w:rsid w:val="00742C4B"/>
    <w:rsid w:val="00742D29"/>
    <w:rsid w:val="00742F97"/>
    <w:rsid w:val="0074378B"/>
    <w:rsid w:val="00743879"/>
    <w:rsid w:val="0074388F"/>
    <w:rsid w:val="00743950"/>
    <w:rsid w:val="007439A3"/>
    <w:rsid w:val="007439E2"/>
    <w:rsid w:val="00743CFF"/>
    <w:rsid w:val="00743DC7"/>
    <w:rsid w:val="00743E7D"/>
    <w:rsid w:val="00743F8A"/>
    <w:rsid w:val="0074408A"/>
    <w:rsid w:val="0074411C"/>
    <w:rsid w:val="00744418"/>
    <w:rsid w:val="007446E8"/>
    <w:rsid w:val="0074487F"/>
    <w:rsid w:val="00744A77"/>
    <w:rsid w:val="00744A95"/>
    <w:rsid w:val="00744BD3"/>
    <w:rsid w:val="00744C23"/>
    <w:rsid w:val="00744E67"/>
    <w:rsid w:val="00744ECB"/>
    <w:rsid w:val="00744FD9"/>
    <w:rsid w:val="00745153"/>
    <w:rsid w:val="007451FB"/>
    <w:rsid w:val="0074524E"/>
    <w:rsid w:val="00745282"/>
    <w:rsid w:val="0074538A"/>
    <w:rsid w:val="007453B7"/>
    <w:rsid w:val="007454E8"/>
    <w:rsid w:val="0074555E"/>
    <w:rsid w:val="0074556A"/>
    <w:rsid w:val="0074579C"/>
    <w:rsid w:val="00745922"/>
    <w:rsid w:val="00745A59"/>
    <w:rsid w:val="00745A69"/>
    <w:rsid w:val="007460B3"/>
    <w:rsid w:val="0074623A"/>
    <w:rsid w:val="0074643F"/>
    <w:rsid w:val="0074646A"/>
    <w:rsid w:val="007464B3"/>
    <w:rsid w:val="007465CC"/>
    <w:rsid w:val="007465F2"/>
    <w:rsid w:val="0074698D"/>
    <w:rsid w:val="00746BFB"/>
    <w:rsid w:val="00746D68"/>
    <w:rsid w:val="00747204"/>
    <w:rsid w:val="0074725D"/>
    <w:rsid w:val="007472F3"/>
    <w:rsid w:val="00747395"/>
    <w:rsid w:val="00747661"/>
    <w:rsid w:val="00747F20"/>
    <w:rsid w:val="00747F39"/>
    <w:rsid w:val="00750075"/>
    <w:rsid w:val="00750184"/>
    <w:rsid w:val="00750292"/>
    <w:rsid w:val="00750298"/>
    <w:rsid w:val="00750863"/>
    <w:rsid w:val="00750A42"/>
    <w:rsid w:val="00750AAA"/>
    <w:rsid w:val="00750E26"/>
    <w:rsid w:val="00751065"/>
    <w:rsid w:val="007512C4"/>
    <w:rsid w:val="00751402"/>
    <w:rsid w:val="00751606"/>
    <w:rsid w:val="007519E8"/>
    <w:rsid w:val="00751A3C"/>
    <w:rsid w:val="00751A47"/>
    <w:rsid w:val="00751B87"/>
    <w:rsid w:val="00751EAF"/>
    <w:rsid w:val="00751F79"/>
    <w:rsid w:val="007520B5"/>
    <w:rsid w:val="007520D5"/>
    <w:rsid w:val="007520DD"/>
    <w:rsid w:val="00752218"/>
    <w:rsid w:val="007523F3"/>
    <w:rsid w:val="007524D7"/>
    <w:rsid w:val="007527F6"/>
    <w:rsid w:val="007528D6"/>
    <w:rsid w:val="00752AB3"/>
    <w:rsid w:val="00752AD4"/>
    <w:rsid w:val="00752BB0"/>
    <w:rsid w:val="00752BF3"/>
    <w:rsid w:val="00752D6A"/>
    <w:rsid w:val="00752D6F"/>
    <w:rsid w:val="00752EDA"/>
    <w:rsid w:val="0075315D"/>
    <w:rsid w:val="007534B0"/>
    <w:rsid w:val="007534D0"/>
    <w:rsid w:val="00753797"/>
    <w:rsid w:val="00753924"/>
    <w:rsid w:val="007539A9"/>
    <w:rsid w:val="00753C90"/>
    <w:rsid w:val="00754103"/>
    <w:rsid w:val="00754206"/>
    <w:rsid w:val="007542BE"/>
    <w:rsid w:val="0075442E"/>
    <w:rsid w:val="00754431"/>
    <w:rsid w:val="007544C7"/>
    <w:rsid w:val="0075467B"/>
    <w:rsid w:val="0075493F"/>
    <w:rsid w:val="0075495A"/>
    <w:rsid w:val="007549A1"/>
    <w:rsid w:val="00754B38"/>
    <w:rsid w:val="00754BF2"/>
    <w:rsid w:val="00754CE8"/>
    <w:rsid w:val="00754E2D"/>
    <w:rsid w:val="00754F09"/>
    <w:rsid w:val="00754F1C"/>
    <w:rsid w:val="00754F57"/>
    <w:rsid w:val="00754FAD"/>
    <w:rsid w:val="007550F8"/>
    <w:rsid w:val="00755180"/>
    <w:rsid w:val="0075527F"/>
    <w:rsid w:val="00755374"/>
    <w:rsid w:val="00755424"/>
    <w:rsid w:val="0075546F"/>
    <w:rsid w:val="0075554E"/>
    <w:rsid w:val="00755573"/>
    <w:rsid w:val="0075565B"/>
    <w:rsid w:val="00755663"/>
    <w:rsid w:val="00755855"/>
    <w:rsid w:val="00755859"/>
    <w:rsid w:val="00755AD9"/>
    <w:rsid w:val="00755B4F"/>
    <w:rsid w:val="00755B7C"/>
    <w:rsid w:val="00755C5A"/>
    <w:rsid w:val="00755E31"/>
    <w:rsid w:val="00755E93"/>
    <w:rsid w:val="00756013"/>
    <w:rsid w:val="00756123"/>
    <w:rsid w:val="00756441"/>
    <w:rsid w:val="0075666A"/>
    <w:rsid w:val="00756A03"/>
    <w:rsid w:val="00756A17"/>
    <w:rsid w:val="00756C2A"/>
    <w:rsid w:val="00756D47"/>
    <w:rsid w:val="00756DD2"/>
    <w:rsid w:val="00756EE1"/>
    <w:rsid w:val="0075703E"/>
    <w:rsid w:val="00757224"/>
    <w:rsid w:val="00757416"/>
    <w:rsid w:val="00757424"/>
    <w:rsid w:val="0075762C"/>
    <w:rsid w:val="00757661"/>
    <w:rsid w:val="007576DA"/>
    <w:rsid w:val="00757704"/>
    <w:rsid w:val="00757931"/>
    <w:rsid w:val="007579B8"/>
    <w:rsid w:val="00757B2D"/>
    <w:rsid w:val="00757D9F"/>
    <w:rsid w:val="00760011"/>
    <w:rsid w:val="007600F5"/>
    <w:rsid w:val="00760128"/>
    <w:rsid w:val="007603E6"/>
    <w:rsid w:val="0076049E"/>
    <w:rsid w:val="00760A00"/>
    <w:rsid w:val="00760A7B"/>
    <w:rsid w:val="00760FAC"/>
    <w:rsid w:val="00761075"/>
    <w:rsid w:val="0076108C"/>
    <w:rsid w:val="0076110E"/>
    <w:rsid w:val="007612BF"/>
    <w:rsid w:val="007614FF"/>
    <w:rsid w:val="00761771"/>
    <w:rsid w:val="007617FA"/>
    <w:rsid w:val="0076183F"/>
    <w:rsid w:val="007619B6"/>
    <w:rsid w:val="00761BCB"/>
    <w:rsid w:val="00761D5C"/>
    <w:rsid w:val="00761D9A"/>
    <w:rsid w:val="00762540"/>
    <w:rsid w:val="007625C9"/>
    <w:rsid w:val="007628F8"/>
    <w:rsid w:val="00762D38"/>
    <w:rsid w:val="0076301E"/>
    <w:rsid w:val="00763275"/>
    <w:rsid w:val="007633ED"/>
    <w:rsid w:val="00763406"/>
    <w:rsid w:val="0076347B"/>
    <w:rsid w:val="0076364D"/>
    <w:rsid w:val="00763AE2"/>
    <w:rsid w:val="00763E4F"/>
    <w:rsid w:val="00763F07"/>
    <w:rsid w:val="00764025"/>
    <w:rsid w:val="00764402"/>
    <w:rsid w:val="00764418"/>
    <w:rsid w:val="007645B9"/>
    <w:rsid w:val="0076484B"/>
    <w:rsid w:val="007648AD"/>
    <w:rsid w:val="00764909"/>
    <w:rsid w:val="00764B81"/>
    <w:rsid w:val="00764D3B"/>
    <w:rsid w:val="00764DB1"/>
    <w:rsid w:val="00764DD8"/>
    <w:rsid w:val="00764E12"/>
    <w:rsid w:val="00764E2A"/>
    <w:rsid w:val="00764E5D"/>
    <w:rsid w:val="00764F5E"/>
    <w:rsid w:val="00765170"/>
    <w:rsid w:val="007651E7"/>
    <w:rsid w:val="0076548D"/>
    <w:rsid w:val="007654E6"/>
    <w:rsid w:val="00765B55"/>
    <w:rsid w:val="00765CC6"/>
    <w:rsid w:val="00765DFA"/>
    <w:rsid w:val="00766109"/>
    <w:rsid w:val="007661DF"/>
    <w:rsid w:val="00766297"/>
    <w:rsid w:val="007663AB"/>
    <w:rsid w:val="007663D0"/>
    <w:rsid w:val="007664E4"/>
    <w:rsid w:val="007666D0"/>
    <w:rsid w:val="00766BF1"/>
    <w:rsid w:val="00766E9C"/>
    <w:rsid w:val="0076701A"/>
    <w:rsid w:val="00767055"/>
    <w:rsid w:val="00767370"/>
    <w:rsid w:val="007674AD"/>
    <w:rsid w:val="0076764A"/>
    <w:rsid w:val="007678C2"/>
    <w:rsid w:val="00767A0E"/>
    <w:rsid w:val="00767A4C"/>
    <w:rsid w:val="00767C48"/>
    <w:rsid w:val="00767C9B"/>
    <w:rsid w:val="00767CDC"/>
    <w:rsid w:val="00767F26"/>
    <w:rsid w:val="00767F2A"/>
    <w:rsid w:val="00770173"/>
    <w:rsid w:val="00770430"/>
    <w:rsid w:val="007706B7"/>
    <w:rsid w:val="007707D6"/>
    <w:rsid w:val="007707EB"/>
    <w:rsid w:val="00770D1B"/>
    <w:rsid w:val="00770DCB"/>
    <w:rsid w:val="00770E78"/>
    <w:rsid w:val="007712BE"/>
    <w:rsid w:val="00771371"/>
    <w:rsid w:val="00771580"/>
    <w:rsid w:val="007717A5"/>
    <w:rsid w:val="00771862"/>
    <w:rsid w:val="00771B2A"/>
    <w:rsid w:val="00771B40"/>
    <w:rsid w:val="00771BF4"/>
    <w:rsid w:val="00771CEB"/>
    <w:rsid w:val="00771D2D"/>
    <w:rsid w:val="00771DCA"/>
    <w:rsid w:val="00771E42"/>
    <w:rsid w:val="00771E8D"/>
    <w:rsid w:val="00771F01"/>
    <w:rsid w:val="00772172"/>
    <w:rsid w:val="00772412"/>
    <w:rsid w:val="00772736"/>
    <w:rsid w:val="00772D17"/>
    <w:rsid w:val="00773590"/>
    <w:rsid w:val="00773AAF"/>
    <w:rsid w:val="00773AB9"/>
    <w:rsid w:val="00773B07"/>
    <w:rsid w:val="00773BFB"/>
    <w:rsid w:val="00773DF8"/>
    <w:rsid w:val="00773EEB"/>
    <w:rsid w:val="00773FAE"/>
    <w:rsid w:val="0077429A"/>
    <w:rsid w:val="007744C0"/>
    <w:rsid w:val="007744EB"/>
    <w:rsid w:val="007745BF"/>
    <w:rsid w:val="007746D2"/>
    <w:rsid w:val="0077488D"/>
    <w:rsid w:val="00774907"/>
    <w:rsid w:val="00774C59"/>
    <w:rsid w:val="00775071"/>
    <w:rsid w:val="00775077"/>
    <w:rsid w:val="0077507B"/>
    <w:rsid w:val="007750EB"/>
    <w:rsid w:val="007750F3"/>
    <w:rsid w:val="00775364"/>
    <w:rsid w:val="007756CB"/>
    <w:rsid w:val="007757B2"/>
    <w:rsid w:val="007757DB"/>
    <w:rsid w:val="00775A41"/>
    <w:rsid w:val="00775AEC"/>
    <w:rsid w:val="00775F65"/>
    <w:rsid w:val="00776105"/>
    <w:rsid w:val="00776115"/>
    <w:rsid w:val="00776175"/>
    <w:rsid w:val="00776478"/>
    <w:rsid w:val="00776555"/>
    <w:rsid w:val="00776856"/>
    <w:rsid w:val="00776B89"/>
    <w:rsid w:val="00776C39"/>
    <w:rsid w:val="00776C8C"/>
    <w:rsid w:val="00776CCC"/>
    <w:rsid w:val="00776D9D"/>
    <w:rsid w:val="00776E7E"/>
    <w:rsid w:val="00776E9B"/>
    <w:rsid w:val="007772B0"/>
    <w:rsid w:val="007773CB"/>
    <w:rsid w:val="007773F2"/>
    <w:rsid w:val="0077749F"/>
    <w:rsid w:val="007776AA"/>
    <w:rsid w:val="007779B9"/>
    <w:rsid w:val="00777CCB"/>
    <w:rsid w:val="00777DA1"/>
    <w:rsid w:val="00777EAE"/>
    <w:rsid w:val="00777F72"/>
    <w:rsid w:val="007802E4"/>
    <w:rsid w:val="007802F6"/>
    <w:rsid w:val="00780317"/>
    <w:rsid w:val="0078034A"/>
    <w:rsid w:val="00780371"/>
    <w:rsid w:val="007804A8"/>
    <w:rsid w:val="00780574"/>
    <w:rsid w:val="00780615"/>
    <w:rsid w:val="00780647"/>
    <w:rsid w:val="007806C4"/>
    <w:rsid w:val="007806E7"/>
    <w:rsid w:val="00780887"/>
    <w:rsid w:val="00780BEF"/>
    <w:rsid w:val="00780CE4"/>
    <w:rsid w:val="00780D0F"/>
    <w:rsid w:val="00780DDA"/>
    <w:rsid w:val="00780F51"/>
    <w:rsid w:val="00781016"/>
    <w:rsid w:val="00781218"/>
    <w:rsid w:val="0078125B"/>
    <w:rsid w:val="0078130F"/>
    <w:rsid w:val="007813D5"/>
    <w:rsid w:val="00781721"/>
    <w:rsid w:val="00781834"/>
    <w:rsid w:val="00781959"/>
    <w:rsid w:val="00781B9B"/>
    <w:rsid w:val="00781E0B"/>
    <w:rsid w:val="00782007"/>
    <w:rsid w:val="007820EB"/>
    <w:rsid w:val="00782193"/>
    <w:rsid w:val="007821D1"/>
    <w:rsid w:val="00782216"/>
    <w:rsid w:val="0078233D"/>
    <w:rsid w:val="0078248E"/>
    <w:rsid w:val="007826A7"/>
    <w:rsid w:val="007826AC"/>
    <w:rsid w:val="0078275F"/>
    <w:rsid w:val="007828EF"/>
    <w:rsid w:val="00782A3A"/>
    <w:rsid w:val="00782B04"/>
    <w:rsid w:val="00782DC1"/>
    <w:rsid w:val="00782F43"/>
    <w:rsid w:val="00783107"/>
    <w:rsid w:val="00783131"/>
    <w:rsid w:val="00783420"/>
    <w:rsid w:val="0078352F"/>
    <w:rsid w:val="007835A3"/>
    <w:rsid w:val="0078360F"/>
    <w:rsid w:val="00783AC5"/>
    <w:rsid w:val="00783BCE"/>
    <w:rsid w:val="00783F4E"/>
    <w:rsid w:val="00784313"/>
    <w:rsid w:val="00784F45"/>
    <w:rsid w:val="0078508D"/>
    <w:rsid w:val="007851BD"/>
    <w:rsid w:val="007854A7"/>
    <w:rsid w:val="0078566C"/>
    <w:rsid w:val="00785A94"/>
    <w:rsid w:val="00785D42"/>
    <w:rsid w:val="00785E59"/>
    <w:rsid w:val="00786037"/>
    <w:rsid w:val="00786642"/>
    <w:rsid w:val="00786650"/>
    <w:rsid w:val="0078682F"/>
    <w:rsid w:val="00786A3F"/>
    <w:rsid w:val="00786AE3"/>
    <w:rsid w:val="00786B94"/>
    <w:rsid w:val="00786C6D"/>
    <w:rsid w:val="00786E1B"/>
    <w:rsid w:val="00786E64"/>
    <w:rsid w:val="00787128"/>
    <w:rsid w:val="007872DA"/>
    <w:rsid w:val="007874B4"/>
    <w:rsid w:val="007874DB"/>
    <w:rsid w:val="007874F6"/>
    <w:rsid w:val="0078773F"/>
    <w:rsid w:val="007877CC"/>
    <w:rsid w:val="007878E5"/>
    <w:rsid w:val="00787D6F"/>
    <w:rsid w:val="00787EFD"/>
    <w:rsid w:val="007901C9"/>
    <w:rsid w:val="00790242"/>
    <w:rsid w:val="0079038F"/>
    <w:rsid w:val="0079050B"/>
    <w:rsid w:val="00790575"/>
    <w:rsid w:val="0079058C"/>
    <w:rsid w:val="007905BA"/>
    <w:rsid w:val="00790651"/>
    <w:rsid w:val="007907F5"/>
    <w:rsid w:val="00790879"/>
    <w:rsid w:val="00790E4A"/>
    <w:rsid w:val="00790EC3"/>
    <w:rsid w:val="007910E2"/>
    <w:rsid w:val="00791132"/>
    <w:rsid w:val="0079115D"/>
    <w:rsid w:val="00791358"/>
    <w:rsid w:val="0079152E"/>
    <w:rsid w:val="00791530"/>
    <w:rsid w:val="0079162C"/>
    <w:rsid w:val="00791687"/>
    <w:rsid w:val="00791689"/>
    <w:rsid w:val="00791698"/>
    <w:rsid w:val="007916E2"/>
    <w:rsid w:val="00791E9D"/>
    <w:rsid w:val="00791ECE"/>
    <w:rsid w:val="00792492"/>
    <w:rsid w:val="007926E9"/>
    <w:rsid w:val="0079271E"/>
    <w:rsid w:val="00792854"/>
    <w:rsid w:val="00792BC3"/>
    <w:rsid w:val="00792D3F"/>
    <w:rsid w:val="0079309F"/>
    <w:rsid w:val="0079318B"/>
    <w:rsid w:val="00793392"/>
    <w:rsid w:val="007934A3"/>
    <w:rsid w:val="0079356B"/>
    <w:rsid w:val="0079358F"/>
    <w:rsid w:val="007938E9"/>
    <w:rsid w:val="0079394C"/>
    <w:rsid w:val="007939C4"/>
    <w:rsid w:val="00793EC9"/>
    <w:rsid w:val="0079404A"/>
    <w:rsid w:val="0079406F"/>
    <w:rsid w:val="00794186"/>
    <w:rsid w:val="007941A8"/>
    <w:rsid w:val="0079430B"/>
    <w:rsid w:val="0079487A"/>
    <w:rsid w:val="0079492E"/>
    <w:rsid w:val="00794CE5"/>
    <w:rsid w:val="00794D3D"/>
    <w:rsid w:val="00794DCA"/>
    <w:rsid w:val="00794F43"/>
    <w:rsid w:val="00794F7C"/>
    <w:rsid w:val="00795059"/>
    <w:rsid w:val="007951F7"/>
    <w:rsid w:val="00795332"/>
    <w:rsid w:val="00795338"/>
    <w:rsid w:val="0079567B"/>
    <w:rsid w:val="00795771"/>
    <w:rsid w:val="007957C5"/>
    <w:rsid w:val="00795900"/>
    <w:rsid w:val="00795A03"/>
    <w:rsid w:val="00795C71"/>
    <w:rsid w:val="00795EB3"/>
    <w:rsid w:val="00795F9A"/>
    <w:rsid w:val="00796205"/>
    <w:rsid w:val="00796218"/>
    <w:rsid w:val="00796253"/>
    <w:rsid w:val="007963EB"/>
    <w:rsid w:val="00796592"/>
    <w:rsid w:val="007966D9"/>
    <w:rsid w:val="0079687A"/>
    <w:rsid w:val="00796B0F"/>
    <w:rsid w:val="00797245"/>
    <w:rsid w:val="0079727A"/>
    <w:rsid w:val="0079731A"/>
    <w:rsid w:val="00797377"/>
    <w:rsid w:val="007973FA"/>
    <w:rsid w:val="007974DA"/>
    <w:rsid w:val="00797AE3"/>
    <w:rsid w:val="00797E9D"/>
    <w:rsid w:val="00797F8D"/>
    <w:rsid w:val="007A065B"/>
    <w:rsid w:val="007A071F"/>
    <w:rsid w:val="007A0A0F"/>
    <w:rsid w:val="007A0C5A"/>
    <w:rsid w:val="007A0CF5"/>
    <w:rsid w:val="007A1292"/>
    <w:rsid w:val="007A12F8"/>
    <w:rsid w:val="007A14AE"/>
    <w:rsid w:val="007A1616"/>
    <w:rsid w:val="007A1668"/>
    <w:rsid w:val="007A1801"/>
    <w:rsid w:val="007A1917"/>
    <w:rsid w:val="007A19C0"/>
    <w:rsid w:val="007A19D7"/>
    <w:rsid w:val="007A1A65"/>
    <w:rsid w:val="007A1C4B"/>
    <w:rsid w:val="007A1C6A"/>
    <w:rsid w:val="007A20F6"/>
    <w:rsid w:val="007A2135"/>
    <w:rsid w:val="007A21C3"/>
    <w:rsid w:val="007A2518"/>
    <w:rsid w:val="007A25AE"/>
    <w:rsid w:val="007A291F"/>
    <w:rsid w:val="007A295D"/>
    <w:rsid w:val="007A2BA2"/>
    <w:rsid w:val="007A2C81"/>
    <w:rsid w:val="007A2D66"/>
    <w:rsid w:val="007A2E25"/>
    <w:rsid w:val="007A34F5"/>
    <w:rsid w:val="007A36C8"/>
    <w:rsid w:val="007A36CE"/>
    <w:rsid w:val="007A38A0"/>
    <w:rsid w:val="007A3DCE"/>
    <w:rsid w:val="007A3DD5"/>
    <w:rsid w:val="007A4303"/>
    <w:rsid w:val="007A438E"/>
    <w:rsid w:val="007A43FC"/>
    <w:rsid w:val="007A461E"/>
    <w:rsid w:val="007A4650"/>
    <w:rsid w:val="007A46CC"/>
    <w:rsid w:val="007A46DD"/>
    <w:rsid w:val="007A46DF"/>
    <w:rsid w:val="007A4918"/>
    <w:rsid w:val="007A4C02"/>
    <w:rsid w:val="007A4E44"/>
    <w:rsid w:val="007A5015"/>
    <w:rsid w:val="007A51D6"/>
    <w:rsid w:val="007A528F"/>
    <w:rsid w:val="007A52BE"/>
    <w:rsid w:val="007A52D7"/>
    <w:rsid w:val="007A5325"/>
    <w:rsid w:val="007A5351"/>
    <w:rsid w:val="007A53B0"/>
    <w:rsid w:val="007A574E"/>
    <w:rsid w:val="007A575F"/>
    <w:rsid w:val="007A5948"/>
    <w:rsid w:val="007A5A14"/>
    <w:rsid w:val="007A5AD0"/>
    <w:rsid w:val="007A5BF2"/>
    <w:rsid w:val="007A5C0C"/>
    <w:rsid w:val="007A5C2C"/>
    <w:rsid w:val="007A5E30"/>
    <w:rsid w:val="007A624F"/>
    <w:rsid w:val="007A6267"/>
    <w:rsid w:val="007A642F"/>
    <w:rsid w:val="007A656A"/>
    <w:rsid w:val="007A6575"/>
    <w:rsid w:val="007A65ED"/>
    <w:rsid w:val="007A65F4"/>
    <w:rsid w:val="007A661A"/>
    <w:rsid w:val="007A6AC9"/>
    <w:rsid w:val="007A6C06"/>
    <w:rsid w:val="007A6CF3"/>
    <w:rsid w:val="007A6D23"/>
    <w:rsid w:val="007A700E"/>
    <w:rsid w:val="007A702B"/>
    <w:rsid w:val="007A75B0"/>
    <w:rsid w:val="007A7A65"/>
    <w:rsid w:val="007A7AA8"/>
    <w:rsid w:val="007A7C55"/>
    <w:rsid w:val="007A7D94"/>
    <w:rsid w:val="007A7F83"/>
    <w:rsid w:val="007B0145"/>
    <w:rsid w:val="007B01EF"/>
    <w:rsid w:val="007B02E3"/>
    <w:rsid w:val="007B0656"/>
    <w:rsid w:val="007B067D"/>
    <w:rsid w:val="007B084B"/>
    <w:rsid w:val="007B08FE"/>
    <w:rsid w:val="007B0DD3"/>
    <w:rsid w:val="007B10A4"/>
    <w:rsid w:val="007B10B7"/>
    <w:rsid w:val="007B10C7"/>
    <w:rsid w:val="007B112A"/>
    <w:rsid w:val="007B12E1"/>
    <w:rsid w:val="007B13D3"/>
    <w:rsid w:val="007B1562"/>
    <w:rsid w:val="007B158F"/>
    <w:rsid w:val="007B15C4"/>
    <w:rsid w:val="007B17A2"/>
    <w:rsid w:val="007B17ED"/>
    <w:rsid w:val="007B1855"/>
    <w:rsid w:val="007B1A68"/>
    <w:rsid w:val="007B1B35"/>
    <w:rsid w:val="007B1BB3"/>
    <w:rsid w:val="007B1BF6"/>
    <w:rsid w:val="007B1C03"/>
    <w:rsid w:val="007B1D94"/>
    <w:rsid w:val="007B1E07"/>
    <w:rsid w:val="007B1ED7"/>
    <w:rsid w:val="007B1EF1"/>
    <w:rsid w:val="007B1F76"/>
    <w:rsid w:val="007B1FFB"/>
    <w:rsid w:val="007B2037"/>
    <w:rsid w:val="007B2040"/>
    <w:rsid w:val="007B211A"/>
    <w:rsid w:val="007B231A"/>
    <w:rsid w:val="007B258A"/>
    <w:rsid w:val="007B25B0"/>
    <w:rsid w:val="007B2885"/>
    <w:rsid w:val="007B2908"/>
    <w:rsid w:val="007B2D3C"/>
    <w:rsid w:val="007B2E64"/>
    <w:rsid w:val="007B2FEB"/>
    <w:rsid w:val="007B300F"/>
    <w:rsid w:val="007B323B"/>
    <w:rsid w:val="007B333F"/>
    <w:rsid w:val="007B33FD"/>
    <w:rsid w:val="007B3439"/>
    <w:rsid w:val="007B3484"/>
    <w:rsid w:val="007B385A"/>
    <w:rsid w:val="007B3860"/>
    <w:rsid w:val="007B392F"/>
    <w:rsid w:val="007B39F6"/>
    <w:rsid w:val="007B3AB7"/>
    <w:rsid w:val="007B3B68"/>
    <w:rsid w:val="007B3B80"/>
    <w:rsid w:val="007B3BC7"/>
    <w:rsid w:val="007B3CCF"/>
    <w:rsid w:val="007B3F04"/>
    <w:rsid w:val="007B3F2C"/>
    <w:rsid w:val="007B4055"/>
    <w:rsid w:val="007B43F1"/>
    <w:rsid w:val="007B45D3"/>
    <w:rsid w:val="007B4678"/>
    <w:rsid w:val="007B485B"/>
    <w:rsid w:val="007B4B46"/>
    <w:rsid w:val="007B4C4A"/>
    <w:rsid w:val="007B4CF6"/>
    <w:rsid w:val="007B4D3D"/>
    <w:rsid w:val="007B4D9B"/>
    <w:rsid w:val="007B4FE4"/>
    <w:rsid w:val="007B5018"/>
    <w:rsid w:val="007B50AC"/>
    <w:rsid w:val="007B5236"/>
    <w:rsid w:val="007B5263"/>
    <w:rsid w:val="007B5318"/>
    <w:rsid w:val="007B541F"/>
    <w:rsid w:val="007B5608"/>
    <w:rsid w:val="007B565C"/>
    <w:rsid w:val="007B5922"/>
    <w:rsid w:val="007B5946"/>
    <w:rsid w:val="007B59FF"/>
    <w:rsid w:val="007B5A18"/>
    <w:rsid w:val="007B5D64"/>
    <w:rsid w:val="007B6168"/>
    <w:rsid w:val="007B6187"/>
    <w:rsid w:val="007B621D"/>
    <w:rsid w:val="007B670F"/>
    <w:rsid w:val="007B6B89"/>
    <w:rsid w:val="007B6E49"/>
    <w:rsid w:val="007B6EAF"/>
    <w:rsid w:val="007B6FA1"/>
    <w:rsid w:val="007B70F9"/>
    <w:rsid w:val="007B7164"/>
    <w:rsid w:val="007B758D"/>
    <w:rsid w:val="007B7724"/>
    <w:rsid w:val="007B777E"/>
    <w:rsid w:val="007B7781"/>
    <w:rsid w:val="007B77D5"/>
    <w:rsid w:val="007B7961"/>
    <w:rsid w:val="007B7B2E"/>
    <w:rsid w:val="007B7ED7"/>
    <w:rsid w:val="007B7FF8"/>
    <w:rsid w:val="007C005E"/>
    <w:rsid w:val="007C0076"/>
    <w:rsid w:val="007C0081"/>
    <w:rsid w:val="007C0323"/>
    <w:rsid w:val="007C0325"/>
    <w:rsid w:val="007C0408"/>
    <w:rsid w:val="007C0494"/>
    <w:rsid w:val="007C086C"/>
    <w:rsid w:val="007C08AB"/>
    <w:rsid w:val="007C0E65"/>
    <w:rsid w:val="007C0F7B"/>
    <w:rsid w:val="007C0FF0"/>
    <w:rsid w:val="007C1063"/>
    <w:rsid w:val="007C10B0"/>
    <w:rsid w:val="007C1339"/>
    <w:rsid w:val="007C13B5"/>
    <w:rsid w:val="007C1422"/>
    <w:rsid w:val="007C14C4"/>
    <w:rsid w:val="007C14E7"/>
    <w:rsid w:val="007C14EC"/>
    <w:rsid w:val="007C1790"/>
    <w:rsid w:val="007C19B6"/>
    <w:rsid w:val="007C1D4D"/>
    <w:rsid w:val="007C1DEE"/>
    <w:rsid w:val="007C1EE6"/>
    <w:rsid w:val="007C1F68"/>
    <w:rsid w:val="007C21D2"/>
    <w:rsid w:val="007C21FC"/>
    <w:rsid w:val="007C220F"/>
    <w:rsid w:val="007C2236"/>
    <w:rsid w:val="007C22A0"/>
    <w:rsid w:val="007C22C7"/>
    <w:rsid w:val="007C2422"/>
    <w:rsid w:val="007C26EE"/>
    <w:rsid w:val="007C29F8"/>
    <w:rsid w:val="007C2AAD"/>
    <w:rsid w:val="007C2AB1"/>
    <w:rsid w:val="007C2CBD"/>
    <w:rsid w:val="007C2CE0"/>
    <w:rsid w:val="007C2D26"/>
    <w:rsid w:val="007C321D"/>
    <w:rsid w:val="007C3362"/>
    <w:rsid w:val="007C3553"/>
    <w:rsid w:val="007C3569"/>
    <w:rsid w:val="007C3E5F"/>
    <w:rsid w:val="007C3E71"/>
    <w:rsid w:val="007C3ED5"/>
    <w:rsid w:val="007C4177"/>
    <w:rsid w:val="007C484C"/>
    <w:rsid w:val="007C4899"/>
    <w:rsid w:val="007C4D7F"/>
    <w:rsid w:val="007C4E10"/>
    <w:rsid w:val="007C4ED3"/>
    <w:rsid w:val="007C4F83"/>
    <w:rsid w:val="007C53A8"/>
    <w:rsid w:val="007C550E"/>
    <w:rsid w:val="007C5810"/>
    <w:rsid w:val="007C5AC4"/>
    <w:rsid w:val="007C5AC7"/>
    <w:rsid w:val="007C5BBD"/>
    <w:rsid w:val="007C5C9C"/>
    <w:rsid w:val="007C5D39"/>
    <w:rsid w:val="007C5D64"/>
    <w:rsid w:val="007C5E47"/>
    <w:rsid w:val="007C5EC3"/>
    <w:rsid w:val="007C5F24"/>
    <w:rsid w:val="007C60E8"/>
    <w:rsid w:val="007C6358"/>
    <w:rsid w:val="007C6398"/>
    <w:rsid w:val="007C63ED"/>
    <w:rsid w:val="007C68BA"/>
    <w:rsid w:val="007C6DBC"/>
    <w:rsid w:val="007C73B1"/>
    <w:rsid w:val="007C73E3"/>
    <w:rsid w:val="007C746C"/>
    <w:rsid w:val="007C76D9"/>
    <w:rsid w:val="007C78E6"/>
    <w:rsid w:val="007C791B"/>
    <w:rsid w:val="007C7F0C"/>
    <w:rsid w:val="007D00C6"/>
    <w:rsid w:val="007D0131"/>
    <w:rsid w:val="007D015E"/>
    <w:rsid w:val="007D027A"/>
    <w:rsid w:val="007D02BB"/>
    <w:rsid w:val="007D050A"/>
    <w:rsid w:val="007D0534"/>
    <w:rsid w:val="007D083E"/>
    <w:rsid w:val="007D0A38"/>
    <w:rsid w:val="007D111A"/>
    <w:rsid w:val="007D13E8"/>
    <w:rsid w:val="007D160C"/>
    <w:rsid w:val="007D1694"/>
    <w:rsid w:val="007D16A3"/>
    <w:rsid w:val="007D16B8"/>
    <w:rsid w:val="007D18F3"/>
    <w:rsid w:val="007D1ED7"/>
    <w:rsid w:val="007D217E"/>
    <w:rsid w:val="007D22F0"/>
    <w:rsid w:val="007D24FC"/>
    <w:rsid w:val="007D253B"/>
    <w:rsid w:val="007D2A03"/>
    <w:rsid w:val="007D2D51"/>
    <w:rsid w:val="007D3219"/>
    <w:rsid w:val="007D3243"/>
    <w:rsid w:val="007D32C1"/>
    <w:rsid w:val="007D32CC"/>
    <w:rsid w:val="007D32DA"/>
    <w:rsid w:val="007D34B5"/>
    <w:rsid w:val="007D37B3"/>
    <w:rsid w:val="007D3829"/>
    <w:rsid w:val="007D38F6"/>
    <w:rsid w:val="007D38F8"/>
    <w:rsid w:val="007D3971"/>
    <w:rsid w:val="007D3AA7"/>
    <w:rsid w:val="007D3BD7"/>
    <w:rsid w:val="007D3C25"/>
    <w:rsid w:val="007D3D3C"/>
    <w:rsid w:val="007D3DD2"/>
    <w:rsid w:val="007D3EB6"/>
    <w:rsid w:val="007D3ECD"/>
    <w:rsid w:val="007D3FAB"/>
    <w:rsid w:val="007D4013"/>
    <w:rsid w:val="007D4267"/>
    <w:rsid w:val="007D4ACB"/>
    <w:rsid w:val="007D4C8E"/>
    <w:rsid w:val="007D4EF7"/>
    <w:rsid w:val="007D5178"/>
    <w:rsid w:val="007D51BB"/>
    <w:rsid w:val="007D525D"/>
    <w:rsid w:val="007D5475"/>
    <w:rsid w:val="007D54A2"/>
    <w:rsid w:val="007D54B0"/>
    <w:rsid w:val="007D560A"/>
    <w:rsid w:val="007D5ABB"/>
    <w:rsid w:val="007D5B8F"/>
    <w:rsid w:val="007D5CB6"/>
    <w:rsid w:val="007D5DD6"/>
    <w:rsid w:val="007D5F25"/>
    <w:rsid w:val="007D61ED"/>
    <w:rsid w:val="007D69C6"/>
    <w:rsid w:val="007D6A97"/>
    <w:rsid w:val="007D6AB2"/>
    <w:rsid w:val="007D6BAB"/>
    <w:rsid w:val="007D6C95"/>
    <w:rsid w:val="007D6D65"/>
    <w:rsid w:val="007D6E89"/>
    <w:rsid w:val="007D6F3D"/>
    <w:rsid w:val="007D6F4E"/>
    <w:rsid w:val="007D6F6C"/>
    <w:rsid w:val="007D700B"/>
    <w:rsid w:val="007D7102"/>
    <w:rsid w:val="007D71AA"/>
    <w:rsid w:val="007D73BF"/>
    <w:rsid w:val="007D7511"/>
    <w:rsid w:val="007D7597"/>
    <w:rsid w:val="007D7732"/>
    <w:rsid w:val="007D789A"/>
    <w:rsid w:val="007D79B5"/>
    <w:rsid w:val="007D7DB7"/>
    <w:rsid w:val="007D7F18"/>
    <w:rsid w:val="007E0067"/>
    <w:rsid w:val="007E034E"/>
    <w:rsid w:val="007E04D8"/>
    <w:rsid w:val="007E04EE"/>
    <w:rsid w:val="007E05F8"/>
    <w:rsid w:val="007E0738"/>
    <w:rsid w:val="007E07C3"/>
    <w:rsid w:val="007E07ED"/>
    <w:rsid w:val="007E0991"/>
    <w:rsid w:val="007E09DB"/>
    <w:rsid w:val="007E0ACD"/>
    <w:rsid w:val="007E0C63"/>
    <w:rsid w:val="007E0D4A"/>
    <w:rsid w:val="007E0F51"/>
    <w:rsid w:val="007E162E"/>
    <w:rsid w:val="007E17C7"/>
    <w:rsid w:val="007E17F5"/>
    <w:rsid w:val="007E192B"/>
    <w:rsid w:val="007E1CCD"/>
    <w:rsid w:val="007E1CD1"/>
    <w:rsid w:val="007E1F39"/>
    <w:rsid w:val="007E1F87"/>
    <w:rsid w:val="007E23FA"/>
    <w:rsid w:val="007E258D"/>
    <w:rsid w:val="007E25FB"/>
    <w:rsid w:val="007E2610"/>
    <w:rsid w:val="007E27A8"/>
    <w:rsid w:val="007E286D"/>
    <w:rsid w:val="007E29D0"/>
    <w:rsid w:val="007E29FA"/>
    <w:rsid w:val="007E2AA1"/>
    <w:rsid w:val="007E2D51"/>
    <w:rsid w:val="007E2E64"/>
    <w:rsid w:val="007E2EB7"/>
    <w:rsid w:val="007E3352"/>
    <w:rsid w:val="007E36A4"/>
    <w:rsid w:val="007E3B31"/>
    <w:rsid w:val="007E3C81"/>
    <w:rsid w:val="007E3F79"/>
    <w:rsid w:val="007E3FB7"/>
    <w:rsid w:val="007E3FB8"/>
    <w:rsid w:val="007E40AE"/>
    <w:rsid w:val="007E4119"/>
    <w:rsid w:val="007E438D"/>
    <w:rsid w:val="007E440D"/>
    <w:rsid w:val="007E44AB"/>
    <w:rsid w:val="007E4577"/>
    <w:rsid w:val="007E467D"/>
    <w:rsid w:val="007E4730"/>
    <w:rsid w:val="007E48FF"/>
    <w:rsid w:val="007E4972"/>
    <w:rsid w:val="007E49DB"/>
    <w:rsid w:val="007E4A3D"/>
    <w:rsid w:val="007E4C6D"/>
    <w:rsid w:val="007E4C9B"/>
    <w:rsid w:val="007E4FE5"/>
    <w:rsid w:val="007E5337"/>
    <w:rsid w:val="007E5723"/>
    <w:rsid w:val="007E5AA2"/>
    <w:rsid w:val="007E5B00"/>
    <w:rsid w:val="007E5BB1"/>
    <w:rsid w:val="007E6230"/>
    <w:rsid w:val="007E632A"/>
    <w:rsid w:val="007E67B4"/>
    <w:rsid w:val="007E6893"/>
    <w:rsid w:val="007E69E9"/>
    <w:rsid w:val="007E6A1D"/>
    <w:rsid w:val="007E6C59"/>
    <w:rsid w:val="007E6D25"/>
    <w:rsid w:val="007E6DD5"/>
    <w:rsid w:val="007E7093"/>
    <w:rsid w:val="007E7231"/>
    <w:rsid w:val="007E72DD"/>
    <w:rsid w:val="007E759D"/>
    <w:rsid w:val="007E75AF"/>
    <w:rsid w:val="007E75F1"/>
    <w:rsid w:val="007E761C"/>
    <w:rsid w:val="007E7762"/>
    <w:rsid w:val="007E7C49"/>
    <w:rsid w:val="007E7D73"/>
    <w:rsid w:val="007E7E12"/>
    <w:rsid w:val="007E7E60"/>
    <w:rsid w:val="007E7E9B"/>
    <w:rsid w:val="007E7FB5"/>
    <w:rsid w:val="007E7FE5"/>
    <w:rsid w:val="007F0282"/>
    <w:rsid w:val="007F02EF"/>
    <w:rsid w:val="007F0301"/>
    <w:rsid w:val="007F03A8"/>
    <w:rsid w:val="007F0603"/>
    <w:rsid w:val="007F0E1A"/>
    <w:rsid w:val="007F102A"/>
    <w:rsid w:val="007F117C"/>
    <w:rsid w:val="007F1354"/>
    <w:rsid w:val="007F13FC"/>
    <w:rsid w:val="007F1576"/>
    <w:rsid w:val="007F15B9"/>
    <w:rsid w:val="007F17FB"/>
    <w:rsid w:val="007F1816"/>
    <w:rsid w:val="007F1914"/>
    <w:rsid w:val="007F1B08"/>
    <w:rsid w:val="007F1B5F"/>
    <w:rsid w:val="007F1C63"/>
    <w:rsid w:val="007F1E02"/>
    <w:rsid w:val="007F1F71"/>
    <w:rsid w:val="007F1F74"/>
    <w:rsid w:val="007F1F7A"/>
    <w:rsid w:val="007F1F95"/>
    <w:rsid w:val="007F1FFE"/>
    <w:rsid w:val="007F2181"/>
    <w:rsid w:val="007F2270"/>
    <w:rsid w:val="007F23D9"/>
    <w:rsid w:val="007F2B86"/>
    <w:rsid w:val="007F2C41"/>
    <w:rsid w:val="007F2C71"/>
    <w:rsid w:val="007F3147"/>
    <w:rsid w:val="007F3190"/>
    <w:rsid w:val="007F328B"/>
    <w:rsid w:val="007F32A7"/>
    <w:rsid w:val="007F32DF"/>
    <w:rsid w:val="007F34A5"/>
    <w:rsid w:val="007F3738"/>
    <w:rsid w:val="007F387E"/>
    <w:rsid w:val="007F389B"/>
    <w:rsid w:val="007F395F"/>
    <w:rsid w:val="007F39EF"/>
    <w:rsid w:val="007F3A88"/>
    <w:rsid w:val="007F3C50"/>
    <w:rsid w:val="007F41AE"/>
    <w:rsid w:val="007F4232"/>
    <w:rsid w:val="007F4263"/>
    <w:rsid w:val="007F4269"/>
    <w:rsid w:val="007F44FA"/>
    <w:rsid w:val="007F4617"/>
    <w:rsid w:val="007F46E9"/>
    <w:rsid w:val="007F4804"/>
    <w:rsid w:val="007F4D27"/>
    <w:rsid w:val="007F4D3C"/>
    <w:rsid w:val="007F4D74"/>
    <w:rsid w:val="007F4DB5"/>
    <w:rsid w:val="007F4E58"/>
    <w:rsid w:val="007F4EB2"/>
    <w:rsid w:val="007F503C"/>
    <w:rsid w:val="007F5068"/>
    <w:rsid w:val="007F51DA"/>
    <w:rsid w:val="007F51DD"/>
    <w:rsid w:val="007F548A"/>
    <w:rsid w:val="007F568F"/>
    <w:rsid w:val="007F5696"/>
    <w:rsid w:val="007F56D6"/>
    <w:rsid w:val="007F602E"/>
    <w:rsid w:val="007F6046"/>
    <w:rsid w:val="007F609F"/>
    <w:rsid w:val="007F610B"/>
    <w:rsid w:val="007F615D"/>
    <w:rsid w:val="007F635C"/>
    <w:rsid w:val="007F6433"/>
    <w:rsid w:val="007F6482"/>
    <w:rsid w:val="007F65B2"/>
    <w:rsid w:val="007F6777"/>
    <w:rsid w:val="007F6790"/>
    <w:rsid w:val="007F68EA"/>
    <w:rsid w:val="007F6B70"/>
    <w:rsid w:val="007F6CB8"/>
    <w:rsid w:val="007F6CEC"/>
    <w:rsid w:val="007F6EEC"/>
    <w:rsid w:val="007F7131"/>
    <w:rsid w:val="007F715A"/>
    <w:rsid w:val="007F7347"/>
    <w:rsid w:val="007F734A"/>
    <w:rsid w:val="007F7370"/>
    <w:rsid w:val="007F74C3"/>
    <w:rsid w:val="007F7671"/>
    <w:rsid w:val="007F7810"/>
    <w:rsid w:val="007F7A48"/>
    <w:rsid w:val="007F7A94"/>
    <w:rsid w:val="007F7B7B"/>
    <w:rsid w:val="007F7DBA"/>
    <w:rsid w:val="007F7FA5"/>
    <w:rsid w:val="008004B2"/>
    <w:rsid w:val="00800C99"/>
    <w:rsid w:val="008010E9"/>
    <w:rsid w:val="0080127C"/>
    <w:rsid w:val="0080131B"/>
    <w:rsid w:val="008015EB"/>
    <w:rsid w:val="008018E6"/>
    <w:rsid w:val="00801AC6"/>
    <w:rsid w:val="00801AF3"/>
    <w:rsid w:val="00801BBF"/>
    <w:rsid w:val="00801CBD"/>
    <w:rsid w:val="00801D32"/>
    <w:rsid w:val="00801EDE"/>
    <w:rsid w:val="00801F59"/>
    <w:rsid w:val="00802157"/>
    <w:rsid w:val="008022FD"/>
    <w:rsid w:val="0080231E"/>
    <w:rsid w:val="00802431"/>
    <w:rsid w:val="00802684"/>
    <w:rsid w:val="008028D1"/>
    <w:rsid w:val="00802979"/>
    <w:rsid w:val="00803355"/>
    <w:rsid w:val="0080339E"/>
    <w:rsid w:val="0080355B"/>
    <w:rsid w:val="0080382C"/>
    <w:rsid w:val="00803A40"/>
    <w:rsid w:val="00803AE7"/>
    <w:rsid w:val="00803D71"/>
    <w:rsid w:val="00803D8D"/>
    <w:rsid w:val="00803E4C"/>
    <w:rsid w:val="00803F28"/>
    <w:rsid w:val="00804063"/>
    <w:rsid w:val="008040DC"/>
    <w:rsid w:val="00804265"/>
    <w:rsid w:val="00804287"/>
    <w:rsid w:val="008042B0"/>
    <w:rsid w:val="0080431B"/>
    <w:rsid w:val="00804454"/>
    <w:rsid w:val="0080449B"/>
    <w:rsid w:val="00804554"/>
    <w:rsid w:val="0080462F"/>
    <w:rsid w:val="00804966"/>
    <w:rsid w:val="00804D00"/>
    <w:rsid w:val="00804FF1"/>
    <w:rsid w:val="0080518E"/>
    <w:rsid w:val="008051D5"/>
    <w:rsid w:val="00805210"/>
    <w:rsid w:val="0080533A"/>
    <w:rsid w:val="00805427"/>
    <w:rsid w:val="0080550D"/>
    <w:rsid w:val="00805528"/>
    <w:rsid w:val="00805543"/>
    <w:rsid w:val="00805811"/>
    <w:rsid w:val="00805E87"/>
    <w:rsid w:val="00805EBF"/>
    <w:rsid w:val="00805F70"/>
    <w:rsid w:val="00806008"/>
    <w:rsid w:val="008064C5"/>
    <w:rsid w:val="008064D0"/>
    <w:rsid w:val="00806510"/>
    <w:rsid w:val="0080651F"/>
    <w:rsid w:val="008065DE"/>
    <w:rsid w:val="00806701"/>
    <w:rsid w:val="00806884"/>
    <w:rsid w:val="0080736F"/>
    <w:rsid w:val="008073AA"/>
    <w:rsid w:val="0080747D"/>
    <w:rsid w:val="008074C4"/>
    <w:rsid w:val="0080751C"/>
    <w:rsid w:val="0080766B"/>
    <w:rsid w:val="008076B4"/>
    <w:rsid w:val="0080790D"/>
    <w:rsid w:val="00807BE6"/>
    <w:rsid w:val="00807EAE"/>
    <w:rsid w:val="00810209"/>
    <w:rsid w:val="0081027C"/>
    <w:rsid w:val="00810558"/>
    <w:rsid w:val="008106A8"/>
    <w:rsid w:val="0081094A"/>
    <w:rsid w:val="00810DF9"/>
    <w:rsid w:val="00810E6B"/>
    <w:rsid w:val="0081107F"/>
    <w:rsid w:val="008110E1"/>
    <w:rsid w:val="008110F7"/>
    <w:rsid w:val="008110FD"/>
    <w:rsid w:val="00811325"/>
    <w:rsid w:val="0081132A"/>
    <w:rsid w:val="00811583"/>
    <w:rsid w:val="00811B71"/>
    <w:rsid w:val="00811CDA"/>
    <w:rsid w:val="00811DC7"/>
    <w:rsid w:val="00812011"/>
    <w:rsid w:val="00812280"/>
    <w:rsid w:val="008122DD"/>
    <w:rsid w:val="00812321"/>
    <w:rsid w:val="008126CD"/>
    <w:rsid w:val="008127CE"/>
    <w:rsid w:val="00812AC5"/>
    <w:rsid w:val="00812F49"/>
    <w:rsid w:val="00813174"/>
    <w:rsid w:val="008131E7"/>
    <w:rsid w:val="00813922"/>
    <w:rsid w:val="00813B3C"/>
    <w:rsid w:val="00813F90"/>
    <w:rsid w:val="008140C6"/>
    <w:rsid w:val="008141AA"/>
    <w:rsid w:val="008141BB"/>
    <w:rsid w:val="00814270"/>
    <w:rsid w:val="00814304"/>
    <w:rsid w:val="00814439"/>
    <w:rsid w:val="008146D6"/>
    <w:rsid w:val="008148E3"/>
    <w:rsid w:val="008149FA"/>
    <w:rsid w:val="00814A83"/>
    <w:rsid w:val="00814AB3"/>
    <w:rsid w:val="00814C84"/>
    <w:rsid w:val="00814CFF"/>
    <w:rsid w:val="00814D13"/>
    <w:rsid w:val="00814EAC"/>
    <w:rsid w:val="00814F0C"/>
    <w:rsid w:val="00815186"/>
    <w:rsid w:val="008151E9"/>
    <w:rsid w:val="008153A2"/>
    <w:rsid w:val="008155EB"/>
    <w:rsid w:val="008156DD"/>
    <w:rsid w:val="00815A47"/>
    <w:rsid w:val="00815AD6"/>
    <w:rsid w:val="00815E3C"/>
    <w:rsid w:val="00815EA6"/>
    <w:rsid w:val="00816037"/>
    <w:rsid w:val="0081635B"/>
    <w:rsid w:val="008164AE"/>
    <w:rsid w:val="008169E6"/>
    <w:rsid w:val="00816B1A"/>
    <w:rsid w:val="00816E10"/>
    <w:rsid w:val="0081713A"/>
    <w:rsid w:val="008176E8"/>
    <w:rsid w:val="00817E2A"/>
    <w:rsid w:val="00817E51"/>
    <w:rsid w:val="0082028D"/>
    <w:rsid w:val="008202AD"/>
    <w:rsid w:val="008202DF"/>
    <w:rsid w:val="008202F0"/>
    <w:rsid w:val="008203C5"/>
    <w:rsid w:val="008205AD"/>
    <w:rsid w:val="008207E1"/>
    <w:rsid w:val="00820836"/>
    <w:rsid w:val="00820990"/>
    <w:rsid w:val="008209BB"/>
    <w:rsid w:val="00820A90"/>
    <w:rsid w:val="00820BBB"/>
    <w:rsid w:val="00820D43"/>
    <w:rsid w:val="00820DD4"/>
    <w:rsid w:val="00820F24"/>
    <w:rsid w:val="00820F3F"/>
    <w:rsid w:val="00820F51"/>
    <w:rsid w:val="008213D0"/>
    <w:rsid w:val="0082162E"/>
    <w:rsid w:val="0082170C"/>
    <w:rsid w:val="008219B3"/>
    <w:rsid w:val="00822460"/>
    <w:rsid w:val="008226DB"/>
    <w:rsid w:val="00822722"/>
    <w:rsid w:val="00822908"/>
    <w:rsid w:val="00822C13"/>
    <w:rsid w:val="00822DDB"/>
    <w:rsid w:val="00822E2F"/>
    <w:rsid w:val="00822E72"/>
    <w:rsid w:val="00822E78"/>
    <w:rsid w:val="0082307D"/>
    <w:rsid w:val="0082333B"/>
    <w:rsid w:val="00823727"/>
    <w:rsid w:val="0082386E"/>
    <w:rsid w:val="008238F5"/>
    <w:rsid w:val="00823A79"/>
    <w:rsid w:val="00823B91"/>
    <w:rsid w:val="00823BB1"/>
    <w:rsid w:val="00823DE1"/>
    <w:rsid w:val="00824620"/>
    <w:rsid w:val="008246A5"/>
    <w:rsid w:val="00824C0B"/>
    <w:rsid w:val="00824DA6"/>
    <w:rsid w:val="008254BC"/>
    <w:rsid w:val="00825844"/>
    <w:rsid w:val="00825AF0"/>
    <w:rsid w:val="00825B54"/>
    <w:rsid w:val="00825D58"/>
    <w:rsid w:val="008260D3"/>
    <w:rsid w:val="008264EE"/>
    <w:rsid w:val="00826682"/>
    <w:rsid w:val="00826928"/>
    <w:rsid w:val="00826D28"/>
    <w:rsid w:val="00827019"/>
    <w:rsid w:val="008272B0"/>
    <w:rsid w:val="008273BB"/>
    <w:rsid w:val="008273C8"/>
    <w:rsid w:val="00827523"/>
    <w:rsid w:val="00827902"/>
    <w:rsid w:val="00827A46"/>
    <w:rsid w:val="00827C34"/>
    <w:rsid w:val="008300D2"/>
    <w:rsid w:val="0083012F"/>
    <w:rsid w:val="00830243"/>
    <w:rsid w:val="0083024E"/>
    <w:rsid w:val="008309E2"/>
    <w:rsid w:val="008309F4"/>
    <w:rsid w:val="00830AE0"/>
    <w:rsid w:val="00830B22"/>
    <w:rsid w:val="00830C15"/>
    <w:rsid w:val="00830D66"/>
    <w:rsid w:val="008310CC"/>
    <w:rsid w:val="00831EB5"/>
    <w:rsid w:val="008320BA"/>
    <w:rsid w:val="00832264"/>
    <w:rsid w:val="008325A9"/>
    <w:rsid w:val="008326E5"/>
    <w:rsid w:val="008327A9"/>
    <w:rsid w:val="008327AA"/>
    <w:rsid w:val="00832942"/>
    <w:rsid w:val="0083294D"/>
    <w:rsid w:val="008329B2"/>
    <w:rsid w:val="00832ABD"/>
    <w:rsid w:val="00832BDC"/>
    <w:rsid w:val="00832D07"/>
    <w:rsid w:val="00832E04"/>
    <w:rsid w:val="00832FC0"/>
    <w:rsid w:val="0083303D"/>
    <w:rsid w:val="00833081"/>
    <w:rsid w:val="0083334B"/>
    <w:rsid w:val="00833502"/>
    <w:rsid w:val="008335D4"/>
    <w:rsid w:val="008336DE"/>
    <w:rsid w:val="00833784"/>
    <w:rsid w:val="00833939"/>
    <w:rsid w:val="00833EF3"/>
    <w:rsid w:val="00834513"/>
    <w:rsid w:val="00834628"/>
    <w:rsid w:val="008346D4"/>
    <w:rsid w:val="00834743"/>
    <w:rsid w:val="0083486C"/>
    <w:rsid w:val="008352DB"/>
    <w:rsid w:val="0083540B"/>
    <w:rsid w:val="00835547"/>
    <w:rsid w:val="00835644"/>
    <w:rsid w:val="0083571F"/>
    <w:rsid w:val="0083578B"/>
    <w:rsid w:val="00835A23"/>
    <w:rsid w:val="00835A81"/>
    <w:rsid w:val="00835C32"/>
    <w:rsid w:val="00836045"/>
    <w:rsid w:val="008361B7"/>
    <w:rsid w:val="00836322"/>
    <w:rsid w:val="00836467"/>
    <w:rsid w:val="00836615"/>
    <w:rsid w:val="0083665B"/>
    <w:rsid w:val="008366DE"/>
    <w:rsid w:val="0083678A"/>
    <w:rsid w:val="0083686C"/>
    <w:rsid w:val="00836B06"/>
    <w:rsid w:val="00836DE5"/>
    <w:rsid w:val="00836F91"/>
    <w:rsid w:val="008370CC"/>
    <w:rsid w:val="00837250"/>
    <w:rsid w:val="0083727B"/>
    <w:rsid w:val="008377CE"/>
    <w:rsid w:val="00837A10"/>
    <w:rsid w:val="00837ACB"/>
    <w:rsid w:val="00837E68"/>
    <w:rsid w:val="00837F14"/>
    <w:rsid w:val="00840A9D"/>
    <w:rsid w:val="00840ABF"/>
    <w:rsid w:val="00840B9D"/>
    <w:rsid w:val="00840BB4"/>
    <w:rsid w:val="00840FE9"/>
    <w:rsid w:val="008410C6"/>
    <w:rsid w:val="00841381"/>
    <w:rsid w:val="008418D5"/>
    <w:rsid w:val="00841ABF"/>
    <w:rsid w:val="00841B04"/>
    <w:rsid w:val="00841E12"/>
    <w:rsid w:val="00841E19"/>
    <w:rsid w:val="0084210E"/>
    <w:rsid w:val="008421B3"/>
    <w:rsid w:val="0084240A"/>
    <w:rsid w:val="008428EC"/>
    <w:rsid w:val="00842B1C"/>
    <w:rsid w:val="00842B8F"/>
    <w:rsid w:val="00842CF6"/>
    <w:rsid w:val="00842F32"/>
    <w:rsid w:val="00843053"/>
    <w:rsid w:val="00843137"/>
    <w:rsid w:val="00843179"/>
    <w:rsid w:val="008431D1"/>
    <w:rsid w:val="00843409"/>
    <w:rsid w:val="0084356F"/>
    <w:rsid w:val="00843AF4"/>
    <w:rsid w:val="00843EC7"/>
    <w:rsid w:val="00843FD6"/>
    <w:rsid w:val="0084414B"/>
    <w:rsid w:val="00844178"/>
    <w:rsid w:val="0084422F"/>
    <w:rsid w:val="00844520"/>
    <w:rsid w:val="008448E1"/>
    <w:rsid w:val="00844E17"/>
    <w:rsid w:val="00844FF2"/>
    <w:rsid w:val="00845305"/>
    <w:rsid w:val="008453E1"/>
    <w:rsid w:val="008454E7"/>
    <w:rsid w:val="0084550E"/>
    <w:rsid w:val="00845548"/>
    <w:rsid w:val="008457B0"/>
    <w:rsid w:val="00845D1F"/>
    <w:rsid w:val="00845DD6"/>
    <w:rsid w:val="00845E34"/>
    <w:rsid w:val="00845E47"/>
    <w:rsid w:val="00845F60"/>
    <w:rsid w:val="008461FF"/>
    <w:rsid w:val="008462E5"/>
    <w:rsid w:val="00846528"/>
    <w:rsid w:val="008468BC"/>
    <w:rsid w:val="008469C7"/>
    <w:rsid w:val="00846E5D"/>
    <w:rsid w:val="00846E98"/>
    <w:rsid w:val="00846EC8"/>
    <w:rsid w:val="00846F7F"/>
    <w:rsid w:val="00846FE1"/>
    <w:rsid w:val="00847108"/>
    <w:rsid w:val="00847828"/>
    <w:rsid w:val="00847830"/>
    <w:rsid w:val="008478E9"/>
    <w:rsid w:val="0084798B"/>
    <w:rsid w:val="00847A05"/>
    <w:rsid w:val="00847CD9"/>
    <w:rsid w:val="00847EB9"/>
    <w:rsid w:val="00850140"/>
    <w:rsid w:val="0085045E"/>
    <w:rsid w:val="008506DB"/>
    <w:rsid w:val="008509D7"/>
    <w:rsid w:val="008509D8"/>
    <w:rsid w:val="00850BCB"/>
    <w:rsid w:val="00850E8F"/>
    <w:rsid w:val="00850F67"/>
    <w:rsid w:val="0085110B"/>
    <w:rsid w:val="00851162"/>
    <w:rsid w:val="00851525"/>
    <w:rsid w:val="00851539"/>
    <w:rsid w:val="00851574"/>
    <w:rsid w:val="00851706"/>
    <w:rsid w:val="00851B47"/>
    <w:rsid w:val="008520D6"/>
    <w:rsid w:val="008523DE"/>
    <w:rsid w:val="00852440"/>
    <w:rsid w:val="00852701"/>
    <w:rsid w:val="00852786"/>
    <w:rsid w:val="00852835"/>
    <w:rsid w:val="00852855"/>
    <w:rsid w:val="008528E2"/>
    <w:rsid w:val="00852AD1"/>
    <w:rsid w:val="00852B08"/>
    <w:rsid w:val="00852C03"/>
    <w:rsid w:val="00852DFE"/>
    <w:rsid w:val="00852E95"/>
    <w:rsid w:val="00852FD4"/>
    <w:rsid w:val="0085315F"/>
    <w:rsid w:val="008531D0"/>
    <w:rsid w:val="008532DE"/>
    <w:rsid w:val="00853308"/>
    <w:rsid w:val="00853569"/>
    <w:rsid w:val="008539E4"/>
    <w:rsid w:val="00853ADF"/>
    <w:rsid w:val="00853D4E"/>
    <w:rsid w:val="00854049"/>
    <w:rsid w:val="00854214"/>
    <w:rsid w:val="008542E6"/>
    <w:rsid w:val="00854495"/>
    <w:rsid w:val="0085462D"/>
    <w:rsid w:val="00854690"/>
    <w:rsid w:val="00854758"/>
    <w:rsid w:val="008547FE"/>
    <w:rsid w:val="008548D2"/>
    <w:rsid w:val="008549F6"/>
    <w:rsid w:val="00854A84"/>
    <w:rsid w:val="00854B1F"/>
    <w:rsid w:val="00854CBF"/>
    <w:rsid w:val="00854EA5"/>
    <w:rsid w:val="00854EE9"/>
    <w:rsid w:val="00855264"/>
    <w:rsid w:val="008552CA"/>
    <w:rsid w:val="008553F7"/>
    <w:rsid w:val="008554D4"/>
    <w:rsid w:val="00855556"/>
    <w:rsid w:val="008557F1"/>
    <w:rsid w:val="00855A83"/>
    <w:rsid w:val="00855ADF"/>
    <w:rsid w:val="00855BCA"/>
    <w:rsid w:val="00855C01"/>
    <w:rsid w:val="00855E7E"/>
    <w:rsid w:val="00855F56"/>
    <w:rsid w:val="00855F68"/>
    <w:rsid w:val="00856102"/>
    <w:rsid w:val="008562BC"/>
    <w:rsid w:val="00856359"/>
    <w:rsid w:val="00856446"/>
    <w:rsid w:val="008565A0"/>
    <w:rsid w:val="0085680F"/>
    <w:rsid w:val="008569DB"/>
    <w:rsid w:val="00856F1B"/>
    <w:rsid w:val="00857489"/>
    <w:rsid w:val="008574E8"/>
    <w:rsid w:val="00857515"/>
    <w:rsid w:val="008575BD"/>
    <w:rsid w:val="008576F1"/>
    <w:rsid w:val="00857744"/>
    <w:rsid w:val="00857912"/>
    <w:rsid w:val="00857989"/>
    <w:rsid w:val="00857A8A"/>
    <w:rsid w:val="00857D8E"/>
    <w:rsid w:val="00857E7F"/>
    <w:rsid w:val="00857F1A"/>
    <w:rsid w:val="00860354"/>
    <w:rsid w:val="008603AC"/>
    <w:rsid w:val="008603AD"/>
    <w:rsid w:val="008605E7"/>
    <w:rsid w:val="008606F7"/>
    <w:rsid w:val="00860862"/>
    <w:rsid w:val="00860925"/>
    <w:rsid w:val="00860A4A"/>
    <w:rsid w:val="00860D22"/>
    <w:rsid w:val="00860E18"/>
    <w:rsid w:val="00860F82"/>
    <w:rsid w:val="00861161"/>
    <w:rsid w:val="008611CD"/>
    <w:rsid w:val="00861297"/>
    <w:rsid w:val="00861321"/>
    <w:rsid w:val="0086145D"/>
    <w:rsid w:val="008614B0"/>
    <w:rsid w:val="008614DD"/>
    <w:rsid w:val="00861571"/>
    <w:rsid w:val="0086173B"/>
    <w:rsid w:val="00861880"/>
    <w:rsid w:val="0086191B"/>
    <w:rsid w:val="00861922"/>
    <w:rsid w:val="00861962"/>
    <w:rsid w:val="00861E5E"/>
    <w:rsid w:val="00861F08"/>
    <w:rsid w:val="0086209B"/>
    <w:rsid w:val="0086212A"/>
    <w:rsid w:val="0086225E"/>
    <w:rsid w:val="0086228E"/>
    <w:rsid w:val="008622EB"/>
    <w:rsid w:val="00862314"/>
    <w:rsid w:val="00862522"/>
    <w:rsid w:val="00862584"/>
    <w:rsid w:val="00862921"/>
    <w:rsid w:val="008629C6"/>
    <w:rsid w:val="00862B2F"/>
    <w:rsid w:val="00862BE6"/>
    <w:rsid w:val="00862FFB"/>
    <w:rsid w:val="00863082"/>
    <w:rsid w:val="008630CE"/>
    <w:rsid w:val="008630F8"/>
    <w:rsid w:val="00863337"/>
    <w:rsid w:val="0086340A"/>
    <w:rsid w:val="008636DF"/>
    <w:rsid w:val="00863755"/>
    <w:rsid w:val="0086376F"/>
    <w:rsid w:val="00863946"/>
    <w:rsid w:val="008639E5"/>
    <w:rsid w:val="00863B9B"/>
    <w:rsid w:val="00863DD5"/>
    <w:rsid w:val="00863E87"/>
    <w:rsid w:val="008640A2"/>
    <w:rsid w:val="0086444C"/>
    <w:rsid w:val="008644AD"/>
    <w:rsid w:val="0086468F"/>
    <w:rsid w:val="00864756"/>
    <w:rsid w:val="00864893"/>
    <w:rsid w:val="008649CB"/>
    <w:rsid w:val="00864D53"/>
    <w:rsid w:val="00864F71"/>
    <w:rsid w:val="0086501B"/>
    <w:rsid w:val="00865432"/>
    <w:rsid w:val="00865568"/>
    <w:rsid w:val="008655A2"/>
    <w:rsid w:val="008655F1"/>
    <w:rsid w:val="0086561D"/>
    <w:rsid w:val="0086575E"/>
    <w:rsid w:val="00865844"/>
    <w:rsid w:val="008658B7"/>
    <w:rsid w:val="00865AD7"/>
    <w:rsid w:val="00865B2A"/>
    <w:rsid w:val="00865CAE"/>
    <w:rsid w:val="00865DF3"/>
    <w:rsid w:val="00865EC3"/>
    <w:rsid w:val="00866316"/>
    <w:rsid w:val="00866334"/>
    <w:rsid w:val="0086635F"/>
    <w:rsid w:val="00866435"/>
    <w:rsid w:val="0086645B"/>
    <w:rsid w:val="0086658F"/>
    <w:rsid w:val="008667A8"/>
    <w:rsid w:val="008669E8"/>
    <w:rsid w:val="00866BCB"/>
    <w:rsid w:val="00866CD5"/>
    <w:rsid w:val="00866DB9"/>
    <w:rsid w:val="00866DD5"/>
    <w:rsid w:val="00866FB0"/>
    <w:rsid w:val="00867027"/>
    <w:rsid w:val="00867477"/>
    <w:rsid w:val="008675E2"/>
    <w:rsid w:val="00867927"/>
    <w:rsid w:val="00867ADB"/>
    <w:rsid w:val="00867F33"/>
    <w:rsid w:val="00867F5D"/>
    <w:rsid w:val="00867FCA"/>
    <w:rsid w:val="0087036B"/>
    <w:rsid w:val="0087036F"/>
    <w:rsid w:val="00870516"/>
    <w:rsid w:val="008706CD"/>
    <w:rsid w:val="00870924"/>
    <w:rsid w:val="0087096F"/>
    <w:rsid w:val="00870A10"/>
    <w:rsid w:val="00870ADF"/>
    <w:rsid w:val="00870BFA"/>
    <w:rsid w:val="00870C1B"/>
    <w:rsid w:val="00870E8C"/>
    <w:rsid w:val="00870FE1"/>
    <w:rsid w:val="00871229"/>
    <w:rsid w:val="008713E2"/>
    <w:rsid w:val="008714A6"/>
    <w:rsid w:val="008715B8"/>
    <w:rsid w:val="0087161A"/>
    <w:rsid w:val="00871892"/>
    <w:rsid w:val="00871B12"/>
    <w:rsid w:val="00871CB1"/>
    <w:rsid w:val="00871D4A"/>
    <w:rsid w:val="00872555"/>
    <w:rsid w:val="0087273C"/>
    <w:rsid w:val="0087279B"/>
    <w:rsid w:val="00872A81"/>
    <w:rsid w:val="00872B73"/>
    <w:rsid w:val="00872BED"/>
    <w:rsid w:val="00872C53"/>
    <w:rsid w:val="00872D30"/>
    <w:rsid w:val="00872E87"/>
    <w:rsid w:val="0087300B"/>
    <w:rsid w:val="00873085"/>
    <w:rsid w:val="008730A1"/>
    <w:rsid w:val="00873284"/>
    <w:rsid w:val="0087338C"/>
    <w:rsid w:val="00873719"/>
    <w:rsid w:val="008738F3"/>
    <w:rsid w:val="00873B39"/>
    <w:rsid w:val="00873E43"/>
    <w:rsid w:val="00873E44"/>
    <w:rsid w:val="00873E4E"/>
    <w:rsid w:val="0087416F"/>
    <w:rsid w:val="00874171"/>
    <w:rsid w:val="008744BD"/>
    <w:rsid w:val="008744CB"/>
    <w:rsid w:val="008744FB"/>
    <w:rsid w:val="0087461E"/>
    <w:rsid w:val="00874657"/>
    <w:rsid w:val="008746C4"/>
    <w:rsid w:val="00874AA2"/>
    <w:rsid w:val="00874D6D"/>
    <w:rsid w:val="00874FC5"/>
    <w:rsid w:val="008750CA"/>
    <w:rsid w:val="008753A8"/>
    <w:rsid w:val="008755C9"/>
    <w:rsid w:val="008757B6"/>
    <w:rsid w:val="008757F4"/>
    <w:rsid w:val="00875865"/>
    <w:rsid w:val="00875D66"/>
    <w:rsid w:val="00875E32"/>
    <w:rsid w:val="00875EE8"/>
    <w:rsid w:val="00875F16"/>
    <w:rsid w:val="00875FD4"/>
    <w:rsid w:val="00876182"/>
    <w:rsid w:val="00876234"/>
    <w:rsid w:val="008768C9"/>
    <w:rsid w:val="00876C4A"/>
    <w:rsid w:val="00876CC2"/>
    <w:rsid w:val="00876ECD"/>
    <w:rsid w:val="00876FFE"/>
    <w:rsid w:val="00877188"/>
    <w:rsid w:val="008771CD"/>
    <w:rsid w:val="00877268"/>
    <w:rsid w:val="008775D8"/>
    <w:rsid w:val="0087774E"/>
    <w:rsid w:val="00877858"/>
    <w:rsid w:val="00877AC5"/>
    <w:rsid w:val="00877B1D"/>
    <w:rsid w:val="00877F61"/>
    <w:rsid w:val="00877F6F"/>
    <w:rsid w:val="0088006D"/>
    <w:rsid w:val="00880072"/>
    <w:rsid w:val="0088014E"/>
    <w:rsid w:val="0088031B"/>
    <w:rsid w:val="0088095A"/>
    <w:rsid w:val="008809E1"/>
    <w:rsid w:val="00880D01"/>
    <w:rsid w:val="00880E51"/>
    <w:rsid w:val="00880EB5"/>
    <w:rsid w:val="008812AE"/>
    <w:rsid w:val="00881373"/>
    <w:rsid w:val="00881420"/>
    <w:rsid w:val="008815EA"/>
    <w:rsid w:val="00881653"/>
    <w:rsid w:val="008816D6"/>
    <w:rsid w:val="00881835"/>
    <w:rsid w:val="00881899"/>
    <w:rsid w:val="00881960"/>
    <w:rsid w:val="0088197E"/>
    <w:rsid w:val="00881AE4"/>
    <w:rsid w:val="00881B4C"/>
    <w:rsid w:val="00881D59"/>
    <w:rsid w:val="00881D97"/>
    <w:rsid w:val="00881DE1"/>
    <w:rsid w:val="00881DE6"/>
    <w:rsid w:val="008821F9"/>
    <w:rsid w:val="008822F9"/>
    <w:rsid w:val="008824F4"/>
    <w:rsid w:val="008825EF"/>
    <w:rsid w:val="008829B9"/>
    <w:rsid w:val="00882AE8"/>
    <w:rsid w:val="00882B0C"/>
    <w:rsid w:val="00882B3B"/>
    <w:rsid w:val="00882BF0"/>
    <w:rsid w:val="00882CC5"/>
    <w:rsid w:val="00882D9E"/>
    <w:rsid w:val="00882DC9"/>
    <w:rsid w:val="0088303C"/>
    <w:rsid w:val="0088335B"/>
    <w:rsid w:val="00883D92"/>
    <w:rsid w:val="00883DDA"/>
    <w:rsid w:val="00883E00"/>
    <w:rsid w:val="00883EF3"/>
    <w:rsid w:val="00884062"/>
    <w:rsid w:val="0088412F"/>
    <w:rsid w:val="008842AD"/>
    <w:rsid w:val="008842C1"/>
    <w:rsid w:val="008845EA"/>
    <w:rsid w:val="008846C1"/>
    <w:rsid w:val="00884745"/>
    <w:rsid w:val="00884859"/>
    <w:rsid w:val="00884ABD"/>
    <w:rsid w:val="00884D1B"/>
    <w:rsid w:val="00884D57"/>
    <w:rsid w:val="00884E09"/>
    <w:rsid w:val="008854D1"/>
    <w:rsid w:val="00885924"/>
    <w:rsid w:val="00885972"/>
    <w:rsid w:val="00885C8C"/>
    <w:rsid w:val="00885CF8"/>
    <w:rsid w:val="00885DA1"/>
    <w:rsid w:val="00885DE9"/>
    <w:rsid w:val="00885E5B"/>
    <w:rsid w:val="008861C6"/>
    <w:rsid w:val="0088647B"/>
    <w:rsid w:val="00886495"/>
    <w:rsid w:val="00886795"/>
    <w:rsid w:val="008869F8"/>
    <w:rsid w:val="008869FE"/>
    <w:rsid w:val="00886BD5"/>
    <w:rsid w:val="00886C75"/>
    <w:rsid w:val="00886CE1"/>
    <w:rsid w:val="00886E9D"/>
    <w:rsid w:val="00887130"/>
    <w:rsid w:val="0088736E"/>
    <w:rsid w:val="00887575"/>
    <w:rsid w:val="008875A0"/>
    <w:rsid w:val="008876ED"/>
    <w:rsid w:val="008878EC"/>
    <w:rsid w:val="008879A7"/>
    <w:rsid w:val="00887C51"/>
    <w:rsid w:val="00887D03"/>
    <w:rsid w:val="00887F9B"/>
    <w:rsid w:val="00890276"/>
    <w:rsid w:val="00890379"/>
    <w:rsid w:val="00890398"/>
    <w:rsid w:val="00890671"/>
    <w:rsid w:val="00890993"/>
    <w:rsid w:val="00890B46"/>
    <w:rsid w:val="00890B89"/>
    <w:rsid w:val="00890C80"/>
    <w:rsid w:val="00890CCE"/>
    <w:rsid w:val="00890D24"/>
    <w:rsid w:val="00890D82"/>
    <w:rsid w:val="00890D89"/>
    <w:rsid w:val="00890E24"/>
    <w:rsid w:val="00891064"/>
    <w:rsid w:val="0089133F"/>
    <w:rsid w:val="00891368"/>
    <w:rsid w:val="00891516"/>
    <w:rsid w:val="00891717"/>
    <w:rsid w:val="008919EC"/>
    <w:rsid w:val="00891A50"/>
    <w:rsid w:val="00891A6F"/>
    <w:rsid w:val="00891AE7"/>
    <w:rsid w:val="00891BB3"/>
    <w:rsid w:val="00891E74"/>
    <w:rsid w:val="00891EE6"/>
    <w:rsid w:val="008921DE"/>
    <w:rsid w:val="00892424"/>
    <w:rsid w:val="0089242E"/>
    <w:rsid w:val="008924BA"/>
    <w:rsid w:val="00892927"/>
    <w:rsid w:val="00892971"/>
    <w:rsid w:val="00892A00"/>
    <w:rsid w:val="00892B10"/>
    <w:rsid w:val="00892C97"/>
    <w:rsid w:val="00892CF4"/>
    <w:rsid w:val="00892E97"/>
    <w:rsid w:val="0089326F"/>
    <w:rsid w:val="00893319"/>
    <w:rsid w:val="0089335C"/>
    <w:rsid w:val="00893391"/>
    <w:rsid w:val="008934D8"/>
    <w:rsid w:val="00893953"/>
    <w:rsid w:val="00893D7E"/>
    <w:rsid w:val="008940CA"/>
    <w:rsid w:val="00894146"/>
    <w:rsid w:val="00894218"/>
    <w:rsid w:val="00894411"/>
    <w:rsid w:val="00894723"/>
    <w:rsid w:val="008947F1"/>
    <w:rsid w:val="00894812"/>
    <w:rsid w:val="00894893"/>
    <w:rsid w:val="008949BD"/>
    <w:rsid w:val="00894A8A"/>
    <w:rsid w:val="00894CA5"/>
    <w:rsid w:val="00894DD8"/>
    <w:rsid w:val="00894F53"/>
    <w:rsid w:val="008951AD"/>
    <w:rsid w:val="0089523C"/>
    <w:rsid w:val="0089526C"/>
    <w:rsid w:val="00895421"/>
    <w:rsid w:val="00895429"/>
    <w:rsid w:val="00895560"/>
    <w:rsid w:val="008955F5"/>
    <w:rsid w:val="008956DB"/>
    <w:rsid w:val="0089595E"/>
    <w:rsid w:val="00895B0C"/>
    <w:rsid w:val="00896147"/>
    <w:rsid w:val="008963C4"/>
    <w:rsid w:val="008965E2"/>
    <w:rsid w:val="00896620"/>
    <w:rsid w:val="00896944"/>
    <w:rsid w:val="00896A75"/>
    <w:rsid w:val="00896E5A"/>
    <w:rsid w:val="00897297"/>
    <w:rsid w:val="00897768"/>
    <w:rsid w:val="00897820"/>
    <w:rsid w:val="00897AE6"/>
    <w:rsid w:val="00897BBF"/>
    <w:rsid w:val="00897D48"/>
    <w:rsid w:val="00897DD1"/>
    <w:rsid w:val="00897E7A"/>
    <w:rsid w:val="008A005B"/>
    <w:rsid w:val="008A059C"/>
    <w:rsid w:val="008A087E"/>
    <w:rsid w:val="008A0B19"/>
    <w:rsid w:val="008A0BB8"/>
    <w:rsid w:val="008A0EDA"/>
    <w:rsid w:val="008A1202"/>
    <w:rsid w:val="008A1429"/>
    <w:rsid w:val="008A1450"/>
    <w:rsid w:val="008A1780"/>
    <w:rsid w:val="008A1823"/>
    <w:rsid w:val="008A1885"/>
    <w:rsid w:val="008A1DC7"/>
    <w:rsid w:val="008A1E0E"/>
    <w:rsid w:val="008A1F0E"/>
    <w:rsid w:val="008A22D1"/>
    <w:rsid w:val="008A2657"/>
    <w:rsid w:val="008A26B3"/>
    <w:rsid w:val="008A27A9"/>
    <w:rsid w:val="008A2AF3"/>
    <w:rsid w:val="008A2B76"/>
    <w:rsid w:val="008A2F7A"/>
    <w:rsid w:val="008A2FC0"/>
    <w:rsid w:val="008A3027"/>
    <w:rsid w:val="008A32B6"/>
    <w:rsid w:val="008A372C"/>
    <w:rsid w:val="008A393B"/>
    <w:rsid w:val="008A3AC0"/>
    <w:rsid w:val="008A422C"/>
    <w:rsid w:val="008A441C"/>
    <w:rsid w:val="008A46CB"/>
    <w:rsid w:val="008A4B40"/>
    <w:rsid w:val="008A4C17"/>
    <w:rsid w:val="008A4E3D"/>
    <w:rsid w:val="008A4F0B"/>
    <w:rsid w:val="008A50B2"/>
    <w:rsid w:val="008A520B"/>
    <w:rsid w:val="008A5398"/>
    <w:rsid w:val="008A53FB"/>
    <w:rsid w:val="008A5431"/>
    <w:rsid w:val="008A54E9"/>
    <w:rsid w:val="008A5663"/>
    <w:rsid w:val="008A5821"/>
    <w:rsid w:val="008A58E8"/>
    <w:rsid w:val="008A5C48"/>
    <w:rsid w:val="008A5DAF"/>
    <w:rsid w:val="008A5DC8"/>
    <w:rsid w:val="008A6203"/>
    <w:rsid w:val="008A66A2"/>
    <w:rsid w:val="008A6832"/>
    <w:rsid w:val="008A6932"/>
    <w:rsid w:val="008A6D1C"/>
    <w:rsid w:val="008A6E63"/>
    <w:rsid w:val="008A72F1"/>
    <w:rsid w:val="008A767D"/>
    <w:rsid w:val="008A7809"/>
    <w:rsid w:val="008A7A68"/>
    <w:rsid w:val="008A7A90"/>
    <w:rsid w:val="008A7DDE"/>
    <w:rsid w:val="008B0429"/>
    <w:rsid w:val="008B047C"/>
    <w:rsid w:val="008B04A0"/>
    <w:rsid w:val="008B0569"/>
    <w:rsid w:val="008B0704"/>
    <w:rsid w:val="008B08AA"/>
    <w:rsid w:val="008B0901"/>
    <w:rsid w:val="008B09F2"/>
    <w:rsid w:val="008B09FB"/>
    <w:rsid w:val="008B0AE6"/>
    <w:rsid w:val="008B0BF0"/>
    <w:rsid w:val="008B0DD1"/>
    <w:rsid w:val="008B0ED8"/>
    <w:rsid w:val="008B0F5A"/>
    <w:rsid w:val="008B109E"/>
    <w:rsid w:val="008B1150"/>
    <w:rsid w:val="008B128D"/>
    <w:rsid w:val="008B1490"/>
    <w:rsid w:val="008B1537"/>
    <w:rsid w:val="008B1667"/>
    <w:rsid w:val="008B168F"/>
    <w:rsid w:val="008B178B"/>
    <w:rsid w:val="008B180F"/>
    <w:rsid w:val="008B183E"/>
    <w:rsid w:val="008B18AE"/>
    <w:rsid w:val="008B1A7A"/>
    <w:rsid w:val="008B20A9"/>
    <w:rsid w:val="008B214B"/>
    <w:rsid w:val="008B2504"/>
    <w:rsid w:val="008B25AF"/>
    <w:rsid w:val="008B2A01"/>
    <w:rsid w:val="008B2B50"/>
    <w:rsid w:val="008B2C36"/>
    <w:rsid w:val="008B2EEA"/>
    <w:rsid w:val="008B35B2"/>
    <w:rsid w:val="008B36F6"/>
    <w:rsid w:val="008B39FF"/>
    <w:rsid w:val="008B3A6F"/>
    <w:rsid w:val="008B3E71"/>
    <w:rsid w:val="008B4054"/>
    <w:rsid w:val="008B4078"/>
    <w:rsid w:val="008B40D0"/>
    <w:rsid w:val="008B45C2"/>
    <w:rsid w:val="008B48D0"/>
    <w:rsid w:val="008B4963"/>
    <w:rsid w:val="008B4F28"/>
    <w:rsid w:val="008B50FA"/>
    <w:rsid w:val="008B5141"/>
    <w:rsid w:val="008B5324"/>
    <w:rsid w:val="008B5483"/>
    <w:rsid w:val="008B5675"/>
    <w:rsid w:val="008B5C8F"/>
    <w:rsid w:val="008B5CD4"/>
    <w:rsid w:val="008B5F31"/>
    <w:rsid w:val="008B6090"/>
    <w:rsid w:val="008B644D"/>
    <w:rsid w:val="008B683D"/>
    <w:rsid w:val="008B6C3E"/>
    <w:rsid w:val="008B6E32"/>
    <w:rsid w:val="008B6F51"/>
    <w:rsid w:val="008B7060"/>
    <w:rsid w:val="008B70DD"/>
    <w:rsid w:val="008B721B"/>
    <w:rsid w:val="008B72A2"/>
    <w:rsid w:val="008B7665"/>
    <w:rsid w:val="008B76D7"/>
    <w:rsid w:val="008B77FF"/>
    <w:rsid w:val="008B790A"/>
    <w:rsid w:val="008B7B5F"/>
    <w:rsid w:val="008B7D18"/>
    <w:rsid w:val="008B7D42"/>
    <w:rsid w:val="008B7DB3"/>
    <w:rsid w:val="008B7F38"/>
    <w:rsid w:val="008C013C"/>
    <w:rsid w:val="008C028A"/>
    <w:rsid w:val="008C0344"/>
    <w:rsid w:val="008C05A3"/>
    <w:rsid w:val="008C062C"/>
    <w:rsid w:val="008C07BA"/>
    <w:rsid w:val="008C086B"/>
    <w:rsid w:val="008C0B3F"/>
    <w:rsid w:val="008C0D69"/>
    <w:rsid w:val="008C0F32"/>
    <w:rsid w:val="008C0F7E"/>
    <w:rsid w:val="008C112D"/>
    <w:rsid w:val="008C116E"/>
    <w:rsid w:val="008C11DC"/>
    <w:rsid w:val="008C130E"/>
    <w:rsid w:val="008C134F"/>
    <w:rsid w:val="008C1662"/>
    <w:rsid w:val="008C1732"/>
    <w:rsid w:val="008C1946"/>
    <w:rsid w:val="008C1C26"/>
    <w:rsid w:val="008C1DDA"/>
    <w:rsid w:val="008C1EA7"/>
    <w:rsid w:val="008C2503"/>
    <w:rsid w:val="008C2589"/>
    <w:rsid w:val="008C2605"/>
    <w:rsid w:val="008C26BF"/>
    <w:rsid w:val="008C26EE"/>
    <w:rsid w:val="008C2818"/>
    <w:rsid w:val="008C2991"/>
    <w:rsid w:val="008C2ADF"/>
    <w:rsid w:val="008C2B0F"/>
    <w:rsid w:val="008C318F"/>
    <w:rsid w:val="008C338F"/>
    <w:rsid w:val="008C3441"/>
    <w:rsid w:val="008C344C"/>
    <w:rsid w:val="008C374A"/>
    <w:rsid w:val="008C377A"/>
    <w:rsid w:val="008C379B"/>
    <w:rsid w:val="008C37B5"/>
    <w:rsid w:val="008C3815"/>
    <w:rsid w:val="008C3868"/>
    <w:rsid w:val="008C3A1D"/>
    <w:rsid w:val="008C3B30"/>
    <w:rsid w:val="008C3C48"/>
    <w:rsid w:val="008C3C9C"/>
    <w:rsid w:val="008C3CDA"/>
    <w:rsid w:val="008C3DE7"/>
    <w:rsid w:val="008C438D"/>
    <w:rsid w:val="008C460A"/>
    <w:rsid w:val="008C4679"/>
    <w:rsid w:val="008C48B2"/>
    <w:rsid w:val="008C494D"/>
    <w:rsid w:val="008C4A20"/>
    <w:rsid w:val="008C4C07"/>
    <w:rsid w:val="008C4C8C"/>
    <w:rsid w:val="008C4F1E"/>
    <w:rsid w:val="008C5005"/>
    <w:rsid w:val="008C52AB"/>
    <w:rsid w:val="008C52D0"/>
    <w:rsid w:val="008C534E"/>
    <w:rsid w:val="008C5398"/>
    <w:rsid w:val="008C5477"/>
    <w:rsid w:val="008C54F4"/>
    <w:rsid w:val="008C5640"/>
    <w:rsid w:val="008C5651"/>
    <w:rsid w:val="008C5E2A"/>
    <w:rsid w:val="008C5E51"/>
    <w:rsid w:val="008C6187"/>
    <w:rsid w:val="008C628A"/>
    <w:rsid w:val="008C6369"/>
    <w:rsid w:val="008C6AC8"/>
    <w:rsid w:val="008C6BED"/>
    <w:rsid w:val="008C6C94"/>
    <w:rsid w:val="008C6ED3"/>
    <w:rsid w:val="008C6F41"/>
    <w:rsid w:val="008C72A7"/>
    <w:rsid w:val="008C72BE"/>
    <w:rsid w:val="008C74E1"/>
    <w:rsid w:val="008C7876"/>
    <w:rsid w:val="008C7B98"/>
    <w:rsid w:val="008C7DF9"/>
    <w:rsid w:val="008C7F42"/>
    <w:rsid w:val="008D02D4"/>
    <w:rsid w:val="008D03C3"/>
    <w:rsid w:val="008D03F2"/>
    <w:rsid w:val="008D059B"/>
    <w:rsid w:val="008D0677"/>
    <w:rsid w:val="008D0B7C"/>
    <w:rsid w:val="008D0D8B"/>
    <w:rsid w:val="008D13A1"/>
    <w:rsid w:val="008D1458"/>
    <w:rsid w:val="008D1467"/>
    <w:rsid w:val="008D1657"/>
    <w:rsid w:val="008D1D56"/>
    <w:rsid w:val="008D1E05"/>
    <w:rsid w:val="008D1E3E"/>
    <w:rsid w:val="008D1F42"/>
    <w:rsid w:val="008D1FCE"/>
    <w:rsid w:val="008D20C4"/>
    <w:rsid w:val="008D21A8"/>
    <w:rsid w:val="008D21BF"/>
    <w:rsid w:val="008D2360"/>
    <w:rsid w:val="008D23CC"/>
    <w:rsid w:val="008D24AC"/>
    <w:rsid w:val="008D2722"/>
    <w:rsid w:val="008D2741"/>
    <w:rsid w:val="008D27C2"/>
    <w:rsid w:val="008D2C17"/>
    <w:rsid w:val="008D2E44"/>
    <w:rsid w:val="008D2EDE"/>
    <w:rsid w:val="008D3274"/>
    <w:rsid w:val="008D32BD"/>
    <w:rsid w:val="008D3498"/>
    <w:rsid w:val="008D3783"/>
    <w:rsid w:val="008D392B"/>
    <w:rsid w:val="008D3A89"/>
    <w:rsid w:val="008D3ACD"/>
    <w:rsid w:val="008D3C80"/>
    <w:rsid w:val="008D3EC5"/>
    <w:rsid w:val="008D3FC7"/>
    <w:rsid w:val="008D424A"/>
    <w:rsid w:val="008D455B"/>
    <w:rsid w:val="008D45C7"/>
    <w:rsid w:val="008D4651"/>
    <w:rsid w:val="008D46F8"/>
    <w:rsid w:val="008D476E"/>
    <w:rsid w:val="008D4801"/>
    <w:rsid w:val="008D4D08"/>
    <w:rsid w:val="008D4DC4"/>
    <w:rsid w:val="008D4F62"/>
    <w:rsid w:val="008D4F95"/>
    <w:rsid w:val="008D4FD2"/>
    <w:rsid w:val="008D516F"/>
    <w:rsid w:val="008D51FD"/>
    <w:rsid w:val="008D5578"/>
    <w:rsid w:val="008D55A6"/>
    <w:rsid w:val="008D55BD"/>
    <w:rsid w:val="008D55D2"/>
    <w:rsid w:val="008D575A"/>
    <w:rsid w:val="008D5932"/>
    <w:rsid w:val="008D595B"/>
    <w:rsid w:val="008D5BAF"/>
    <w:rsid w:val="008D5F28"/>
    <w:rsid w:val="008D635A"/>
    <w:rsid w:val="008D6399"/>
    <w:rsid w:val="008D65CF"/>
    <w:rsid w:val="008D6702"/>
    <w:rsid w:val="008D6910"/>
    <w:rsid w:val="008D6D5B"/>
    <w:rsid w:val="008D6FCE"/>
    <w:rsid w:val="008D713D"/>
    <w:rsid w:val="008D7170"/>
    <w:rsid w:val="008D7216"/>
    <w:rsid w:val="008D72CF"/>
    <w:rsid w:val="008D745E"/>
    <w:rsid w:val="008D748A"/>
    <w:rsid w:val="008D7569"/>
    <w:rsid w:val="008D75E7"/>
    <w:rsid w:val="008D7615"/>
    <w:rsid w:val="008D781D"/>
    <w:rsid w:val="008D78A5"/>
    <w:rsid w:val="008D7972"/>
    <w:rsid w:val="008D7AE3"/>
    <w:rsid w:val="008D7CB3"/>
    <w:rsid w:val="008D7CB5"/>
    <w:rsid w:val="008D7DC6"/>
    <w:rsid w:val="008D7DDA"/>
    <w:rsid w:val="008D7F1C"/>
    <w:rsid w:val="008D7F23"/>
    <w:rsid w:val="008E047B"/>
    <w:rsid w:val="008E05C9"/>
    <w:rsid w:val="008E05E4"/>
    <w:rsid w:val="008E071A"/>
    <w:rsid w:val="008E0850"/>
    <w:rsid w:val="008E0877"/>
    <w:rsid w:val="008E09CF"/>
    <w:rsid w:val="008E0A94"/>
    <w:rsid w:val="008E0AB5"/>
    <w:rsid w:val="008E0D8A"/>
    <w:rsid w:val="008E1022"/>
    <w:rsid w:val="008E1103"/>
    <w:rsid w:val="008E12BE"/>
    <w:rsid w:val="008E12D4"/>
    <w:rsid w:val="008E1596"/>
    <w:rsid w:val="008E15F1"/>
    <w:rsid w:val="008E162C"/>
    <w:rsid w:val="008E175B"/>
    <w:rsid w:val="008E191C"/>
    <w:rsid w:val="008E1BB9"/>
    <w:rsid w:val="008E1EB7"/>
    <w:rsid w:val="008E1F4D"/>
    <w:rsid w:val="008E21CF"/>
    <w:rsid w:val="008E22E0"/>
    <w:rsid w:val="008E22F4"/>
    <w:rsid w:val="008E235E"/>
    <w:rsid w:val="008E25D3"/>
    <w:rsid w:val="008E274F"/>
    <w:rsid w:val="008E28F3"/>
    <w:rsid w:val="008E299F"/>
    <w:rsid w:val="008E2D5A"/>
    <w:rsid w:val="008E2E9E"/>
    <w:rsid w:val="008E3246"/>
    <w:rsid w:val="008E3412"/>
    <w:rsid w:val="008E35D1"/>
    <w:rsid w:val="008E37D3"/>
    <w:rsid w:val="008E37EE"/>
    <w:rsid w:val="008E382C"/>
    <w:rsid w:val="008E393B"/>
    <w:rsid w:val="008E3A43"/>
    <w:rsid w:val="008E3C4A"/>
    <w:rsid w:val="008E401A"/>
    <w:rsid w:val="008E409B"/>
    <w:rsid w:val="008E409F"/>
    <w:rsid w:val="008E43FD"/>
    <w:rsid w:val="008E46E4"/>
    <w:rsid w:val="008E4961"/>
    <w:rsid w:val="008E4C4F"/>
    <w:rsid w:val="008E4EC2"/>
    <w:rsid w:val="008E4F00"/>
    <w:rsid w:val="008E4F1A"/>
    <w:rsid w:val="008E542A"/>
    <w:rsid w:val="008E54C1"/>
    <w:rsid w:val="008E5745"/>
    <w:rsid w:val="008E5951"/>
    <w:rsid w:val="008E5B92"/>
    <w:rsid w:val="008E5D77"/>
    <w:rsid w:val="008E5E1D"/>
    <w:rsid w:val="008E5F24"/>
    <w:rsid w:val="008E5FAD"/>
    <w:rsid w:val="008E6164"/>
    <w:rsid w:val="008E6268"/>
    <w:rsid w:val="008E64D6"/>
    <w:rsid w:val="008E67C2"/>
    <w:rsid w:val="008E67FB"/>
    <w:rsid w:val="008E6A04"/>
    <w:rsid w:val="008E6E09"/>
    <w:rsid w:val="008E6E75"/>
    <w:rsid w:val="008E7026"/>
    <w:rsid w:val="008E70C6"/>
    <w:rsid w:val="008E73B1"/>
    <w:rsid w:val="008E75F3"/>
    <w:rsid w:val="008E784D"/>
    <w:rsid w:val="008E78BC"/>
    <w:rsid w:val="008E7947"/>
    <w:rsid w:val="008E7A45"/>
    <w:rsid w:val="008E7AB4"/>
    <w:rsid w:val="008E7C57"/>
    <w:rsid w:val="008E7EF1"/>
    <w:rsid w:val="008E7F5C"/>
    <w:rsid w:val="008E7FAA"/>
    <w:rsid w:val="008F02FC"/>
    <w:rsid w:val="008F05FD"/>
    <w:rsid w:val="008F062D"/>
    <w:rsid w:val="008F0976"/>
    <w:rsid w:val="008F0B27"/>
    <w:rsid w:val="008F0C0B"/>
    <w:rsid w:val="008F0C3C"/>
    <w:rsid w:val="008F0F28"/>
    <w:rsid w:val="008F10F1"/>
    <w:rsid w:val="008F1139"/>
    <w:rsid w:val="008F14B6"/>
    <w:rsid w:val="008F160F"/>
    <w:rsid w:val="008F1708"/>
    <w:rsid w:val="008F177A"/>
    <w:rsid w:val="008F17B1"/>
    <w:rsid w:val="008F19D9"/>
    <w:rsid w:val="008F1A06"/>
    <w:rsid w:val="008F1B3E"/>
    <w:rsid w:val="008F21B7"/>
    <w:rsid w:val="008F21CB"/>
    <w:rsid w:val="008F221C"/>
    <w:rsid w:val="008F2251"/>
    <w:rsid w:val="008F2365"/>
    <w:rsid w:val="008F2386"/>
    <w:rsid w:val="008F243C"/>
    <w:rsid w:val="008F2467"/>
    <w:rsid w:val="008F24FD"/>
    <w:rsid w:val="008F2522"/>
    <w:rsid w:val="008F2AFE"/>
    <w:rsid w:val="008F2B12"/>
    <w:rsid w:val="008F2B34"/>
    <w:rsid w:val="008F2DC3"/>
    <w:rsid w:val="008F3121"/>
    <w:rsid w:val="008F3180"/>
    <w:rsid w:val="008F31EB"/>
    <w:rsid w:val="008F3440"/>
    <w:rsid w:val="008F34E0"/>
    <w:rsid w:val="008F350F"/>
    <w:rsid w:val="008F369A"/>
    <w:rsid w:val="008F3990"/>
    <w:rsid w:val="008F3D01"/>
    <w:rsid w:val="008F3D1D"/>
    <w:rsid w:val="008F3D6B"/>
    <w:rsid w:val="008F3EC1"/>
    <w:rsid w:val="008F4026"/>
    <w:rsid w:val="008F41DD"/>
    <w:rsid w:val="008F4213"/>
    <w:rsid w:val="008F44B5"/>
    <w:rsid w:val="008F45D6"/>
    <w:rsid w:val="008F48C9"/>
    <w:rsid w:val="008F4C5A"/>
    <w:rsid w:val="008F4EE1"/>
    <w:rsid w:val="008F4FAC"/>
    <w:rsid w:val="008F5010"/>
    <w:rsid w:val="008F5423"/>
    <w:rsid w:val="008F5780"/>
    <w:rsid w:val="008F57FB"/>
    <w:rsid w:val="008F58E9"/>
    <w:rsid w:val="008F5A74"/>
    <w:rsid w:val="008F5B94"/>
    <w:rsid w:val="008F60F4"/>
    <w:rsid w:val="008F6102"/>
    <w:rsid w:val="008F622D"/>
    <w:rsid w:val="008F65D1"/>
    <w:rsid w:val="008F67B1"/>
    <w:rsid w:val="008F6833"/>
    <w:rsid w:val="008F686C"/>
    <w:rsid w:val="008F68C3"/>
    <w:rsid w:val="008F6A62"/>
    <w:rsid w:val="008F6CF3"/>
    <w:rsid w:val="008F6DDD"/>
    <w:rsid w:val="008F6E74"/>
    <w:rsid w:val="008F7124"/>
    <w:rsid w:val="008F7334"/>
    <w:rsid w:val="008F74E1"/>
    <w:rsid w:val="008F7551"/>
    <w:rsid w:val="008F760C"/>
    <w:rsid w:val="008F76BF"/>
    <w:rsid w:val="008F7760"/>
    <w:rsid w:val="008F7795"/>
    <w:rsid w:val="008F77D0"/>
    <w:rsid w:val="008F78EC"/>
    <w:rsid w:val="008F7A72"/>
    <w:rsid w:val="008F7BAE"/>
    <w:rsid w:val="008F7CCD"/>
    <w:rsid w:val="008F7F04"/>
    <w:rsid w:val="008F7F62"/>
    <w:rsid w:val="008F7FC8"/>
    <w:rsid w:val="00900053"/>
    <w:rsid w:val="009003C0"/>
    <w:rsid w:val="00900449"/>
    <w:rsid w:val="0090054D"/>
    <w:rsid w:val="00900589"/>
    <w:rsid w:val="00900CAB"/>
    <w:rsid w:val="00900CF6"/>
    <w:rsid w:val="0090102F"/>
    <w:rsid w:val="00901173"/>
    <w:rsid w:val="009011C1"/>
    <w:rsid w:val="009011DB"/>
    <w:rsid w:val="00901255"/>
    <w:rsid w:val="0090134E"/>
    <w:rsid w:val="00901671"/>
    <w:rsid w:val="00901810"/>
    <w:rsid w:val="00901942"/>
    <w:rsid w:val="00901955"/>
    <w:rsid w:val="00901B23"/>
    <w:rsid w:val="00901B27"/>
    <w:rsid w:val="00901D60"/>
    <w:rsid w:val="00901DB5"/>
    <w:rsid w:val="00901F43"/>
    <w:rsid w:val="00902068"/>
    <w:rsid w:val="009020AB"/>
    <w:rsid w:val="009025D6"/>
    <w:rsid w:val="00902667"/>
    <w:rsid w:val="00902714"/>
    <w:rsid w:val="0090299A"/>
    <w:rsid w:val="00902A3C"/>
    <w:rsid w:val="00902AD8"/>
    <w:rsid w:val="00902CE7"/>
    <w:rsid w:val="00902E3C"/>
    <w:rsid w:val="009033D7"/>
    <w:rsid w:val="00903627"/>
    <w:rsid w:val="00903726"/>
    <w:rsid w:val="00903799"/>
    <w:rsid w:val="00903C0E"/>
    <w:rsid w:val="00903C69"/>
    <w:rsid w:val="00903EB7"/>
    <w:rsid w:val="0090406C"/>
    <w:rsid w:val="00904106"/>
    <w:rsid w:val="009041DF"/>
    <w:rsid w:val="0090432D"/>
    <w:rsid w:val="009044DD"/>
    <w:rsid w:val="00904569"/>
    <w:rsid w:val="009045A8"/>
    <w:rsid w:val="009048EB"/>
    <w:rsid w:val="00904920"/>
    <w:rsid w:val="00904E66"/>
    <w:rsid w:val="00905354"/>
    <w:rsid w:val="009054AE"/>
    <w:rsid w:val="00905A66"/>
    <w:rsid w:val="00905C21"/>
    <w:rsid w:val="00905C47"/>
    <w:rsid w:val="00905DFE"/>
    <w:rsid w:val="00905E3D"/>
    <w:rsid w:val="00905E84"/>
    <w:rsid w:val="00905EB3"/>
    <w:rsid w:val="00905F81"/>
    <w:rsid w:val="00905F9A"/>
    <w:rsid w:val="00906183"/>
    <w:rsid w:val="0090639B"/>
    <w:rsid w:val="0090641B"/>
    <w:rsid w:val="0090641E"/>
    <w:rsid w:val="009065A5"/>
    <w:rsid w:val="00906633"/>
    <w:rsid w:val="00906833"/>
    <w:rsid w:val="00906911"/>
    <w:rsid w:val="0090691A"/>
    <w:rsid w:val="00906BFE"/>
    <w:rsid w:val="00906DAF"/>
    <w:rsid w:val="00906DB4"/>
    <w:rsid w:val="00906F95"/>
    <w:rsid w:val="00907125"/>
    <w:rsid w:val="009071A3"/>
    <w:rsid w:val="00907276"/>
    <w:rsid w:val="009073BB"/>
    <w:rsid w:val="00907465"/>
    <w:rsid w:val="009074BC"/>
    <w:rsid w:val="00907551"/>
    <w:rsid w:val="00907635"/>
    <w:rsid w:val="00907B8F"/>
    <w:rsid w:val="00907DFF"/>
    <w:rsid w:val="00907E1C"/>
    <w:rsid w:val="00907E9A"/>
    <w:rsid w:val="00910112"/>
    <w:rsid w:val="00910197"/>
    <w:rsid w:val="00910246"/>
    <w:rsid w:val="00910531"/>
    <w:rsid w:val="0091058B"/>
    <w:rsid w:val="009105D3"/>
    <w:rsid w:val="00910923"/>
    <w:rsid w:val="0091093E"/>
    <w:rsid w:val="00910AC3"/>
    <w:rsid w:val="00910EF9"/>
    <w:rsid w:val="00910F6C"/>
    <w:rsid w:val="00910FD1"/>
    <w:rsid w:val="00911139"/>
    <w:rsid w:val="009113CA"/>
    <w:rsid w:val="0091140D"/>
    <w:rsid w:val="00911749"/>
    <w:rsid w:val="009117D3"/>
    <w:rsid w:val="009117F4"/>
    <w:rsid w:val="009119A9"/>
    <w:rsid w:val="00911DD5"/>
    <w:rsid w:val="009122FB"/>
    <w:rsid w:val="00912686"/>
    <w:rsid w:val="009126A9"/>
    <w:rsid w:val="009126B7"/>
    <w:rsid w:val="00912759"/>
    <w:rsid w:val="00912851"/>
    <w:rsid w:val="00912C9C"/>
    <w:rsid w:val="00912DDE"/>
    <w:rsid w:val="00913164"/>
    <w:rsid w:val="009134A1"/>
    <w:rsid w:val="009134A8"/>
    <w:rsid w:val="0091358E"/>
    <w:rsid w:val="0091361B"/>
    <w:rsid w:val="009136A5"/>
    <w:rsid w:val="00913929"/>
    <w:rsid w:val="009139A5"/>
    <w:rsid w:val="00913E86"/>
    <w:rsid w:val="009142D2"/>
    <w:rsid w:val="00914477"/>
    <w:rsid w:val="00914498"/>
    <w:rsid w:val="00914509"/>
    <w:rsid w:val="0091450C"/>
    <w:rsid w:val="00914537"/>
    <w:rsid w:val="009145E2"/>
    <w:rsid w:val="0091460D"/>
    <w:rsid w:val="00914632"/>
    <w:rsid w:val="00914A19"/>
    <w:rsid w:val="00914B00"/>
    <w:rsid w:val="00914BCD"/>
    <w:rsid w:val="00914DA0"/>
    <w:rsid w:val="009152AD"/>
    <w:rsid w:val="00915377"/>
    <w:rsid w:val="009154D7"/>
    <w:rsid w:val="009155EB"/>
    <w:rsid w:val="009156A1"/>
    <w:rsid w:val="0091573B"/>
    <w:rsid w:val="0091579F"/>
    <w:rsid w:val="009158C8"/>
    <w:rsid w:val="00915975"/>
    <w:rsid w:val="00915A45"/>
    <w:rsid w:val="00915B9E"/>
    <w:rsid w:val="00915DA1"/>
    <w:rsid w:val="00915EAC"/>
    <w:rsid w:val="00915F43"/>
    <w:rsid w:val="0091605F"/>
    <w:rsid w:val="009161AF"/>
    <w:rsid w:val="009161D9"/>
    <w:rsid w:val="00916299"/>
    <w:rsid w:val="00916624"/>
    <w:rsid w:val="00916794"/>
    <w:rsid w:val="0091683D"/>
    <w:rsid w:val="00916A79"/>
    <w:rsid w:val="00916BB3"/>
    <w:rsid w:val="00916C12"/>
    <w:rsid w:val="00916E93"/>
    <w:rsid w:val="00917247"/>
    <w:rsid w:val="00917312"/>
    <w:rsid w:val="009173E4"/>
    <w:rsid w:val="00917506"/>
    <w:rsid w:val="00917543"/>
    <w:rsid w:val="00917767"/>
    <w:rsid w:val="009178BC"/>
    <w:rsid w:val="00917A2E"/>
    <w:rsid w:val="00917A4D"/>
    <w:rsid w:val="00917B57"/>
    <w:rsid w:val="00917C37"/>
    <w:rsid w:val="00917CA4"/>
    <w:rsid w:val="00917E01"/>
    <w:rsid w:val="00917EC1"/>
    <w:rsid w:val="0092036C"/>
    <w:rsid w:val="009204F4"/>
    <w:rsid w:val="009205CD"/>
    <w:rsid w:val="00920696"/>
    <w:rsid w:val="009208C4"/>
    <w:rsid w:val="009208C6"/>
    <w:rsid w:val="00920A4D"/>
    <w:rsid w:val="00920C03"/>
    <w:rsid w:val="00920CED"/>
    <w:rsid w:val="00920D92"/>
    <w:rsid w:val="00920E0A"/>
    <w:rsid w:val="00920ECF"/>
    <w:rsid w:val="00920F16"/>
    <w:rsid w:val="0092105C"/>
    <w:rsid w:val="0092109B"/>
    <w:rsid w:val="0092149A"/>
    <w:rsid w:val="009219D3"/>
    <w:rsid w:val="009219F5"/>
    <w:rsid w:val="00921C2E"/>
    <w:rsid w:val="00921C3A"/>
    <w:rsid w:val="00921CC7"/>
    <w:rsid w:val="00921E8C"/>
    <w:rsid w:val="009220BA"/>
    <w:rsid w:val="009220FF"/>
    <w:rsid w:val="00922455"/>
    <w:rsid w:val="00922519"/>
    <w:rsid w:val="0092269D"/>
    <w:rsid w:val="0092270F"/>
    <w:rsid w:val="00922726"/>
    <w:rsid w:val="009227DD"/>
    <w:rsid w:val="0092284D"/>
    <w:rsid w:val="00922C4C"/>
    <w:rsid w:val="00922D98"/>
    <w:rsid w:val="00922ED8"/>
    <w:rsid w:val="00922FDA"/>
    <w:rsid w:val="00923161"/>
    <w:rsid w:val="00923431"/>
    <w:rsid w:val="0092346B"/>
    <w:rsid w:val="00923563"/>
    <w:rsid w:val="00923609"/>
    <w:rsid w:val="0092365D"/>
    <w:rsid w:val="009236AA"/>
    <w:rsid w:val="009236FA"/>
    <w:rsid w:val="00923A05"/>
    <w:rsid w:val="00923D3E"/>
    <w:rsid w:val="00923DAC"/>
    <w:rsid w:val="00923E7C"/>
    <w:rsid w:val="00924049"/>
    <w:rsid w:val="00924062"/>
    <w:rsid w:val="00924208"/>
    <w:rsid w:val="009243CC"/>
    <w:rsid w:val="009243D4"/>
    <w:rsid w:val="00924446"/>
    <w:rsid w:val="0092448A"/>
    <w:rsid w:val="009247CD"/>
    <w:rsid w:val="009248E3"/>
    <w:rsid w:val="00924B04"/>
    <w:rsid w:val="00924DEE"/>
    <w:rsid w:val="00924FAD"/>
    <w:rsid w:val="00925000"/>
    <w:rsid w:val="00925142"/>
    <w:rsid w:val="00925208"/>
    <w:rsid w:val="00925364"/>
    <w:rsid w:val="009253F8"/>
    <w:rsid w:val="009255DE"/>
    <w:rsid w:val="00925615"/>
    <w:rsid w:val="009258A8"/>
    <w:rsid w:val="0092599B"/>
    <w:rsid w:val="00925AC7"/>
    <w:rsid w:val="00925ACF"/>
    <w:rsid w:val="00925CD0"/>
    <w:rsid w:val="00925F28"/>
    <w:rsid w:val="0092606D"/>
    <w:rsid w:val="009261EF"/>
    <w:rsid w:val="00926438"/>
    <w:rsid w:val="00926490"/>
    <w:rsid w:val="0092661A"/>
    <w:rsid w:val="0092668C"/>
    <w:rsid w:val="00926772"/>
    <w:rsid w:val="00926843"/>
    <w:rsid w:val="009269B3"/>
    <w:rsid w:val="00926A5E"/>
    <w:rsid w:val="00926CEF"/>
    <w:rsid w:val="0092704A"/>
    <w:rsid w:val="009273DF"/>
    <w:rsid w:val="009274E8"/>
    <w:rsid w:val="00927656"/>
    <w:rsid w:val="00927845"/>
    <w:rsid w:val="009278F7"/>
    <w:rsid w:val="00927DE7"/>
    <w:rsid w:val="00927E86"/>
    <w:rsid w:val="009300CB"/>
    <w:rsid w:val="009301A3"/>
    <w:rsid w:val="009305A0"/>
    <w:rsid w:val="00930A7E"/>
    <w:rsid w:val="00930D34"/>
    <w:rsid w:val="00930E0A"/>
    <w:rsid w:val="00931648"/>
    <w:rsid w:val="009317BD"/>
    <w:rsid w:val="009319A1"/>
    <w:rsid w:val="00931BD5"/>
    <w:rsid w:val="00931C39"/>
    <w:rsid w:val="00931CBE"/>
    <w:rsid w:val="00931E07"/>
    <w:rsid w:val="00931F48"/>
    <w:rsid w:val="009322BF"/>
    <w:rsid w:val="0093234B"/>
    <w:rsid w:val="00932B7F"/>
    <w:rsid w:val="00932C73"/>
    <w:rsid w:val="00933167"/>
    <w:rsid w:val="009335E3"/>
    <w:rsid w:val="0093364C"/>
    <w:rsid w:val="0093380C"/>
    <w:rsid w:val="0093380E"/>
    <w:rsid w:val="009338FB"/>
    <w:rsid w:val="00933932"/>
    <w:rsid w:val="00933A0E"/>
    <w:rsid w:val="00933B70"/>
    <w:rsid w:val="00933D0D"/>
    <w:rsid w:val="00933D49"/>
    <w:rsid w:val="00933D5F"/>
    <w:rsid w:val="00933F97"/>
    <w:rsid w:val="009341C3"/>
    <w:rsid w:val="0093429F"/>
    <w:rsid w:val="009343CE"/>
    <w:rsid w:val="00934785"/>
    <w:rsid w:val="00934A21"/>
    <w:rsid w:val="00934A3A"/>
    <w:rsid w:val="00934B37"/>
    <w:rsid w:val="00934F8E"/>
    <w:rsid w:val="0093520B"/>
    <w:rsid w:val="009352AA"/>
    <w:rsid w:val="00935304"/>
    <w:rsid w:val="009353F5"/>
    <w:rsid w:val="009354F5"/>
    <w:rsid w:val="0093552F"/>
    <w:rsid w:val="009355BE"/>
    <w:rsid w:val="00935651"/>
    <w:rsid w:val="00935765"/>
    <w:rsid w:val="00935791"/>
    <w:rsid w:val="00935B71"/>
    <w:rsid w:val="00935CB6"/>
    <w:rsid w:val="00935D56"/>
    <w:rsid w:val="00935D6D"/>
    <w:rsid w:val="00935D8E"/>
    <w:rsid w:val="00935DD6"/>
    <w:rsid w:val="00935F03"/>
    <w:rsid w:val="00936515"/>
    <w:rsid w:val="00936742"/>
    <w:rsid w:val="00936743"/>
    <w:rsid w:val="00936FFD"/>
    <w:rsid w:val="009373D6"/>
    <w:rsid w:val="009373D8"/>
    <w:rsid w:val="0093740C"/>
    <w:rsid w:val="009374C3"/>
    <w:rsid w:val="0093754C"/>
    <w:rsid w:val="0093755F"/>
    <w:rsid w:val="0093782F"/>
    <w:rsid w:val="00937867"/>
    <w:rsid w:val="00937974"/>
    <w:rsid w:val="00937BBA"/>
    <w:rsid w:val="00937C4B"/>
    <w:rsid w:val="00937DE7"/>
    <w:rsid w:val="00937F34"/>
    <w:rsid w:val="00940029"/>
    <w:rsid w:val="009400AA"/>
    <w:rsid w:val="00940393"/>
    <w:rsid w:val="00940891"/>
    <w:rsid w:val="00940AE1"/>
    <w:rsid w:val="00940D32"/>
    <w:rsid w:val="009411B0"/>
    <w:rsid w:val="0094177F"/>
    <w:rsid w:val="00941890"/>
    <w:rsid w:val="009418C4"/>
    <w:rsid w:val="009419A7"/>
    <w:rsid w:val="00941ADD"/>
    <w:rsid w:val="00941BEF"/>
    <w:rsid w:val="00941BFA"/>
    <w:rsid w:val="00942320"/>
    <w:rsid w:val="00942382"/>
    <w:rsid w:val="009424A5"/>
    <w:rsid w:val="00942633"/>
    <w:rsid w:val="0094263F"/>
    <w:rsid w:val="00942A3D"/>
    <w:rsid w:val="00942BC5"/>
    <w:rsid w:val="00942C12"/>
    <w:rsid w:val="00942EC3"/>
    <w:rsid w:val="00943546"/>
    <w:rsid w:val="0094359C"/>
    <w:rsid w:val="009435B6"/>
    <w:rsid w:val="009435D0"/>
    <w:rsid w:val="0094367D"/>
    <w:rsid w:val="00943681"/>
    <w:rsid w:val="0094388C"/>
    <w:rsid w:val="009438B8"/>
    <w:rsid w:val="00943961"/>
    <w:rsid w:val="00943BBC"/>
    <w:rsid w:val="00943D3F"/>
    <w:rsid w:val="00943EC2"/>
    <w:rsid w:val="00943EF2"/>
    <w:rsid w:val="0094403D"/>
    <w:rsid w:val="00944337"/>
    <w:rsid w:val="00944455"/>
    <w:rsid w:val="00944591"/>
    <w:rsid w:val="009445D7"/>
    <w:rsid w:val="0094467A"/>
    <w:rsid w:val="009446F8"/>
    <w:rsid w:val="009447BA"/>
    <w:rsid w:val="009447CD"/>
    <w:rsid w:val="009447E7"/>
    <w:rsid w:val="00944AF7"/>
    <w:rsid w:val="00944BEC"/>
    <w:rsid w:val="00944DAE"/>
    <w:rsid w:val="00944DC6"/>
    <w:rsid w:val="00944EC5"/>
    <w:rsid w:val="00944ECC"/>
    <w:rsid w:val="00944F63"/>
    <w:rsid w:val="00945411"/>
    <w:rsid w:val="009457FA"/>
    <w:rsid w:val="00945873"/>
    <w:rsid w:val="00945B8B"/>
    <w:rsid w:val="00945C27"/>
    <w:rsid w:val="00945D03"/>
    <w:rsid w:val="00945F5D"/>
    <w:rsid w:val="0094600E"/>
    <w:rsid w:val="009460D7"/>
    <w:rsid w:val="00946159"/>
    <w:rsid w:val="0094618F"/>
    <w:rsid w:val="009464D1"/>
    <w:rsid w:val="00946557"/>
    <w:rsid w:val="009465F2"/>
    <w:rsid w:val="00946613"/>
    <w:rsid w:val="00946B2F"/>
    <w:rsid w:val="00946BFF"/>
    <w:rsid w:val="00946E6C"/>
    <w:rsid w:val="009471BC"/>
    <w:rsid w:val="009471E0"/>
    <w:rsid w:val="009473DC"/>
    <w:rsid w:val="009473E8"/>
    <w:rsid w:val="009476B2"/>
    <w:rsid w:val="009477DE"/>
    <w:rsid w:val="00947CA1"/>
    <w:rsid w:val="00947CA6"/>
    <w:rsid w:val="00947FCB"/>
    <w:rsid w:val="00947FDE"/>
    <w:rsid w:val="00950002"/>
    <w:rsid w:val="00950365"/>
    <w:rsid w:val="0095038A"/>
    <w:rsid w:val="0095074F"/>
    <w:rsid w:val="00950834"/>
    <w:rsid w:val="00950A76"/>
    <w:rsid w:val="00950EB2"/>
    <w:rsid w:val="00950FC6"/>
    <w:rsid w:val="009513AF"/>
    <w:rsid w:val="009515F5"/>
    <w:rsid w:val="0095191D"/>
    <w:rsid w:val="00951978"/>
    <w:rsid w:val="00951CF6"/>
    <w:rsid w:val="00951E78"/>
    <w:rsid w:val="009520EF"/>
    <w:rsid w:val="00952184"/>
    <w:rsid w:val="0095227D"/>
    <w:rsid w:val="009522AE"/>
    <w:rsid w:val="0095230C"/>
    <w:rsid w:val="009526AA"/>
    <w:rsid w:val="00952AEB"/>
    <w:rsid w:val="00952CDF"/>
    <w:rsid w:val="00952D2F"/>
    <w:rsid w:val="00952EE8"/>
    <w:rsid w:val="00952F33"/>
    <w:rsid w:val="00953071"/>
    <w:rsid w:val="00953295"/>
    <w:rsid w:val="00953440"/>
    <w:rsid w:val="009534A7"/>
    <w:rsid w:val="0095352E"/>
    <w:rsid w:val="009536A7"/>
    <w:rsid w:val="0095383D"/>
    <w:rsid w:val="009538AE"/>
    <w:rsid w:val="00953A06"/>
    <w:rsid w:val="00953B11"/>
    <w:rsid w:val="00953B1C"/>
    <w:rsid w:val="00953B98"/>
    <w:rsid w:val="00953D77"/>
    <w:rsid w:val="00953E95"/>
    <w:rsid w:val="0095424A"/>
    <w:rsid w:val="00954581"/>
    <w:rsid w:val="009545EC"/>
    <w:rsid w:val="009547A6"/>
    <w:rsid w:val="009547AE"/>
    <w:rsid w:val="00954946"/>
    <w:rsid w:val="0095496E"/>
    <w:rsid w:val="00954B16"/>
    <w:rsid w:val="00954BE8"/>
    <w:rsid w:val="00954D1E"/>
    <w:rsid w:val="00954E38"/>
    <w:rsid w:val="00954ECE"/>
    <w:rsid w:val="009550FD"/>
    <w:rsid w:val="0095532D"/>
    <w:rsid w:val="009553A0"/>
    <w:rsid w:val="00955746"/>
    <w:rsid w:val="00955861"/>
    <w:rsid w:val="009558E4"/>
    <w:rsid w:val="00955BE2"/>
    <w:rsid w:val="00955F2D"/>
    <w:rsid w:val="00955FFB"/>
    <w:rsid w:val="00956281"/>
    <w:rsid w:val="0095664F"/>
    <w:rsid w:val="0095692A"/>
    <w:rsid w:val="00956ABA"/>
    <w:rsid w:val="00956CE3"/>
    <w:rsid w:val="00956CF4"/>
    <w:rsid w:val="00956FB5"/>
    <w:rsid w:val="009571A6"/>
    <w:rsid w:val="0095743E"/>
    <w:rsid w:val="00957445"/>
    <w:rsid w:val="009577EE"/>
    <w:rsid w:val="009578D1"/>
    <w:rsid w:val="00957AFB"/>
    <w:rsid w:val="00957B1F"/>
    <w:rsid w:val="009600F8"/>
    <w:rsid w:val="00960153"/>
    <w:rsid w:val="00960170"/>
    <w:rsid w:val="00960182"/>
    <w:rsid w:val="00960367"/>
    <w:rsid w:val="009603F4"/>
    <w:rsid w:val="00960672"/>
    <w:rsid w:val="00960708"/>
    <w:rsid w:val="009608D0"/>
    <w:rsid w:val="00960932"/>
    <w:rsid w:val="0096099F"/>
    <w:rsid w:val="009609F7"/>
    <w:rsid w:val="00960A39"/>
    <w:rsid w:val="00960B04"/>
    <w:rsid w:val="00960BB9"/>
    <w:rsid w:val="00960C8D"/>
    <w:rsid w:val="00960F28"/>
    <w:rsid w:val="00960F72"/>
    <w:rsid w:val="009614CC"/>
    <w:rsid w:val="009614F9"/>
    <w:rsid w:val="009615A8"/>
    <w:rsid w:val="009617C9"/>
    <w:rsid w:val="00961B7D"/>
    <w:rsid w:val="00961BA0"/>
    <w:rsid w:val="00961D25"/>
    <w:rsid w:val="00961F60"/>
    <w:rsid w:val="0096209D"/>
    <w:rsid w:val="009620CF"/>
    <w:rsid w:val="00962282"/>
    <w:rsid w:val="00962484"/>
    <w:rsid w:val="009625EA"/>
    <w:rsid w:val="009626BA"/>
    <w:rsid w:val="00962816"/>
    <w:rsid w:val="00962CDE"/>
    <w:rsid w:val="009630BB"/>
    <w:rsid w:val="009630CE"/>
    <w:rsid w:val="00963570"/>
    <w:rsid w:val="0096357E"/>
    <w:rsid w:val="00963596"/>
    <w:rsid w:val="009638E2"/>
    <w:rsid w:val="00963A5B"/>
    <w:rsid w:val="00963AC5"/>
    <w:rsid w:val="00963B1F"/>
    <w:rsid w:val="00963B93"/>
    <w:rsid w:val="00963E6E"/>
    <w:rsid w:val="0096402A"/>
    <w:rsid w:val="00964182"/>
    <w:rsid w:val="00964294"/>
    <w:rsid w:val="009644F0"/>
    <w:rsid w:val="0096473C"/>
    <w:rsid w:val="00964828"/>
    <w:rsid w:val="00964BC4"/>
    <w:rsid w:val="009655EA"/>
    <w:rsid w:val="00965802"/>
    <w:rsid w:val="0096590E"/>
    <w:rsid w:val="009659DF"/>
    <w:rsid w:val="00965A75"/>
    <w:rsid w:val="00965BB6"/>
    <w:rsid w:val="00965CE5"/>
    <w:rsid w:val="00965E97"/>
    <w:rsid w:val="00965F84"/>
    <w:rsid w:val="00965F87"/>
    <w:rsid w:val="00965FC4"/>
    <w:rsid w:val="00966075"/>
    <w:rsid w:val="00966167"/>
    <w:rsid w:val="00966322"/>
    <w:rsid w:val="009663F3"/>
    <w:rsid w:val="009664BB"/>
    <w:rsid w:val="0096656C"/>
    <w:rsid w:val="009667CA"/>
    <w:rsid w:val="009668B0"/>
    <w:rsid w:val="00966910"/>
    <w:rsid w:val="0096691D"/>
    <w:rsid w:val="00966930"/>
    <w:rsid w:val="00966944"/>
    <w:rsid w:val="009669FB"/>
    <w:rsid w:val="00966B1F"/>
    <w:rsid w:val="00966B28"/>
    <w:rsid w:val="00966BCD"/>
    <w:rsid w:val="00966BCE"/>
    <w:rsid w:val="00966D0E"/>
    <w:rsid w:val="00966D8A"/>
    <w:rsid w:val="009670EB"/>
    <w:rsid w:val="00967267"/>
    <w:rsid w:val="009672A2"/>
    <w:rsid w:val="0096738C"/>
    <w:rsid w:val="0096746C"/>
    <w:rsid w:val="0096767E"/>
    <w:rsid w:val="0096792A"/>
    <w:rsid w:val="00967D59"/>
    <w:rsid w:val="00970083"/>
    <w:rsid w:val="0097015E"/>
    <w:rsid w:val="009703B5"/>
    <w:rsid w:val="009703BA"/>
    <w:rsid w:val="0097090B"/>
    <w:rsid w:val="00970DC7"/>
    <w:rsid w:val="009711B9"/>
    <w:rsid w:val="00971266"/>
    <w:rsid w:val="009712D0"/>
    <w:rsid w:val="009714CB"/>
    <w:rsid w:val="0097150E"/>
    <w:rsid w:val="00971535"/>
    <w:rsid w:val="00971645"/>
    <w:rsid w:val="009718B9"/>
    <w:rsid w:val="009718D0"/>
    <w:rsid w:val="00971B2B"/>
    <w:rsid w:val="00971E0D"/>
    <w:rsid w:val="00971F59"/>
    <w:rsid w:val="00972098"/>
    <w:rsid w:val="009720F6"/>
    <w:rsid w:val="009721E3"/>
    <w:rsid w:val="00972322"/>
    <w:rsid w:val="00972393"/>
    <w:rsid w:val="00972409"/>
    <w:rsid w:val="0097245A"/>
    <w:rsid w:val="0097279B"/>
    <w:rsid w:val="009727F6"/>
    <w:rsid w:val="00972873"/>
    <w:rsid w:val="00972E87"/>
    <w:rsid w:val="0097314E"/>
    <w:rsid w:val="009732BE"/>
    <w:rsid w:val="00973357"/>
    <w:rsid w:val="00973394"/>
    <w:rsid w:val="0097366C"/>
    <w:rsid w:val="009738B8"/>
    <w:rsid w:val="00973972"/>
    <w:rsid w:val="00973BD5"/>
    <w:rsid w:val="00973BF7"/>
    <w:rsid w:val="00973C62"/>
    <w:rsid w:val="00973D18"/>
    <w:rsid w:val="00973D6B"/>
    <w:rsid w:val="00973E49"/>
    <w:rsid w:val="00973E88"/>
    <w:rsid w:val="00973ECE"/>
    <w:rsid w:val="00974139"/>
    <w:rsid w:val="0097418A"/>
    <w:rsid w:val="009741CC"/>
    <w:rsid w:val="00974BE4"/>
    <w:rsid w:val="00974D81"/>
    <w:rsid w:val="0097503F"/>
    <w:rsid w:val="009750D2"/>
    <w:rsid w:val="0097530E"/>
    <w:rsid w:val="0097549F"/>
    <w:rsid w:val="0097567F"/>
    <w:rsid w:val="00975803"/>
    <w:rsid w:val="009758D8"/>
    <w:rsid w:val="00975959"/>
    <w:rsid w:val="009759C5"/>
    <w:rsid w:val="00975CC7"/>
    <w:rsid w:val="00976069"/>
    <w:rsid w:val="009762D9"/>
    <w:rsid w:val="0097630C"/>
    <w:rsid w:val="00976349"/>
    <w:rsid w:val="009764D4"/>
    <w:rsid w:val="00976839"/>
    <w:rsid w:val="00976C76"/>
    <w:rsid w:val="00976C79"/>
    <w:rsid w:val="00976F47"/>
    <w:rsid w:val="00977540"/>
    <w:rsid w:val="009778F4"/>
    <w:rsid w:val="009779FA"/>
    <w:rsid w:val="00977B45"/>
    <w:rsid w:val="00977C53"/>
    <w:rsid w:val="00977DF1"/>
    <w:rsid w:val="00977F9A"/>
    <w:rsid w:val="009803FA"/>
    <w:rsid w:val="00980624"/>
    <w:rsid w:val="00980977"/>
    <w:rsid w:val="00980A90"/>
    <w:rsid w:val="00980BFD"/>
    <w:rsid w:val="00980CBB"/>
    <w:rsid w:val="00980CEB"/>
    <w:rsid w:val="00980D3A"/>
    <w:rsid w:val="00980E51"/>
    <w:rsid w:val="00980ED3"/>
    <w:rsid w:val="009810A3"/>
    <w:rsid w:val="009810FC"/>
    <w:rsid w:val="00981199"/>
    <w:rsid w:val="00981204"/>
    <w:rsid w:val="009813CD"/>
    <w:rsid w:val="009814BD"/>
    <w:rsid w:val="009819C2"/>
    <w:rsid w:val="009820FC"/>
    <w:rsid w:val="00982A4C"/>
    <w:rsid w:val="00982AF3"/>
    <w:rsid w:val="00982E6F"/>
    <w:rsid w:val="00983077"/>
    <w:rsid w:val="00983084"/>
    <w:rsid w:val="00983133"/>
    <w:rsid w:val="009831A2"/>
    <w:rsid w:val="0098344C"/>
    <w:rsid w:val="00983733"/>
    <w:rsid w:val="00983739"/>
    <w:rsid w:val="0098377A"/>
    <w:rsid w:val="009839EE"/>
    <w:rsid w:val="00983AAA"/>
    <w:rsid w:val="00983ABA"/>
    <w:rsid w:val="0098400E"/>
    <w:rsid w:val="0098411F"/>
    <w:rsid w:val="009841A5"/>
    <w:rsid w:val="009841AD"/>
    <w:rsid w:val="009844AF"/>
    <w:rsid w:val="009844E9"/>
    <w:rsid w:val="00984713"/>
    <w:rsid w:val="00984827"/>
    <w:rsid w:val="0098495D"/>
    <w:rsid w:val="0098498F"/>
    <w:rsid w:val="009849D8"/>
    <w:rsid w:val="00984A2A"/>
    <w:rsid w:val="00984B88"/>
    <w:rsid w:val="00984BC5"/>
    <w:rsid w:val="00984C56"/>
    <w:rsid w:val="00984E01"/>
    <w:rsid w:val="00985352"/>
    <w:rsid w:val="00985475"/>
    <w:rsid w:val="00985699"/>
    <w:rsid w:val="009856F4"/>
    <w:rsid w:val="00985833"/>
    <w:rsid w:val="00985881"/>
    <w:rsid w:val="009859CD"/>
    <w:rsid w:val="00985AB1"/>
    <w:rsid w:val="00985CA4"/>
    <w:rsid w:val="00985EBF"/>
    <w:rsid w:val="00985ED6"/>
    <w:rsid w:val="009865B3"/>
    <w:rsid w:val="009865E8"/>
    <w:rsid w:val="009869C8"/>
    <w:rsid w:val="00986A9D"/>
    <w:rsid w:val="00986AC7"/>
    <w:rsid w:val="00986D84"/>
    <w:rsid w:val="00986DC3"/>
    <w:rsid w:val="00986E43"/>
    <w:rsid w:val="00986FA0"/>
    <w:rsid w:val="00986FEF"/>
    <w:rsid w:val="0098702C"/>
    <w:rsid w:val="00987116"/>
    <w:rsid w:val="00987622"/>
    <w:rsid w:val="009878FC"/>
    <w:rsid w:val="009879BD"/>
    <w:rsid w:val="00987ACF"/>
    <w:rsid w:val="00987B14"/>
    <w:rsid w:val="00987B49"/>
    <w:rsid w:val="00987C72"/>
    <w:rsid w:val="00987D48"/>
    <w:rsid w:val="00990247"/>
    <w:rsid w:val="00990535"/>
    <w:rsid w:val="0099090D"/>
    <w:rsid w:val="00990981"/>
    <w:rsid w:val="00990D97"/>
    <w:rsid w:val="00990DAC"/>
    <w:rsid w:val="00990F7A"/>
    <w:rsid w:val="0099105A"/>
    <w:rsid w:val="00991219"/>
    <w:rsid w:val="0099137C"/>
    <w:rsid w:val="009917ED"/>
    <w:rsid w:val="009917F6"/>
    <w:rsid w:val="00991853"/>
    <w:rsid w:val="0099197E"/>
    <w:rsid w:val="009919CB"/>
    <w:rsid w:val="00991E1B"/>
    <w:rsid w:val="00991E26"/>
    <w:rsid w:val="00991F6F"/>
    <w:rsid w:val="00992058"/>
    <w:rsid w:val="0099217A"/>
    <w:rsid w:val="009923B0"/>
    <w:rsid w:val="00992417"/>
    <w:rsid w:val="00992443"/>
    <w:rsid w:val="0099297A"/>
    <w:rsid w:val="00992CD7"/>
    <w:rsid w:val="00992D1D"/>
    <w:rsid w:val="00992D8E"/>
    <w:rsid w:val="00992EC2"/>
    <w:rsid w:val="00993055"/>
    <w:rsid w:val="00993299"/>
    <w:rsid w:val="009932DE"/>
    <w:rsid w:val="00993AF7"/>
    <w:rsid w:val="00993C5D"/>
    <w:rsid w:val="00994173"/>
    <w:rsid w:val="009945F8"/>
    <w:rsid w:val="0099462A"/>
    <w:rsid w:val="009946F5"/>
    <w:rsid w:val="009947C7"/>
    <w:rsid w:val="00994832"/>
    <w:rsid w:val="00994B59"/>
    <w:rsid w:val="00994F30"/>
    <w:rsid w:val="0099501F"/>
    <w:rsid w:val="009954AA"/>
    <w:rsid w:val="00995607"/>
    <w:rsid w:val="00995668"/>
    <w:rsid w:val="00995A2B"/>
    <w:rsid w:val="00995EBC"/>
    <w:rsid w:val="009961C2"/>
    <w:rsid w:val="00996348"/>
    <w:rsid w:val="009966E3"/>
    <w:rsid w:val="00996753"/>
    <w:rsid w:val="00996952"/>
    <w:rsid w:val="00996A92"/>
    <w:rsid w:val="00996C2F"/>
    <w:rsid w:val="00996D6D"/>
    <w:rsid w:val="00996E6E"/>
    <w:rsid w:val="00996F2F"/>
    <w:rsid w:val="00996F67"/>
    <w:rsid w:val="009971C7"/>
    <w:rsid w:val="00997473"/>
    <w:rsid w:val="0099750E"/>
    <w:rsid w:val="00997534"/>
    <w:rsid w:val="00997578"/>
    <w:rsid w:val="009976F3"/>
    <w:rsid w:val="00997724"/>
    <w:rsid w:val="009977C6"/>
    <w:rsid w:val="0099789C"/>
    <w:rsid w:val="0099799F"/>
    <w:rsid w:val="00997CBF"/>
    <w:rsid w:val="00997E96"/>
    <w:rsid w:val="00997F45"/>
    <w:rsid w:val="00997FDB"/>
    <w:rsid w:val="009A014E"/>
    <w:rsid w:val="009A0435"/>
    <w:rsid w:val="009A0833"/>
    <w:rsid w:val="009A08A8"/>
    <w:rsid w:val="009A0CAE"/>
    <w:rsid w:val="009A0CE7"/>
    <w:rsid w:val="009A0CF0"/>
    <w:rsid w:val="009A0DA9"/>
    <w:rsid w:val="009A0E18"/>
    <w:rsid w:val="009A0F34"/>
    <w:rsid w:val="009A101A"/>
    <w:rsid w:val="009A1037"/>
    <w:rsid w:val="009A12EB"/>
    <w:rsid w:val="009A13B7"/>
    <w:rsid w:val="009A143C"/>
    <w:rsid w:val="009A1455"/>
    <w:rsid w:val="009A1488"/>
    <w:rsid w:val="009A1579"/>
    <w:rsid w:val="009A17DD"/>
    <w:rsid w:val="009A184B"/>
    <w:rsid w:val="009A192C"/>
    <w:rsid w:val="009A1A26"/>
    <w:rsid w:val="009A1DDB"/>
    <w:rsid w:val="009A1E2A"/>
    <w:rsid w:val="009A1EDB"/>
    <w:rsid w:val="009A1F28"/>
    <w:rsid w:val="009A20BD"/>
    <w:rsid w:val="009A23D6"/>
    <w:rsid w:val="009A24C3"/>
    <w:rsid w:val="009A2636"/>
    <w:rsid w:val="009A28A7"/>
    <w:rsid w:val="009A2B28"/>
    <w:rsid w:val="009A334A"/>
    <w:rsid w:val="009A388F"/>
    <w:rsid w:val="009A398F"/>
    <w:rsid w:val="009A3AC8"/>
    <w:rsid w:val="009A3ED7"/>
    <w:rsid w:val="009A4172"/>
    <w:rsid w:val="009A4303"/>
    <w:rsid w:val="009A45AF"/>
    <w:rsid w:val="009A47B5"/>
    <w:rsid w:val="009A482A"/>
    <w:rsid w:val="009A48BB"/>
    <w:rsid w:val="009A4A32"/>
    <w:rsid w:val="009A4FBA"/>
    <w:rsid w:val="009A5292"/>
    <w:rsid w:val="009A530B"/>
    <w:rsid w:val="009A53C1"/>
    <w:rsid w:val="009A55ED"/>
    <w:rsid w:val="009A562A"/>
    <w:rsid w:val="009A59C9"/>
    <w:rsid w:val="009A5BB4"/>
    <w:rsid w:val="009A5D4D"/>
    <w:rsid w:val="009A5E12"/>
    <w:rsid w:val="009A5E32"/>
    <w:rsid w:val="009A5EB4"/>
    <w:rsid w:val="009A604C"/>
    <w:rsid w:val="009A612E"/>
    <w:rsid w:val="009A627A"/>
    <w:rsid w:val="009A64EC"/>
    <w:rsid w:val="009A67C5"/>
    <w:rsid w:val="009A686C"/>
    <w:rsid w:val="009A6945"/>
    <w:rsid w:val="009A6A92"/>
    <w:rsid w:val="009A6B4A"/>
    <w:rsid w:val="009A6B9A"/>
    <w:rsid w:val="009A6DB6"/>
    <w:rsid w:val="009A6E02"/>
    <w:rsid w:val="009A70C1"/>
    <w:rsid w:val="009A731B"/>
    <w:rsid w:val="009A770B"/>
    <w:rsid w:val="009A7765"/>
    <w:rsid w:val="009A7904"/>
    <w:rsid w:val="009A7ABA"/>
    <w:rsid w:val="009A7B23"/>
    <w:rsid w:val="009A7B93"/>
    <w:rsid w:val="009A7BBB"/>
    <w:rsid w:val="009A7CA1"/>
    <w:rsid w:val="009A7E2C"/>
    <w:rsid w:val="009B00D4"/>
    <w:rsid w:val="009B0138"/>
    <w:rsid w:val="009B023A"/>
    <w:rsid w:val="009B0272"/>
    <w:rsid w:val="009B045A"/>
    <w:rsid w:val="009B0667"/>
    <w:rsid w:val="009B0696"/>
    <w:rsid w:val="009B0883"/>
    <w:rsid w:val="009B09F7"/>
    <w:rsid w:val="009B0A92"/>
    <w:rsid w:val="009B0C30"/>
    <w:rsid w:val="009B0D69"/>
    <w:rsid w:val="009B0D94"/>
    <w:rsid w:val="009B1244"/>
    <w:rsid w:val="009B13EB"/>
    <w:rsid w:val="009B1462"/>
    <w:rsid w:val="009B19BF"/>
    <w:rsid w:val="009B19EB"/>
    <w:rsid w:val="009B1B9D"/>
    <w:rsid w:val="009B1D3D"/>
    <w:rsid w:val="009B1D7C"/>
    <w:rsid w:val="009B215D"/>
    <w:rsid w:val="009B2745"/>
    <w:rsid w:val="009B2843"/>
    <w:rsid w:val="009B2CD6"/>
    <w:rsid w:val="009B2DCA"/>
    <w:rsid w:val="009B30A1"/>
    <w:rsid w:val="009B326E"/>
    <w:rsid w:val="009B32D5"/>
    <w:rsid w:val="009B38BB"/>
    <w:rsid w:val="009B38F1"/>
    <w:rsid w:val="009B3E58"/>
    <w:rsid w:val="009B3F82"/>
    <w:rsid w:val="009B4034"/>
    <w:rsid w:val="009B432C"/>
    <w:rsid w:val="009B4397"/>
    <w:rsid w:val="009B44E6"/>
    <w:rsid w:val="009B4561"/>
    <w:rsid w:val="009B4B77"/>
    <w:rsid w:val="009B4EF2"/>
    <w:rsid w:val="009B513B"/>
    <w:rsid w:val="009B5663"/>
    <w:rsid w:val="009B5A9A"/>
    <w:rsid w:val="009B6564"/>
    <w:rsid w:val="009B65F3"/>
    <w:rsid w:val="009B67CA"/>
    <w:rsid w:val="009B68D1"/>
    <w:rsid w:val="009B6D5B"/>
    <w:rsid w:val="009B6DF5"/>
    <w:rsid w:val="009B6EEA"/>
    <w:rsid w:val="009B705D"/>
    <w:rsid w:val="009B7082"/>
    <w:rsid w:val="009B72BF"/>
    <w:rsid w:val="009B7499"/>
    <w:rsid w:val="009B767A"/>
    <w:rsid w:val="009B76DD"/>
    <w:rsid w:val="009B78E0"/>
    <w:rsid w:val="009B7902"/>
    <w:rsid w:val="009B7A49"/>
    <w:rsid w:val="009B7A89"/>
    <w:rsid w:val="009B7BF1"/>
    <w:rsid w:val="009C0120"/>
    <w:rsid w:val="009C01D5"/>
    <w:rsid w:val="009C02F9"/>
    <w:rsid w:val="009C054F"/>
    <w:rsid w:val="009C0571"/>
    <w:rsid w:val="009C08E3"/>
    <w:rsid w:val="009C0C69"/>
    <w:rsid w:val="009C0F39"/>
    <w:rsid w:val="009C10D2"/>
    <w:rsid w:val="009C1170"/>
    <w:rsid w:val="009C13C9"/>
    <w:rsid w:val="009C1B8A"/>
    <w:rsid w:val="009C1D51"/>
    <w:rsid w:val="009C1EE0"/>
    <w:rsid w:val="009C1F81"/>
    <w:rsid w:val="009C208B"/>
    <w:rsid w:val="009C22DC"/>
    <w:rsid w:val="009C2302"/>
    <w:rsid w:val="009C254C"/>
    <w:rsid w:val="009C2C7B"/>
    <w:rsid w:val="009C2E0B"/>
    <w:rsid w:val="009C2EFA"/>
    <w:rsid w:val="009C3035"/>
    <w:rsid w:val="009C340C"/>
    <w:rsid w:val="009C35C2"/>
    <w:rsid w:val="009C3A15"/>
    <w:rsid w:val="009C3C89"/>
    <w:rsid w:val="009C3CC5"/>
    <w:rsid w:val="009C3D6D"/>
    <w:rsid w:val="009C3D90"/>
    <w:rsid w:val="009C4121"/>
    <w:rsid w:val="009C4613"/>
    <w:rsid w:val="009C4836"/>
    <w:rsid w:val="009C485C"/>
    <w:rsid w:val="009C4B0E"/>
    <w:rsid w:val="009C4CE4"/>
    <w:rsid w:val="009C4D4F"/>
    <w:rsid w:val="009C4E73"/>
    <w:rsid w:val="009C505C"/>
    <w:rsid w:val="009C5161"/>
    <w:rsid w:val="009C54BA"/>
    <w:rsid w:val="009C5569"/>
    <w:rsid w:val="009C55B3"/>
    <w:rsid w:val="009C58E1"/>
    <w:rsid w:val="009C59DC"/>
    <w:rsid w:val="009C5C2B"/>
    <w:rsid w:val="009C5DAC"/>
    <w:rsid w:val="009C5DFA"/>
    <w:rsid w:val="009C6127"/>
    <w:rsid w:val="009C6351"/>
    <w:rsid w:val="009C66CB"/>
    <w:rsid w:val="009C6B68"/>
    <w:rsid w:val="009C6CEB"/>
    <w:rsid w:val="009C6DA9"/>
    <w:rsid w:val="009C6DEA"/>
    <w:rsid w:val="009C6EE2"/>
    <w:rsid w:val="009C6FF1"/>
    <w:rsid w:val="009C7040"/>
    <w:rsid w:val="009C70C7"/>
    <w:rsid w:val="009C7394"/>
    <w:rsid w:val="009C745D"/>
    <w:rsid w:val="009C74AA"/>
    <w:rsid w:val="009C75DD"/>
    <w:rsid w:val="009C77E3"/>
    <w:rsid w:val="009C77F9"/>
    <w:rsid w:val="009C7809"/>
    <w:rsid w:val="009C7859"/>
    <w:rsid w:val="009C7880"/>
    <w:rsid w:val="009C78FF"/>
    <w:rsid w:val="009C79FA"/>
    <w:rsid w:val="009C7A54"/>
    <w:rsid w:val="009C7A6E"/>
    <w:rsid w:val="009C7D97"/>
    <w:rsid w:val="009D0094"/>
    <w:rsid w:val="009D0274"/>
    <w:rsid w:val="009D0301"/>
    <w:rsid w:val="009D03AD"/>
    <w:rsid w:val="009D052B"/>
    <w:rsid w:val="009D0571"/>
    <w:rsid w:val="009D0635"/>
    <w:rsid w:val="009D06BA"/>
    <w:rsid w:val="009D06C6"/>
    <w:rsid w:val="009D0768"/>
    <w:rsid w:val="009D07B5"/>
    <w:rsid w:val="009D08C8"/>
    <w:rsid w:val="009D09D5"/>
    <w:rsid w:val="009D0D5F"/>
    <w:rsid w:val="009D1170"/>
    <w:rsid w:val="009D13E7"/>
    <w:rsid w:val="009D1ADA"/>
    <w:rsid w:val="009D1C0B"/>
    <w:rsid w:val="009D1CAE"/>
    <w:rsid w:val="009D1D0E"/>
    <w:rsid w:val="009D1D11"/>
    <w:rsid w:val="009D1E93"/>
    <w:rsid w:val="009D2281"/>
    <w:rsid w:val="009D2413"/>
    <w:rsid w:val="009D2679"/>
    <w:rsid w:val="009D2785"/>
    <w:rsid w:val="009D2AA5"/>
    <w:rsid w:val="009D2BD5"/>
    <w:rsid w:val="009D2CD7"/>
    <w:rsid w:val="009D2DF9"/>
    <w:rsid w:val="009D2EC1"/>
    <w:rsid w:val="009D2F05"/>
    <w:rsid w:val="009D309A"/>
    <w:rsid w:val="009D3239"/>
    <w:rsid w:val="009D328D"/>
    <w:rsid w:val="009D32AB"/>
    <w:rsid w:val="009D3727"/>
    <w:rsid w:val="009D38C1"/>
    <w:rsid w:val="009D3A3A"/>
    <w:rsid w:val="009D3CB1"/>
    <w:rsid w:val="009D4080"/>
    <w:rsid w:val="009D4096"/>
    <w:rsid w:val="009D4121"/>
    <w:rsid w:val="009D417C"/>
    <w:rsid w:val="009D41FF"/>
    <w:rsid w:val="009D44D5"/>
    <w:rsid w:val="009D4663"/>
    <w:rsid w:val="009D4788"/>
    <w:rsid w:val="009D47C7"/>
    <w:rsid w:val="009D495B"/>
    <w:rsid w:val="009D4CA5"/>
    <w:rsid w:val="009D4E38"/>
    <w:rsid w:val="009D4F65"/>
    <w:rsid w:val="009D4FDD"/>
    <w:rsid w:val="009D5219"/>
    <w:rsid w:val="009D527D"/>
    <w:rsid w:val="009D55AF"/>
    <w:rsid w:val="009D5821"/>
    <w:rsid w:val="009D5B87"/>
    <w:rsid w:val="009D5CFB"/>
    <w:rsid w:val="009D5F99"/>
    <w:rsid w:val="009D6097"/>
    <w:rsid w:val="009D621E"/>
    <w:rsid w:val="009D66F4"/>
    <w:rsid w:val="009D6849"/>
    <w:rsid w:val="009D689D"/>
    <w:rsid w:val="009D6ABF"/>
    <w:rsid w:val="009D6CE0"/>
    <w:rsid w:val="009D6D24"/>
    <w:rsid w:val="009D6D58"/>
    <w:rsid w:val="009D7238"/>
    <w:rsid w:val="009D724D"/>
    <w:rsid w:val="009D744E"/>
    <w:rsid w:val="009D7599"/>
    <w:rsid w:val="009D75BA"/>
    <w:rsid w:val="009D7674"/>
    <w:rsid w:val="009D7814"/>
    <w:rsid w:val="009D7A38"/>
    <w:rsid w:val="009D7B2C"/>
    <w:rsid w:val="009E002A"/>
    <w:rsid w:val="009E0256"/>
    <w:rsid w:val="009E03A7"/>
    <w:rsid w:val="009E0557"/>
    <w:rsid w:val="009E07CE"/>
    <w:rsid w:val="009E0ABB"/>
    <w:rsid w:val="009E0B34"/>
    <w:rsid w:val="009E0D61"/>
    <w:rsid w:val="009E0F4D"/>
    <w:rsid w:val="009E0F91"/>
    <w:rsid w:val="009E12B8"/>
    <w:rsid w:val="009E17D5"/>
    <w:rsid w:val="009E19A7"/>
    <w:rsid w:val="009E1D78"/>
    <w:rsid w:val="009E2091"/>
    <w:rsid w:val="009E2253"/>
    <w:rsid w:val="009E230A"/>
    <w:rsid w:val="009E23F1"/>
    <w:rsid w:val="009E2860"/>
    <w:rsid w:val="009E296B"/>
    <w:rsid w:val="009E2993"/>
    <w:rsid w:val="009E2A6F"/>
    <w:rsid w:val="009E2DB5"/>
    <w:rsid w:val="009E316F"/>
    <w:rsid w:val="009E342B"/>
    <w:rsid w:val="009E372C"/>
    <w:rsid w:val="009E37D5"/>
    <w:rsid w:val="009E37F5"/>
    <w:rsid w:val="009E387A"/>
    <w:rsid w:val="009E3970"/>
    <w:rsid w:val="009E3980"/>
    <w:rsid w:val="009E3986"/>
    <w:rsid w:val="009E3A48"/>
    <w:rsid w:val="009E3B33"/>
    <w:rsid w:val="009E3D4A"/>
    <w:rsid w:val="009E3DBF"/>
    <w:rsid w:val="009E3F9B"/>
    <w:rsid w:val="009E3FD2"/>
    <w:rsid w:val="009E40DC"/>
    <w:rsid w:val="009E442C"/>
    <w:rsid w:val="009E46B2"/>
    <w:rsid w:val="009E499E"/>
    <w:rsid w:val="009E4CF7"/>
    <w:rsid w:val="009E4F70"/>
    <w:rsid w:val="009E532D"/>
    <w:rsid w:val="009E5355"/>
    <w:rsid w:val="009E5522"/>
    <w:rsid w:val="009E5875"/>
    <w:rsid w:val="009E5A94"/>
    <w:rsid w:val="009E5B3B"/>
    <w:rsid w:val="009E5BD0"/>
    <w:rsid w:val="009E60CD"/>
    <w:rsid w:val="009E6147"/>
    <w:rsid w:val="009E61C8"/>
    <w:rsid w:val="009E6497"/>
    <w:rsid w:val="009E64BD"/>
    <w:rsid w:val="009E6882"/>
    <w:rsid w:val="009E68D3"/>
    <w:rsid w:val="009E6949"/>
    <w:rsid w:val="009E6972"/>
    <w:rsid w:val="009E6B6D"/>
    <w:rsid w:val="009E6B86"/>
    <w:rsid w:val="009E6CC2"/>
    <w:rsid w:val="009E6CE6"/>
    <w:rsid w:val="009E6DDA"/>
    <w:rsid w:val="009E6F05"/>
    <w:rsid w:val="009E727E"/>
    <w:rsid w:val="009E72DE"/>
    <w:rsid w:val="009E73A0"/>
    <w:rsid w:val="009E7875"/>
    <w:rsid w:val="009E7981"/>
    <w:rsid w:val="009E7CFF"/>
    <w:rsid w:val="009E7E4F"/>
    <w:rsid w:val="009E7FA8"/>
    <w:rsid w:val="009F0004"/>
    <w:rsid w:val="009F007F"/>
    <w:rsid w:val="009F0163"/>
    <w:rsid w:val="009F03A2"/>
    <w:rsid w:val="009F066F"/>
    <w:rsid w:val="009F06D7"/>
    <w:rsid w:val="009F0733"/>
    <w:rsid w:val="009F07A3"/>
    <w:rsid w:val="009F0BB2"/>
    <w:rsid w:val="009F0CBD"/>
    <w:rsid w:val="009F0D8A"/>
    <w:rsid w:val="009F0F6D"/>
    <w:rsid w:val="009F12A2"/>
    <w:rsid w:val="009F13BE"/>
    <w:rsid w:val="009F1416"/>
    <w:rsid w:val="009F1575"/>
    <w:rsid w:val="009F1791"/>
    <w:rsid w:val="009F17E0"/>
    <w:rsid w:val="009F19DE"/>
    <w:rsid w:val="009F1B1B"/>
    <w:rsid w:val="009F1B74"/>
    <w:rsid w:val="009F1BB0"/>
    <w:rsid w:val="009F22B5"/>
    <w:rsid w:val="009F2702"/>
    <w:rsid w:val="009F272A"/>
    <w:rsid w:val="009F2AC4"/>
    <w:rsid w:val="009F2BB1"/>
    <w:rsid w:val="009F2F36"/>
    <w:rsid w:val="009F32A3"/>
    <w:rsid w:val="009F3392"/>
    <w:rsid w:val="009F3793"/>
    <w:rsid w:val="009F37B4"/>
    <w:rsid w:val="009F3941"/>
    <w:rsid w:val="009F3949"/>
    <w:rsid w:val="009F3A35"/>
    <w:rsid w:val="009F3A68"/>
    <w:rsid w:val="009F3A6A"/>
    <w:rsid w:val="009F3DFA"/>
    <w:rsid w:val="009F3F3E"/>
    <w:rsid w:val="009F42CC"/>
    <w:rsid w:val="009F4339"/>
    <w:rsid w:val="009F4555"/>
    <w:rsid w:val="009F464E"/>
    <w:rsid w:val="009F485C"/>
    <w:rsid w:val="009F493C"/>
    <w:rsid w:val="009F4AD4"/>
    <w:rsid w:val="009F4D9E"/>
    <w:rsid w:val="009F4EF7"/>
    <w:rsid w:val="009F4FA6"/>
    <w:rsid w:val="009F500B"/>
    <w:rsid w:val="009F50D2"/>
    <w:rsid w:val="009F51C0"/>
    <w:rsid w:val="009F51FA"/>
    <w:rsid w:val="009F5334"/>
    <w:rsid w:val="009F5363"/>
    <w:rsid w:val="009F53D6"/>
    <w:rsid w:val="009F53DE"/>
    <w:rsid w:val="009F5601"/>
    <w:rsid w:val="009F56EC"/>
    <w:rsid w:val="009F575C"/>
    <w:rsid w:val="009F5B80"/>
    <w:rsid w:val="009F5CD9"/>
    <w:rsid w:val="009F610A"/>
    <w:rsid w:val="009F62BE"/>
    <w:rsid w:val="009F65C5"/>
    <w:rsid w:val="009F6646"/>
    <w:rsid w:val="009F66A2"/>
    <w:rsid w:val="009F6C7A"/>
    <w:rsid w:val="009F7012"/>
    <w:rsid w:val="009F706A"/>
    <w:rsid w:val="009F75CE"/>
    <w:rsid w:val="009F77C2"/>
    <w:rsid w:val="009F78F6"/>
    <w:rsid w:val="009F7BD7"/>
    <w:rsid w:val="009F7CCA"/>
    <w:rsid w:val="009F7E3E"/>
    <w:rsid w:val="009F7EC8"/>
    <w:rsid w:val="009F7EDD"/>
    <w:rsid w:val="009F7F92"/>
    <w:rsid w:val="00A0010D"/>
    <w:rsid w:val="00A00353"/>
    <w:rsid w:val="00A00389"/>
    <w:rsid w:val="00A0052E"/>
    <w:rsid w:val="00A0064F"/>
    <w:rsid w:val="00A00792"/>
    <w:rsid w:val="00A007B5"/>
    <w:rsid w:val="00A00AA4"/>
    <w:rsid w:val="00A00AD6"/>
    <w:rsid w:val="00A00CDA"/>
    <w:rsid w:val="00A00DAE"/>
    <w:rsid w:val="00A00F48"/>
    <w:rsid w:val="00A010F8"/>
    <w:rsid w:val="00A012CC"/>
    <w:rsid w:val="00A01334"/>
    <w:rsid w:val="00A01662"/>
    <w:rsid w:val="00A01CA1"/>
    <w:rsid w:val="00A01D5E"/>
    <w:rsid w:val="00A02099"/>
    <w:rsid w:val="00A0235E"/>
    <w:rsid w:val="00A02463"/>
    <w:rsid w:val="00A02689"/>
    <w:rsid w:val="00A02E09"/>
    <w:rsid w:val="00A02E11"/>
    <w:rsid w:val="00A02F9E"/>
    <w:rsid w:val="00A0310B"/>
    <w:rsid w:val="00A031BB"/>
    <w:rsid w:val="00A03693"/>
    <w:rsid w:val="00A037C9"/>
    <w:rsid w:val="00A03980"/>
    <w:rsid w:val="00A039F6"/>
    <w:rsid w:val="00A03A10"/>
    <w:rsid w:val="00A03A94"/>
    <w:rsid w:val="00A03AB0"/>
    <w:rsid w:val="00A03B68"/>
    <w:rsid w:val="00A03C8E"/>
    <w:rsid w:val="00A03DB0"/>
    <w:rsid w:val="00A03E76"/>
    <w:rsid w:val="00A03EBF"/>
    <w:rsid w:val="00A03F95"/>
    <w:rsid w:val="00A03F99"/>
    <w:rsid w:val="00A0446D"/>
    <w:rsid w:val="00A04556"/>
    <w:rsid w:val="00A047F0"/>
    <w:rsid w:val="00A04B0A"/>
    <w:rsid w:val="00A04C7F"/>
    <w:rsid w:val="00A04F8D"/>
    <w:rsid w:val="00A04FAA"/>
    <w:rsid w:val="00A04FCE"/>
    <w:rsid w:val="00A05030"/>
    <w:rsid w:val="00A05096"/>
    <w:rsid w:val="00A051FD"/>
    <w:rsid w:val="00A053D9"/>
    <w:rsid w:val="00A056AB"/>
    <w:rsid w:val="00A0579D"/>
    <w:rsid w:val="00A058A4"/>
    <w:rsid w:val="00A05915"/>
    <w:rsid w:val="00A059E1"/>
    <w:rsid w:val="00A059F1"/>
    <w:rsid w:val="00A05F67"/>
    <w:rsid w:val="00A05F82"/>
    <w:rsid w:val="00A06038"/>
    <w:rsid w:val="00A061EC"/>
    <w:rsid w:val="00A062D6"/>
    <w:rsid w:val="00A0639E"/>
    <w:rsid w:val="00A06438"/>
    <w:rsid w:val="00A06443"/>
    <w:rsid w:val="00A0684F"/>
    <w:rsid w:val="00A06894"/>
    <w:rsid w:val="00A068A9"/>
    <w:rsid w:val="00A068AE"/>
    <w:rsid w:val="00A068C5"/>
    <w:rsid w:val="00A0692B"/>
    <w:rsid w:val="00A06976"/>
    <w:rsid w:val="00A069D9"/>
    <w:rsid w:val="00A06AA1"/>
    <w:rsid w:val="00A06CCF"/>
    <w:rsid w:val="00A06D2B"/>
    <w:rsid w:val="00A07223"/>
    <w:rsid w:val="00A07379"/>
    <w:rsid w:val="00A07433"/>
    <w:rsid w:val="00A07465"/>
    <w:rsid w:val="00A0774D"/>
    <w:rsid w:val="00A079C7"/>
    <w:rsid w:val="00A07B4D"/>
    <w:rsid w:val="00A101DD"/>
    <w:rsid w:val="00A103CF"/>
    <w:rsid w:val="00A107D9"/>
    <w:rsid w:val="00A10A8A"/>
    <w:rsid w:val="00A10C59"/>
    <w:rsid w:val="00A10C81"/>
    <w:rsid w:val="00A10D33"/>
    <w:rsid w:val="00A11335"/>
    <w:rsid w:val="00A1157C"/>
    <w:rsid w:val="00A1161E"/>
    <w:rsid w:val="00A116B6"/>
    <w:rsid w:val="00A1185E"/>
    <w:rsid w:val="00A11AC8"/>
    <w:rsid w:val="00A11B25"/>
    <w:rsid w:val="00A11C8B"/>
    <w:rsid w:val="00A11F69"/>
    <w:rsid w:val="00A1220E"/>
    <w:rsid w:val="00A12495"/>
    <w:rsid w:val="00A125D9"/>
    <w:rsid w:val="00A12605"/>
    <w:rsid w:val="00A127CB"/>
    <w:rsid w:val="00A12BDB"/>
    <w:rsid w:val="00A12CA9"/>
    <w:rsid w:val="00A12CB3"/>
    <w:rsid w:val="00A12E55"/>
    <w:rsid w:val="00A12F6F"/>
    <w:rsid w:val="00A12F8D"/>
    <w:rsid w:val="00A131FA"/>
    <w:rsid w:val="00A1326E"/>
    <w:rsid w:val="00A13302"/>
    <w:rsid w:val="00A13305"/>
    <w:rsid w:val="00A1352C"/>
    <w:rsid w:val="00A13745"/>
    <w:rsid w:val="00A13D30"/>
    <w:rsid w:val="00A13D94"/>
    <w:rsid w:val="00A13E19"/>
    <w:rsid w:val="00A13F4C"/>
    <w:rsid w:val="00A13FFA"/>
    <w:rsid w:val="00A14063"/>
    <w:rsid w:val="00A144EE"/>
    <w:rsid w:val="00A14521"/>
    <w:rsid w:val="00A146D8"/>
    <w:rsid w:val="00A14700"/>
    <w:rsid w:val="00A14796"/>
    <w:rsid w:val="00A1488D"/>
    <w:rsid w:val="00A1494B"/>
    <w:rsid w:val="00A14968"/>
    <w:rsid w:val="00A14A16"/>
    <w:rsid w:val="00A14C6F"/>
    <w:rsid w:val="00A14CE7"/>
    <w:rsid w:val="00A14D52"/>
    <w:rsid w:val="00A14D95"/>
    <w:rsid w:val="00A14E55"/>
    <w:rsid w:val="00A1506C"/>
    <w:rsid w:val="00A15282"/>
    <w:rsid w:val="00A15381"/>
    <w:rsid w:val="00A153DB"/>
    <w:rsid w:val="00A154CF"/>
    <w:rsid w:val="00A157A1"/>
    <w:rsid w:val="00A1595F"/>
    <w:rsid w:val="00A15CEB"/>
    <w:rsid w:val="00A15D01"/>
    <w:rsid w:val="00A15D3A"/>
    <w:rsid w:val="00A15DFB"/>
    <w:rsid w:val="00A16021"/>
    <w:rsid w:val="00A161A7"/>
    <w:rsid w:val="00A1622E"/>
    <w:rsid w:val="00A1641E"/>
    <w:rsid w:val="00A164DB"/>
    <w:rsid w:val="00A166F8"/>
    <w:rsid w:val="00A1674F"/>
    <w:rsid w:val="00A1677C"/>
    <w:rsid w:val="00A16D33"/>
    <w:rsid w:val="00A16E44"/>
    <w:rsid w:val="00A17083"/>
    <w:rsid w:val="00A17295"/>
    <w:rsid w:val="00A172C4"/>
    <w:rsid w:val="00A174FF"/>
    <w:rsid w:val="00A17528"/>
    <w:rsid w:val="00A17801"/>
    <w:rsid w:val="00A179EF"/>
    <w:rsid w:val="00A17B24"/>
    <w:rsid w:val="00A17BAE"/>
    <w:rsid w:val="00A17F26"/>
    <w:rsid w:val="00A17F5B"/>
    <w:rsid w:val="00A201B9"/>
    <w:rsid w:val="00A203F1"/>
    <w:rsid w:val="00A203F6"/>
    <w:rsid w:val="00A20533"/>
    <w:rsid w:val="00A206A0"/>
    <w:rsid w:val="00A20836"/>
    <w:rsid w:val="00A208DC"/>
    <w:rsid w:val="00A208E8"/>
    <w:rsid w:val="00A20A13"/>
    <w:rsid w:val="00A21081"/>
    <w:rsid w:val="00A21309"/>
    <w:rsid w:val="00A214A3"/>
    <w:rsid w:val="00A2161B"/>
    <w:rsid w:val="00A21936"/>
    <w:rsid w:val="00A219A1"/>
    <w:rsid w:val="00A21D05"/>
    <w:rsid w:val="00A21D7B"/>
    <w:rsid w:val="00A21F53"/>
    <w:rsid w:val="00A21FFD"/>
    <w:rsid w:val="00A223D5"/>
    <w:rsid w:val="00A223D8"/>
    <w:rsid w:val="00A2246F"/>
    <w:rsid w:val="00A225C4"/>
    <w:rsid w:val="00A2262A"/>
    <w:rsid w:val="00A2265E"/>
    <w:rsid w:val="00A22691"/>
    <w:rsid w:val="00A22817"/>
    <w:rsid w:val="00A2281E"/>
    <w:rsid w:val="00A22911"/>
    <w:rsid w:val="00A22BB7"/>
    <w:rsid w:val="00A22DE9"/>
    <w:rsid w:val="00A22E11"/>
    <w:rsid w:val="00A22FDC"/>
    <w:rsid w:val="00A230E6"/>
    <w:rsid w:val="00A2323A"/>
    <w:rsid w:val="00A235CA"/>
    <w:rsid w:val="00A23688"/>
    <w:rsid w:val="00A2385A"/>
    <w:rsid w:val="00A23870"/>
    <w:rsid w:val="00A239FB"/>
    <w:rsid w:val="00A23A5E"/>
    <w:rsid w:val="00A23AA6"/>
    <w:rsid w:val="00A23B4B"/>
    <w:rsid w:val="00A23B88"/>
    <w:rsid w:val="00A243DC"/>
    <w:rsid w:val="00A2453E"/>
    <w:rsid w:val="00A2460D"/>
    <w:rsid w:val="00A24828"/>
    <w:rsid w:val="00A24BD0"/>
    <w:rsid w:val="00A25938"/>
    <w:rsid w:val="00A25D11"/>
    <w:rsid w:val="00A25E11"/>
    <w:rsid w:val="00A2628C"/>
    <w:rsid w:val="00A26311"/>
    <w:rsid w:val="00A265ED"/>
    <w:rsid w:val="00A267B0"/>
    <w:rsid w:val="00A26926"/>
    <w:rsid w:val="00A26C31"/>
    <w:rsid w:val="00A26C41"/>
    <w:rsid w:val="00A26F41"/>
    <w:rsid w:val="00A27189"/>
    <w:rsid w:val="00A272A1"/>
    <w:rsid w:val="00A27372"/>
    <w:rsid w:val="00A273C1"/>
    <w:rsid w:val="00A27404"/>
    <w:rsid w:val="00A27553"/>
    <w:rsid w:val="00A27775"/>
    <w:rsid w:val="00A2783D"/>
    <w:rsid w:val="00A279F9"/>
    <w:rsid w:val="00A27B86"/>
    <w:rsid w:val="00A27F56"/>
    <w:rsid w:val="00A30354"/>
    <w:rsid w:val="00A30759"/>
    <w:rsid w:val="00A30B32"/>
    <w:rsid w:val="00A30CC5"/>
    <w:rsid w:val="00A30D1E"/>
    <w:rsid w:val="00A311D1"/>
    <w:rsid w:val="00A314AD"/>
    <w:rsid w:val="00A314F5"/>
    <w:rsid w:val="00A3165F"/>
    <w:rsid w:val="00A3184A"/>
    <w:rsid w:val="00A31891"/>
    <w:rsid w:val="00A319E8"/>
    <w:rsid w:val="00A31C47"/>
    <w:rsid w:val="00A31C6C"/>
    <w:rsid w:val="00A31CFB"/>
    <w:rsid w:val="00A31E54"/>
    <w:rsid w:val="00A31E92"/>
    <w:rsid w:val="00A3244A"/>
    <w:rsid w:val="00A32843"/>
    <w:rsid w:val="00A32A21"/>
    <w:rsid w:val="00A32C6C"/>
    <w:rsid w:val="00A32CA4"/>
    <w:rsid w:val="00A32CE1"/>
    <w:rsid w:val="00A32E89"/>
    <w:rsid w:val="00A32FFD"/>
    <w:rsid w:val="00A33179"/>
    <w:rsid w:val="00A3343F"/>
    <w:rsid w:val="00A336AF"/>
    <w:rsid w:val="00A33941"/>
    <w:rsid w:val="00A339CC"/>
    <w:rsid w:val="00A339EC"/>
    <w:rsid w:val="00A33B1E"/>
    <w:rsid w:val="00A33D8F"/>
    <w:rsid w:val="00A33F15"/>
    <w:rsid w:val="00A33FBC"/>
    <w:rsid w:val="00A34357"/>
    <w:rsid w:val="00A3435B"/>
    <w:rsid w:val="00A34544"/>
    <w:rsid w:val="00A3464A"/>
    <w:rsid w:val="00A3478E"/>
    <w:rsid w:val="00A347B6"/>
    <w:rsid w:val="00A3491C"/>
    <w:rsid w:val="00A34B41"/>
    <w:rsid w:val="00A34DD1"/>
    <w:rsid w:val="00A34ECD"/>
    <w:rsid w:val="00A35061"/>
    <w:rsid w:val="00A354FD"/>
    <w:rsid w:val="00A35791"/>
    <w:rsid w:val="00A35825"/>
    <w:rsid w:val="00A35A95"/>
    <w:rsid w:val="00A35B52"/>
    <w:rsid w:val="00A35B72"/>
    <w:rsid w:val="00A35DB7"/>
    <w:rsid w:val="00A35F3F"/>
    <w:rsid w:val="00A36057"/>
    <w:rsid w:val="00A363EC"/>
    <w:rsid w:val="00A3643F"/>
    <w:rsid w:val="00A365DB"/>
    <w:rsid w:val="00A3669F"/>
    <w:rsid w:val="00A3678E"/>
    <w:rsid w:val="00A368C8"/>
    <w:rsid w:val="00A36B34"/>
    <w:rsid w:val="00A36B70"/>
    <w:rsid w:val="00A36CF0"/>
    <w:rsid w:val="00A36E48"/>
    <w:rsid w:val="00A36FBC"/>
    <w:rsid w:val="00A373BD"/>
    <w:rsid w:val="00A37428"/>
    <w:rsid w:val="00A37510"/>
    <w:rsid w:val="00A37531"/>
    <w:rsid w:val="00A37645"/>
    <w:rsid w:val="00A379D7"/>
    <w:rsid w:val="00A37BB7"/>
    <w:rsid w:val="00A37DA9"/>
    <w:rsid w:val="00A37E2F"/>
    <w:rsid w:val="00A40474"/>
    <w:rsid w:val="00A404BA"/>
    <w:rsid w:val="00A4065A"/>
    <w:rsid w:val="00A409CF"/>
    <w:rsid w:val="00A40B8F"/>
    <w:rsid w:val="00A40CD6"/>
    <w:rsid w:val="00A40CE0"/>
    <w:rsid w:val="00A40D18"/>
    <w:rsid w:val="00A40D4E"/>
    <w:rsid w:val="00A40E36"/>
    <w:rsid w:val="00A40F23"/>
    <w:rsid w:val="00A40F24"/>
    <w:rsid w:val="00A41021"/>
    <w:rsid w:val="00A411C4"/>
    <w:rsid w:val="00A413C1"/>
    <w:rsid w:val="00A41B0B"/>
    <w:rsid w:val="00A41B2D"/>
    <w:rsid w:val="00A41BAA"/>
    <w:rsid w:val="00A41CEC"/>
    <w:rsid w:val="00A41E12"/>
    <w:rsid w:val="00A421A1"/>
    <w:rsid w:val="00A42359"/>
    <w:rsid w:val="00A423DD"/>
    <w:rsid w:val="00A427AD"/>
    <w:rsid w:val="00A427EF"/>
    <w:rsid w:val="00A4292C"/>
    <w:rsid w:val="00A42CC2"/>
    <w:rsid w:val="00A433A0"/>
    <w:rsid w:val="00A43699"/>
    <w:rsid w:val="00A436E6"/>
    <w:rsid w:val="00A43710"/>
    <w:rsid w:val="00A43C3E"/>
    <w:rsid w:val="00A43D2F"/>
    <w:rsid w:val="00A43D97"/>
    <w:rsid w:val="00A43F53"/>
    <w:rsid w:val="00A43FAA"/>
    <w:rsid w:val="00A44082"/>
    <w:rsid w:val="00A4423E"/>
    <w:rsid w:val="00A44801"/>
    <w:rsid w:val="00A44809"/>
    <w:rsid w:val="00A44A61"/>
    <w:rsid w:val="00A44AD0"/>
    <w:rsid w:val="00A44B8F"/>
    <w:rsid w:val="00A44C30"/>
    <w:rsid w:val="00A45022"/>
    <w:rsid w:val="00A45055"/>
    <w:rsid w:val="00A450F7"/>
    <w:rsid w:val="00A451E4"/>
    <w:rsid w:val="00A458B1"/>
    <w:rsid w:val="00A459C8"/>
    <w:rsid w:val="00A45DD4"/>
    <w:rsid w:val="00A46114"/>
    <w:rsid w:val="00A46217"/>
    <w:rsid w:val="00A46376"/>
    <w:rsid w:val="00A46625"/>
    <w:rsid w:val="00A46838"/>
    <w:rsid w:val="00A4695A"/>
    <w:rsid w:val="00A46C7F"/>
    <w:rsid w:val="00A46E0F"/>
    <w:rsid w:val="00A46F98"/>
    <w:rsid w:val="00A472E8"/>
    <w:rsid w:val="00A47333"/>
    <w:rsid w:val="00A478FF"/>
    <w:rsid w:val="00A4798B"/>
    <w:rsid w:val="00A47B26"/>
    <w:rsid w:val="00A47C85"/>
    <w:rsid w:val="00A47DC4"/>
    <w:rsid w:val="00A47E1F"/>
    <w:rsid w:val="00A50125"/>
    <w:rsid w:val="00A5017D"/>
    <w:rsid w:val="00A50273"/>
    <w:rsid w:val="00A50DEB"/>
    <w:rsid w:val="00A51019"/>
    <w:rsid w:val="00A51038"/>
    <w:rsid w:val="00A512B2"/>
    <w:rsid w:val="00A51315"/>
    <w:rsid w:val="00A51373"/>
    <w:rsid w:val="00A51873"/>
    <w:rsid w:val="00A51BC7"/>
    <w:rsid w:val="00A51C44"/>
    <w:rsid w:val="00A51DFE"/>
    <w:rsid w:val="00A51E9C"/>
    <w:rsid w:val="00A51F3E"/>
    <w:rsid w:val="00A51F53"/>
    <w:rsid w:val="00A51FB4"/>
    <w:rsid w:val="00A52094"/>
    <w:rsid w:val="00A5213B"/>
    <w:rsid w:val="00A52308"/>
    <w:rsid w:val="00A52597"/>
    <w:rsid w:val="00A525C5"/>
    <w:rsid w:val="00A526ED"/>
    <w:rsid w:val="00A529BF"/>
    <w:rsid w:val="00A52AAF"/>
    <w:rsid w:val="00A52B52"/>
    <w:rsid w:val="00A52C47"/>
    <w:rsid w:val="00A52D79"/>
    <w:rsid w:val="00A52D89"/>
    <w:rsid w:val="00A52D96"/>
    <w:rsid w:val="00A52F03"/>
    <w:rsid w:val="00A53259"/>
    <w:rsid w:val="00A5333D"/>
    <w:rsid w:val="00A5342B"/>
    <w:rsid w:val="00A5346D"/>
    <w:rsid w:val="00A53494"/>
    <w:rsid w:val="00A536B5"/>
    <w:rsid w:val="00A54013"/>
    <w:rsid w:val="00A542A7"/>
    <w:rsid w:val="00A542FA"/>
    <w:rsid w:val="00A54556"/>
    <w:rsid w:val="00A54627"/>
    <w:rsid w:val="00A54682"/>
    <w:rsid w:val="00A546AE"/>
    <w:rsid w:val="00A54711"/>
    <w:rsid w:val="00A54755"/>
    <w:rsid w:val="00A54C2E"/>
    <w:rsid w:val="00A54E4E"/>
    <w:rsid w:val="00A54F5A"/>
    <w:rsid w:val="00A54FB7"/>
    <w:rsid w:val="00A55005"/>
    <w:rsid w:val="00A55018"/>
    <w:rsid w:val="00A55059"/>
    <w:rsid w:val="00A550BF"/>
    <w:rsid w:val="00A5515A"/>
    <w:rsid w:val="00A5517E"/>
    <w:rsid w:val="00A552A0"/>
    <w:rsid w:val="00A552F7"/>
    <w:rsid w:val="00A5539C"/>
    <w:rsid w:val="00A55708"/>
    <w:rsid w:val="00A558B1"/>
    <w:rsid w:val="00A558FF"/>
    <w:rsid w:val="00A5599D"/>
    <w:rsid w:val="00A55A5B"/>
    <w:rsid w:val="00A55A8E"/>
    <w:rsid w:val="00A55B02"/>
    <w:rsid w:val="00A55BEE"/>
    <w:rsid w:val="00A55DDC"/>
    <w:rsid w:val="00A55DEE"/>
    <w:rsid w:val="00A55ECF"/>
    <w:rsid w:val="00A56264"/>
    <w:rsid w:val="00A567BA"/>
    <w:rsid w:val="00A56861"/>
    <w:rsid w:val="00A5692F"/>
    <w:rsid w:val="00A5694D"/>
    <w:rsid w:val="00A56B14"/>
    <w:rsid w:val="00A56C8E"/>
    <w:rsid w:val="00A56E8A"/>
    <w:rsid w:val="00A57278"/>
    <w:rsid w:val="00A5733B"/>
    <w:rsid w:val="00A57464"/>
    <w:rsid w:val="00A576A5"/>
    <w:rsid w:val="00A578A6"/>
    <w:rsid w:val="00A57CD4"/>
    <w:rsid w:val="00A57D4A"/>
    <w:rsid w:val="00A57E71"/>
    <w:rsid w:val="00A57EB5"/>
    <w:rsid w:val="00A57FC1"/>
    <w:rsid w:val="00A60106"/>
    <w:rsid w:val="00A60A9A"/>
    <w:rsid w:val="00A60D84"/>
    <w:rsid w:val="00A60DDC"/>
    <w:rsid w:val="00A60F6A"/>
    <w:rsid w:val="00A6104C"/>
    <w:rsid w:val="00A6133B"/>
    <w:rsid w:val="00A61495"/>
    <w:rsid w:val="00A61521"/>
    <w:rsid w:val="00A6184A"/>
    <w:rsid w:val="00A61855"/>
    <w:rsid w:val="00A61928"/>
    <w:rsid w:val="00A61940"/>
    <w:rsid w:val="00A61BAA"/>
    <w:rsid w:val="00A61CEC"/>
    <w:rsid w:val="00A61D4A"/>
    <w:rsid w:val="00A61E1D"/>
    <w:rsid w:val="00A61E5A"/>
    <w:rsid w:val="00A61F2A"/>
    <w:rsid w:val="00A61F72"/>
    <w:rsid w:val="00A6202D"/>
    <w:rsid w:val="00A62257"/>
    <w:rsid w:val="00A622E9"/>
    <w:rsid w:val="00A623B9"/>
    <w:rsid w:val="00A6252C"/>
    <w:rsid w:val="00A6277A"/>
    <w:rsid w:val="00A62C42"/>
    <w:rsid w:val="00A62CAE"/>
    <w:rsid w:val="00A62D09"/>
    <w:rsid w:val="00A62DE3"/>
    <w:rsid w:val="00A632F2"/>
    <w:rsid w:val="00A633A4"/>
    <w:rsid w:val="00A633FF"/>
    <w:rsid w:val="00A6346D"/>
    <w:rsid w:val="00A6353B"/>
    <w:rsid w:val="00A63545"/>
    <w:rsid w:val="00A635BE"/>
    <w:rsid w:val="00A63A90"/>
    <w:rsid w:val="00A63C21"/>
    <w:rsid w:val="00A63D94"/>
    <w:rsid w:val="00A64158"/>
    <w:rsid w:val="00A642C0"/>
    <w:rsid w:val="00A6445A"/>
    <w:rsid w:val="00A64A64"/>
    <w:rsid w:val="00A64BE6"/>
    <w:rsid w:val="00A64DD0"/>
    <w:rsid w:val="00A65000"/>
    <w:rsid w:val="00A65143"/>
    <w:rsid w:val="00A65149"/>
    <w:rsid w:val="00A652C7"/>
    <w:rsid w:val="00A6547B"/>
    <w:rsid w:val="00A657C3"/>
    <w:rsid w:val="00A65AF9"/>
    <w:rsid w:val="00A65DD6"/>
    <w:rsid w:val="00A6600D"/>
    <w:rsid w:val="00A66098"/>
    <w:rsid w:val="00A660B4"/>
    <w:rsid w:val="00A66112"/>
    <w:rsid w:val="00A662B5"/>
    <w:rsid w:val="00A6634C"/>
    <w:rsid w:val="00A66578"/>
    <w:rsid w:val="00A667BC"/>
    <w:rsid w:val="00A66889"/>
    <w:rsid w:val="00A668CD"/>
    <w:rsid w:val="00A66DA0"/>
    <w:rsid w:val="00A66DAE"/>
    <w:rsid w:val="00A66DF9"/>
    <w:rsid w:val="00A67013"/>
    <w:rsid w:val="00A67528"/>
    <w:rsid w:val="00A67538"/>
    <w:rsid w:val="00A67575"/>
    <w:rsid w:val="00A6798D"/>
    <w:rsid w:val="00A67CD6"/>
    <w:rsid w:val="00A70183"/>
    <w:rsid w:val="00A7018C"/>
    <w:rsid w:val="00A701D4"/>
    <w:rsid w:val="00A70287"/>
    <w:rsid w:val="00A70613"/>
    <w:rsid w:val="00A70614"/>
    <w:rsid w:val="00A7075D"/>
    <w:rsid w:val="00A70838"/>
    <w:rsid w:val="00A7098E"/>
    <w:rsid w:val="00A70C17"/>
    <w:rsid w:val="00A70E3E"/>
    <w:rsid w:val="00A70ECC"/>
    <w:rsid w:val="00A70ECD"/>
    <w:rsid w:val="00A70F5F"/>
    <w:rsid w:val="00A71029"/>
    <w:rsid w:val="00A71181"/>
    <w:rsid w:val="00A712E8"/>
    <w:rsid w:val="00A71309"/>
    <w:rsid w:val="00A71589"/>
    <w:rsid w:val="00A715C9"/>
    <w:rsid w:val="00A71714"/>
    <w:rsid w:val="00A7187D"/>
    <w:rsid w:val="00A71B23"/>
    <w:rsid w:val="00A71C3A"/>
    <w:rsid w:val="00A71D00"/>
    <w:rsid w:val="00A71D04"/>
    <w:rsid w:val="00A721A1"/>
    <w:rsid w:val="00A721C1"/>
    <w:rsid w:val="00A721D8"/>
    <w:rsid w:val="00A722D4"/>
    <w:rsid w:val="00A72394"/>
    <w:rsid w:val="00A72421"/>
    <w:rsid w:val="00A72729"/>
    <w:rsid w:val="00A72802"/>
    <w:rsid w:val="00A72811"/>
    <w:rsid w:val="00A728B0"/>
    <w:rsid w:val="00A72C5D"/>
    <w:rsid w:val="00A72EBE"/>
    <w:rsid w:val="00A72EE6"/>
    <w:rsid w:val="00A72F7B"/>
    <w:rsid w:val="00A72FA3"/>
    <w:rsid w:val="00A7309B"/>
    <w:rsid w:val="00A73207"/>
    <w:rsid w:val="00A73320"/>
    <w:rsid w:val="00A733BC"/>
    <w:rsid w:val="00A735F6"/>
    <w:rsid w:val="00A739BD"/>
    <w:rsid w:val="00A73AF4"/>
    <w:rsid w:val="00A73D34"/>
    <w:rsid w:val="00A73DA9"/>
    <w:rsid w:val="00A73DC8"/>
    <w:rsid w:val="00A73FC3"/>
    <w:rsid w:val="00A740BF"/>
    <w:rsid w:val="00A74343"/>
    <w:rsid w:val="00A745A8"/>
    <w:rsid w:val="00A7471D"/>
    <w:rsid w:val="00A74779"/>
    <w:rsid w:val="00A7479E"/>
    <w:rsid w:val="00A7484B"/>
    <w:rsid w:val="00A7485A"/>
    <w:rsid w:val="00A74915"/>
    <w:rsid w:val="00A7498E"/>
    <w:rsid w:val="00A75A8E"/>
    <w:rsid w:val="00A75C5C"/>
    <w:rsid w:val="00A75D50"/>
    <w:rsid w:val="00A75DAC"/>
    <w:rsid w:val="00A75E2B"/>
    <w:rsid w:val="00A75EA1"/>
    <w:rsid w:val="00A75F0C"/>
    <w:rsid w:val="00A75FB8"/>
    <w:rsid w:val="00A76014"/>
    <w:rsid w:val="00A761BA"/>
    <w:rsid w:val="00A761D2"/>
    <w:rsid w:val="00A76358"/>
    <w:rsid w:val="00A76386"/>
    <w:rsid w:val="00A76486"/>
    <w:rsid w:val="00A76747"/>
    <w:rsid w:val="00A7679A"/>
    <w:rsid w:val="00A76D96"/>
    <w:rsid w:val="00A76E49"/>
    <w:rsid w:val="00A76EC9"/>
    <w:rsid w:val="00A76F04"/>
    <w:rsid w:val="00A775A2"/>
    <w:rsid w:val="00A776A4"/>
    <w:rsid w:val="00A77758"/>
    <w:rsid w:val="00A777B2"/>
    <w:rsid w:val="00A77A6B"/>
    <w:rsid w:val="00A77C61"/>
    <w:rsid w:val="00A77C8B"/>
    <w:rsid w:val="00A77FA6"/>
    <w:rsid w:val="00A8000C"/>
    <w:rsid w:val="00A80038"/>
    <w:rsid w:val="00A80092"/>
    <w:rsid w:val="00A80464"/>
    <w:rsid w:val="00A806F5"/>
    <w:rsid w:val="00A8078B"/>
    <w:rsid w:val="00A80D2C"/>
    <w:rsid w:val="00A80E29"/>
    <w:rsid w:val="00A81174"/>
    <w:rsid w:val="00A81302"/>
    <w:rsid w:val="00A8163E"/>
    <w:rsid w:val="00A8166A"/>
    <w:rsid w:val="00A8182F"/>
    <w:rsid w:val="00A81874"/>
    <w:rsid w:val="00A818D4"/>
    <w:rsid w:val="00A81A3D"/>
    <w:rsid w:val="00A81C6A"/>
    <w:rsid w:val="00A81D3C"/>
    <w:rsid w:val="00A81E26"/>
    <w:rsid w:val="00A81F26"/>
    <w:rsid w:val="00A8204C"/>
    <w:rsid w:val="00A820A4"/>
    <w:rsid w:val="00A82150"/>
    <w:rsid w:val="00A82268"/>
    <w:rsid w:val="00A82332"/>
    <w:rsid w:val="00A82532"/>
    <w:rsid w:val="00A82612"/>
    <w:rsid w:val="00A826E3"/>
    <w:rsid w:val="00A827E1"/>
    <w:rsid w:val="00A8289B"/>
    <w:rsid w:val="00A82CE4"/>
    <w:rsid w:val="00A82E2E"/>
    <w:rsid w:val="00A82FF0"/>
    <w:rsid w:val="00A83041"/>
    <w:rsid w:val="00A832A7"/>
    <w:rsid w:val="00A834E8"/>
    <w:rsid w:val="00A837FB"/>
    <w:rsid w:val="00A8383D"/>
    <w:rsid w:val="00A838F5"/>
    <w:rsid w:val="00A838FB"/>
    <w:rsid w:val="00A83E10"/>
    <w:rsid w:val="00A84001"/>
    <w:rsid w:val="00A84066"/>
    <w:rsid w:val="00A840C1"/>
    <w:rsid w:val="00A8421C"/>
    <w:rsid w:val="00A84662"/>
    <w:rsid w:val="00A8477A"/>
    <w:rsid w:val="00A84AE8"/>
    <w:rsid w:val="00A84B84"/>
    <w:rsid w:val="00A84B89"/>
    <w:rsid w:val="00A84BFC"/>
    <w:rsid w:val="00A84E8B"/>
    <w:rsid w:val="00A84F9C"/>
    <w:rsid w:val="00A85032"/>
    <w:rsid w:val="00A850A4"/>
    <w:rsid w:val="00A85387"/>
    <w:rsid w:val="00A85936"/>
    <w:rsid w:val="00A85ABD"/>
    <w:rsid w:val="00A85B4C"/>
    <w:rsid w:val="00A85D47"/>
    <w:rsid w:val="00A85D6C"/>
    <w:rsid w:val="00A86068"/>
    <w:rsid w:val="00A860CA"/>
    <w:rsid w:val="00A86365"/>
    <w:rsid w:val="00A863E4"/>
    <w:rsid w:val="00A86400"/>
    <w:rsid w:val="00A86517"/>
    <w:rsid w:val="00A865D1"/>
    <w:rsid w:val="00A867CB"/>
    <w:rsid w:val="00A86B4C"/>
    <w:rsid w:val="00A86BB7"/>
    <w:rsid w:val="00A86D07"/>
    <w:rsid w:val="00A86F87"/>
    <w:rsid w:val="00A8701F"/>
    <w:rsid w:val="00A8706D"/>
    <w:rsid w:val="00A87261"/>
    <w:rsid w:val="00A8729E"/>
    <w:rsid w:val="00A872E5"/>
    <w:rsid w:val="00A87457"/>
    <w:rsid w:val="00A874A1"/>
    <w:rsid w:val="00A877C6"/>
    <w:rsid w:val="00A8794D"/>
    <w:rsid w:val="00A879EA"/>
    <w:rsid w:val="00A87B3C"/>
    <w:rsid w:val="00A87E2D"/>
    <w:rsid w:val="00A87ECF"/>
    <w:rsid w:val="00A87F67"/>
    <w:rsid w:val="00A90115"/>
    <w:rsid w:val="00A90117"/>
    <w:rsid w:val="00A90241"/>
    <w:rsid w:val="00A907F9"/>
    <w:rsid w:val="00A9080A"/>
    <w:rsid w:val="00A90856"/>
    <w:rsid w:val="00A90B85"/>
    <w:rsid w:val="00A90D57"/>
    <w:rsid w:val="00A90F5F"/>
    <w:rsid w:val="00A9150A"/>
    <w:rsid w:val="00A91551"/>
    <w:rsid w:val="00A9173F"/>
    <w:rsid w:val="00A9187F"/>
    <w:rsid w:val="00A91917"/>
    <w:rsid w:val="00A91AA5"/>
    <w:rsid w:val="00A91BEA"/>
    <w:rsid w:val="00A91C80"/>
    <w:rsid w:val="00A91D47"/>
    <w:rsid w:val="00A91DF7"/>
    <w:rsid w:val="00A91E60"/>
    <w:rsid w:val="00A91ECF"/>
    <w:rsid w:val="00A92264"/>
    <w:rsid w:val="00A92639"/>
    <w:rsid w:val="00A92E87"/>
    <w:rsid w:val="00A92F86"/>
    <w:rsid w:val="00A93110"/>
    <w:rsid w:val="00A9348A"/>
    <w:rsid w:val="00A93552"/>
    <w:rsid w:val="00A9363B"/>
    <w:rsid w:val="00A93A2A"/>
    <w:rsid w:val="00A93E8E"/>
    <w:rsid w:val="00A94042"/>
    <w:rsid w:val="00A94297"/>
    <w:rsid w:val="00A94755"/>
    <w:rsid w:val="00A94865"/>
    <w:rsid w:val="00A94976"/>
    <w:rsid w:val="00A94A33"/>
    <w:rsid w:val="00A9504D"/>
    <w:rsid w:val="00A950A9"/>
    <w:rsid w:val="00A952F9"/>
    <w:rsid w:val="00A9544D"/>
    <w:rsid w:val="00A95966"/>
    <w:rsid w:val="00A95C35"/>
    <w:rsid w:val="00A95CE7"/>
    <w:rsid w:val="00A95E2C"/>
    <w:rsid w:val="00A960CB"/>
    <w:rsid w:val="00A961E4"/>
    <w:rsid w:val="00A96237"/>
    <w:rsid w:val="00A96480"/>
    <w:rsid w:val="00A9650A"/>
    <w:rsid w:val="00A9656E"/>
    <w:rsid w:val="00A96583"/>
    <w:rsid w:val="00A966BB"/>
    <w:rsid w:val="00A968EC"/>
    <w:rsid w:val="00A96A2F"/>
    <w:rsid w:val="00A96A5A"/>
    <w:rsid w:val="00A96BC1"/>
    <w:rsid w:val="00A96D0D"/>
    <w:rsid w:val="00A96E24"/>
    <w:rsid w:val="00A970C2"/>
    <w:rsid w:val="00A97238"/>
    <w:rsid w:val="00A9782C"/>
    <w:rsid w:val="00A97BE7"/>
    <w:rsid w:val="00A97CA1"/>
    <w:rsid w:val="00A97EC8"/>
    <w:rsid w:val="00A97EE7"/>
    <w:rsid w:val="00AA0177"/>
    <w:rsid w:val="00AA037B"/>
    <w:rsid w:val="00AA038A"/>
    <w:rsid w:val="00AA067E"/>
    <w:rsid w:val="00AA06F5"/>
    <w:rsid w:val="00AA08BC"/>
    <w:rsid w:val="00AA090A"/>
    <w:rsid w:val="00AA0AA2"/>
    <w:rsid w:val="00AA0C9F"/>
    <w:rsid w:val="00AA0DDE"/>
    <w:rsid w:val="00AA0EBA"/>
    <w:rsid w:val="00AA0FC1"/>
    <w:rsid w:val="00AA10B3"/>
    <w:rsid w:val="00AA10D4"/>
    <w:rsid w:val="00AA1421"/>
    <w:rsid w:val="00AA1713"/>
    <w:rsid w:val="00AA171E"/>
    <w:rsid w:val="00AA1824"/>
    <w:rsid w:val="00AA1C15"/>
    <w:rsid w:val="00AA1CAC"/>
    <w:rsid w:val="00AA1DB7"/>
    <w:rsid w:val="00AA208A"/>
    <w:rsid w:val="00AA2113"/>
    <w:rsid w:val="00AA23BF"/>
    <w:rsid w:val="00AA2746"/>
    <w:rsid w:val="00AA2759"/>
    <w:rsid w:val="00AA2792"/>
    <w:rsid w:val="00AA2B51"/>
    <w:rsid w:val="00AA2CFF"/>
    <w:rsid w:val="00AA2EE1"/>
    <w:rsid w:val="00AA3379"/>
    <w:rsid w:val="00AA33A8"/>
    <w:rsid w:val="00AA359F"/>
    <w:rsid w:val="00AA3677"/>
    <w:rsid w:val="00AA3693"/>
    <w:rsid w:val="00AA3767"/>
    <w:rsid w:val="00AA3872"/>
    <w:rsid w:val="00AA3ACD"/>
    <w:rsid w:val="00AA3B48"/>
    <w:rsid w:val="00AA3DA8"/>
    <w:rsid w:val="00AA3F2D"/>
    <w:rsid w:val="00AA4138"/>
    <w:rsid w:val="00AA4355"/>
    <w:rsid w:val="00AA4B05"/>
    <w:rsid w:val="00AA4B95"/>
    <w:rsid w:val="00AA4CE5"/>
    <w:rsid w:val="00AA4CE7"/>
    <w:rsid w:val="00AA4E4A"/>
    <w:rsid w:val="00AA4F20"/>
    <w:rsid w:val="00AA506C"/>
    <w:rsid w:val="00AA50A3"/>
    <w:rsid w:val="00AA50D3"/>
    <w:rsid w:val="00AA5129"/>
    <w:rsid w:val="00AA57CB"/>
    <w:rsid w:val="00AA5913"/>
    <w:rsid w:val="00AA5972"/>
    <w:rsid w:val="00AA59B6"/>
    <w:rsid w:val="00AA5A0F"/>
    <w:rsid w:val="00AA5B0B"/>
    <w:rsid w:val="00AA5C69"/>
    <w:rsid w:val="00AA5C7B"/>
    <w:rsid w:val="00AA5CCA"/>
    <w:rsid w:val="00AA5D31"/>
    <w:rsid w:val="00AA5D69"/>
    <w:rsid w:val="00AA5DC9"/>
    <w:rsid w:val="00AA6085"/>
    <w:rsid w:val="00AA60BD"/>
    <w:rsid w:val="00AA648D"/>
    <w:rsid w:val="00AA65C6"/>
    <w:rsid w:val="00AA6B7F"/>
    <w:rsid w:val="00AA7073"/>
    <w:rsid w:val="00AA71E1"/>
    <w:rsid w:val="00AA734D"/>
    <w:rsid w:val="00AA7471"/>
    <w:rsid w:val="00AA7551"/>
    <w:rsid w:val="00AA7566"/>
    <w:rsid w:val="00AA75E2"/>
    <w:rsid w:val="00AA7638"/>
    <w:rsid w:val="00AA7881"/>
    <w:rsid w:val="00AA7DA5"/>
    <w:rsid w:val="00AA7FA9"/>
    <w:rsid w:val="00AB0437"/>
    <w:rsid w:val="00AB0442"/>
    <w:rsid w:val="00AB0CC1"/>
    <w:rsid w:val="00AB0D0E"/>
    <w:rsid w:val="00AB0D30"/>
    <w:rsid w:val="00AB10B5"/>
    <w:rsid w:val="00AB10FB"/>
    <w:rsid w:val="00AB1298"/>
    <w:rsid w:val="00AB1564"/>
    <w:rsid w:val="00AB1572"/>
    <w:rsid w:val="00AB15F7"/>
    <w:rsid w:val="00AB1889"/>
    <w:rsid w:val="00AB18C1"/>
    <w:rsid w:val="00AB1918"/>
    <w:rsid w:val="00AB1B52"/>
    <w:rsid w:val="00AB1C3B"/>
    <w:rsid w:val="00AB1EA7"/>
    <w:rsid w:val="00AB1F09"/>
    <w:rsid w:val="00AB1F6E"/>
    <w:rsid w:val="00AB2123"/>
    <w:rsid w:val="00AB2387"/>
    <w:rsid w:val="00AB24B6"/>
    <w:rsid w:val="00AB2513"/>
    <w:rsid w:val="00AB2642"/>
    <w:rsid w:val="00AB2789"/>
    <w:rsid w:val="00AB2E54"/>
    <w:rsid w:val="00AB3308"/>
    <w:rsid w:val="00AB3351"/>
    <w:rsid w:val="00AB35D3"/>
    <w:rsid w:val="00AB3740"/>
    <w:rsid w:val="00AB37B9"/>
    <w:rsid w:val="00AB37C0"/>
    <w:rsid w:val="00AB3947"/>
    <w:rsid w:val="00AB3A83"/>
    <w:rsid w:val="00AB3B71"/>
    <w:rsid w:val="00AB3BE5"/>
    <w:rsid w:val="00AB3BF2"/>
    <w:rsid w:val="00AB3C7A"/>
    <w:rsid w:val="00AB406E"/>
    <w:rsid w:val="00AB40B4"/>
    <w:rsid w:val="00AB4121"/>
    <w:rsid w:val="00AB4187"/>
    <w:rsid w:val="00AB4241"/>
    <w:rsid w:val="00AB43DE"/>
    <w:rsid w:val="00AB443B"/>
    <w:rsid w:val="00AB448C"/>
    <w:rsid w:val="00AB46ED"/>
    <w:rsid w:val="00AB4848"/>
    <w:rsid w:val="00AB4E41"/>
    <w:rsid w:val="00AB4E42"/>
    <w:rsid w:val="00AB504F"/>
    <w:rsid w:val="00AB5104"/>
    <w:rsid w:val="00AB5859"/>
    <w:rsid w:val="00AB58F5"/>
    <w:rsid w:val="00AB5B13"/>
    <w:rsid w:val="00AB5B28"/>
    <w:rsid w:val="00AB5B55"/>
    <w:rsid w:val="00AB5BFB"/>
    <w:rsid w:val="00AB5D98"/>
    <w:rsid w:val="00AB5EEF"/>
    <w:rsid w:val="00AB6092"/>
    <w:rsid w:val="00AB65B2"/>
    <w:rsid w:val="00AB6B93"/>
    <w:rsid w:val="00AB6BA2"/>
    <w:rsid w:val="00AB6E89"/>
    <w:rsid w:val="00AB6EA6"/>
    <w:rsid w:val="00AB6EF9"/>
    <w:rsid w:val="00AB6F21"/>
    <w:rsid w:val="00AB6F7B"/>
    <w:rsid w:val="00AB7006"/>
    <w:rsid w:val="00AB715E"/>
    <w:rsid w:val="00AB7399"/>
    <w:rsid w:val="00AB76B8"/>
    <w:rsid w:val="00AB770A"/>
    <w:rsid w:val="00AB7B44"/>
    <w:rsid w:val="00AB7BFB"/>
    <w:rsid w:val="00AB7DE5"/>
    <w:rsid w:val="00AC006E"/>
    <w:rsid w:val="00AC0678"/>
    <w:rsid w:val="00AC0BAA"/>
    <w:rsid w:val="00AC0C53"/>
    <w:rsid w:val="00AC0DCB"/>
    <w:rsid w:val="00AC0E8C"/>
    <w:rsid w:val="00AC103C"/>
    <w:rsid w:val="00AC13EE"/>
    <w:rsid w:val="00AC1510"/>
    <w:rsid w:val="00AC16AC"/>
    <w:rsid w:val="00AC1783"/>
    <w:rsid w:val="00AC1948"/>
    <w:rsid w:val="00AC1A52"/>
    <w:rsid w:val="00AC1BF2"/>
    <w:rsid w:val="00AC1EF0"/>
    <w:rsid w:val="00AC256B"/>
    <w:rsid w:val="00AC258B"/>
    <w:rsid w:val="00AC2591"/>
    <w:rsid w:val="00AC25AF"/>
    <w:rsid w:val="00AC2637"/>
    <w:rsid w:val="00AC263A"/>
    <w:rsid w:val="00AC2791"/>
    <w:rsid w:val="00AC29B2"/>
    <w:rsid w:val="00AC2A6B"/>
    <w:rsid w:val="00AC2BC5"/>
    <w:rsid w:val="00AC2DD9"/>
    <w:rsid w:val="00AC2E4F"/>
    <w:rsid w:val="00AC2E72"/>
    <w:rsid w:val="00AC37EB"/>
    <w:rsid w:val="00AC3925"/>
    <w:rsid w:val="00AC39FC"/>
    <w:rsid w:val="00AC3C64"/>
    <w:rsid w:val="00AC40E5"/>
    <w:rsid w:val="00AC42C1"/>
    <w:rsid w:val="00AC42D8"/>
    <w:rsid w:val="00AC4342"/>
    <w:rsid w:val="00AC4441"/>
    <w:rsid w:val="00AC4608"/>
    <w:rsid w:val="00AC4875"/>
    <w:rsid w:val="00AC4B66"/>
    <w:rsid w:val="00AC4B71"/>
    <w:rsid w:val="00AC4B80"/>
    <w:rsid w:val="00AC4B84"/>
    <w:rsid w:val="00AC4BEC"/>
    <w:rsid w:val="00AC4CBF"/>
    <w:rsid w:val="00AC51E7"/>
    <w:rsid w:val="00AC5A07"/>
    <w:rsid w:val="00AC5D99"/>
    <w:rsid w:val="00AC5DAB"/>
    <w:rsid w:val="00AC5EDA"/>
    <w:rsid w:val="00AC615D"/>
    <w:rsid w:val="00AC62AB"/>
    <w:rsid w:val="00AC6515"/>
    <w:rsid w:val="00AC665E"/>
    <w:rsid w:val="00AC6A87"/>
    <w:rsid w:val="00AC6C11"/>
    <w:rsid w:val="00AC6C3C"/>
    <w:rsid w:val="00AC6CF9"/>
    <w:rsid w:val="00AC6F16"/>
    <w:rsid w:val="00AC6F62"/>
    <w:rsid w:val="00AC70CD"/>
    <w:rsid w:val="00AC7251"/>
    <w:rsid w:val="00AC74E9"/>
    <w:rsid w:val="00AC7B75"/>
    <w:rsid w:val="00AC7B86"/>
    <w:rsid w:val="00AC7C49"/>
    <w:rsid w:val="00AC7DCD"/>
    <w:rsid w:val="00AC7DF4"/>
    <w:rsid w:val="00AC7E42"/>
    <w:rsid w:val="00AC7F07"/>
    <w:rsid w:val="00AD0055"/>
    <w:rsid w:val="00AD007E"/>
    <w:rsid w:val="00AD02BA"/>
    <w:rsid w:val="00AD054E"/>
    <w:rsid w:val="00AD0759"/>
    <w:rsid w:val="00AD0B83"/>
    <w:rsid w:val="00AD0BC3"/>
    <w:rsid w:val="00AD0F6C"/>
    <w:rsid w:val="00AD111F"/>
    <w:rsid w:val="00AD1123"/>
    <w:rsid w:val="00AD11FC"/>
    <w:rsid w:val="00AD1239"/>
    <w:rsid w:val="00AD12DB"/>
    <w:rsid w:val="00AD14AA"/>
    <w:rsid w:val="00AD179E"/>
    <w:rsid w:val="00AD1841"/>
    <w:rsid w:val="00AD1873"/>
    <w:rsid w:val="00AD18D0"/>
    <w:rsid w:val="00AD1979"/>
    <w:rsid w:val="00AD19D9"/>
    <w:rsid w:val="00AD1B18"/>
    <w:rsid w:val="00AD207E"/>
    <w:rsid w:val="00AD2118"/>
    <w:rsid w:val="00AD2408"/>
    <w:rsid w:val="00AD2615"/>
    <w:rsid w:val="00AD2817"/>
    <w:rsid w:val="00AD2970"/>
    <w:rsid w:val="00AD29CD"/>
    <w:rsid w:val="00AD2B9A"/>
    <w:rsid w:val="00AD2C07"/>
    <w:rsid w:val="00AD2D8D"/>
    <w:rsid w:val="00AD2E2F"/>
    <w:rsid w:val="00AD30CA"/>
    <w:rsid w:val="00AD31CE"/>
    <w:rsid w:val="00AD332F"/>
    <w:rsid w:val="00AD3437"/>
    <w:rsid w:val="00AD34C1"/>
    <w:rsid w:val="00AD3627"/>
    <w:rsid w:val="00AD379B"/>
    <w:rsid w:val="00AD3917"/>
    <w:rsid w:val="00AD3BA1"/>
    <w:rsid w:val="00AD3BE1"/>
    <w:rsid w:val="00AD3BFB"/>
    <w:rsid w:val="00AD3CEE"/>
    <w:rsid w:val="00AD3DCA"/>
    <w:rsid w:val="00AD3E3C"/>
    <w:rsid w:val="00AD3F5B"/>
    <w:rsid w:val="00AD3FD4"/>
    <w:rsid w:val="00AD3FF0"/>
    <w:rsid w:val="00AD4101"/>
    <w:rsid w:val="00AD4726"/>
    <w:rsid w:val="00AD4768"/>
    <w:rsid w:val="00AD48C5"/>
    <w:rsid w:val="00AD4987"/>
    <w:rsid w:val="00AD4D97"/>
    <w:rsid w:val="00AD4E55"/>
    <w:rsid w:val="00AD51C1"/>
    <w:rsid w:val="00AD536E"/>
    <w:rsid w:val="00AD539F"/>
    <w:rsid w:val="00AD53BE"/>
    <w:rsid w:val="00AD5446"/>
    <w:rsid w:val="00AD553E"/>
    <w:rsid w:val="00AD55D4"/>
    <w:rsid w:val="00AD569F"/>
    <w:rsid w:val="00AD57F3"/>
    <w:rsid w:val="00AD5C57"/>
    <w:rsid w:val="00AD602B"/>
    <w:rsid w:val="00AD6182"/>
    <w:rsid w:val="00AD649F"/>
    <w:rsid w:val="00AD6509"/>
    <w:rsid w:val="00AD6523"/>
    <w:rsid w:val="00AD6568"/>
    <w:rsid w:val="00AD6729"/>
    <w:rsid w:val="00AD68BE"/>
    <w:rsid w:val="00AD6F57"/>
    <w:rsid w:val="00AD70D0"/>
    <w:rsid w:val="00AD7178"/>
    <w:rsid w:val="00AD7281"/>
    <w:rsid w:val="00AD7294"/>
    <w:rsid w:val="00AD73FE"/>
    <w:rsid w:val="00AD74A3"/>
    <w:rsid w:val="00AD782B"/>
    <w:rsid w:val="00AD7CCD"/>
    <w:rsid w:val="00AD7EAE"/>
    <w:rsid w:val="00AD7F56"/>
    <w:rsid w:val="00AE00C1"/>
    <w:rsid w:val="00AE01E5"/>
    <w:rsid w:val="00AE0256"/>
    <w:rsid w:val="00AE02EC"/>
    <w:rsid w:val="00AE04F6"/>
    <w:rsid w:val="00AE0516"/>
    <w:rsid w:val="00AE061D"/>
    <w:rsid w:val="00AE07CE"/>
    <w:rsid w:val="00AE08AC"/>
    <w:rsid w:val="00AE0936"/>
    <w:rsid w:val="00AE0B55"/>
    <w:rsid w:val="00AE1210"/>
    <w:rsid w:val="00AE1234"/>
    <w:rsid w:val="00AE12DF"/>
    <w:rsid w:val="00AE1520"/>
    <w:rsid w:val="00AE1736"/>
    <w:rsid w:val="00AE1792"/>
    <w:rsid w:val="00AE18A0"/>
    <w:rsid w:val="00AE1913"/>
    <w:rsid w:val="00AE1C0D"/>
    <w:rsid w:val="00AE1C8E"/>
    <w:rsid w:val="00AE1E24"/>
    <w:rsid w:val="00AE209C"/>
    <w:rsid w:val="00AE20DB"/>
    <w:rsid w:val="00AE218F"/>
    <w:rsid w:val="00AE23AA"/>
    <w:rsid w:val="00AE23F0"/>
    <w:rsid w:val="00AE2514"/>
    <w:rsid w:val="00AE2722"/>
    <w:rsid w:val="00AE2A87"/>
    <w:rsid w:val="00AE337C"/>
    <w:rsid w:val="00AE33A6"/>
    <w:rsid w:val="00AE3532"/>
    <w:rsid w:val="00AE3749"/>
    <w:rsid w:val="00AE38C4"/>
    <w:rsid w:val="00AE3AEB"/>
    <w:rsid w:val="00AE3BCB"/>
    <w:rsid w:val="00AE3BDF"/>
    <w:rsid w:val="00AE3D53"/>
    <w:rsid w:val="00AE3DEA"/>
    <w:rsid w:val="00AE3E3D"/>
    <w:rsid w:val="00AE4659"/>
    <w:rsid w:val="00AE46A5"/>
    <w:rsid w:val="00AE48CB"/>
    <w:rsid w:val="00AE49A6"/>
    <w:rsid w:val="00AE4BB5"/>
    <w:rsid w:val="00AE5092"/>
    <w:rsid w:val="00AE50A9"/>
    <w:rsid w:val="00AE50F5"/>
    <w:rsid w:val="00AE5124"/>
    <w:rsid w:val="00AE5149"/>
    <w:rsid w:val="00AE51C2"/>
    <w:rsid w:val="00AE51CD"/>
    <w:rsid w:val="00AE5455"/>
    <w:rsid w:val="00AE5464"/>
    <w:rsid w:val="00AE54A8"/>
    <w:rsid w:val="00AE57E4"/>
    <w:rsid w:val="00AE583A"/>
    <w:rsid w:val="00AE590B"/>
    <w:rsid w:val="00AE5B55"/>
    <w:rsid w:val="00AE5BB5"/>
    <w:rsid w:val="00AE5C49"/>
    <w:rsid w:val="00AE5EA9"/>
    <w:rsid w:val="00AE5EC5"/>
    <w:rsid w:val="00AE5F00"/>
    <w:rsid w:val="00AE5FF7"/>
    <w:rsid w:val="00AE61C7"/>
    <w:rsid w:val="00AE6528"/>
    <w:rsid w:val="00AE670D"/>
    <w:rsid w:val="00AE689A"/>
    <w:rsid w:val="00AE6A43"/>
    <w:rsid w:val="00AE6A9D"/>
    <w:rsid w:val="00AE6CA3"/>
    <w:rsid w:val="00AE6F6E"/>
    <w:rsid w:val="00AE7085"/>
    <w:rsid w:val="00AE7304"/>
    <w:rsid w:val="00AE73BA"/>
    <w:rsid w:val="00AE73C7"/>
    <w:rsid w:val="00AE778A"/>
    <w:rsid w:val="00AE79FC"/>
    <w:rsid w:val="00AE7B7E"/>
    <w:rsid w:val="00AE7C7B"/>
    <w:rsid w:val="00AE7DCB"/>
    <w:rsid w:val="00AE7E05"/>
    <w:rsid w:val="00AE7ED9"/>
    <w:rsid w:val="00AE7EE4"/>
    <w:rsid w:val="00AF036B"/>
    <w:rsid w:val="00AF07B8"/>
    <w:rsid w:val="00AF0934"/>
    <w:rsid w:val="00AF0969"/>
    <w:rsid w:val="00AF09A3"/>
    <w:rsid w:val="00AF0CC7"/>
    <w:rsid w:val="00AF0D5F"/>
    <w:rsid w:val="00AF0E57"/>
    <w:rsid w:val="00AF109D"/>
    <w:rsid w:val="00AF137D"/>
    <w:rsid w:val="00AF150C"/>
    <w:rsid w:val="00AF1723"/>
    <w:rsid w:val="00AF1740"/>
    <w:rsid w:val="00AF18C1"/>
    <w:rsid w:val="00AF1D1E"/>
    <w:rsid w:val="00AF2095"/>
    <w:rsid w:val="00AF2441"/>
    <w:rsid w:val="00AF2661"/>
    <w:rsid w:val="00AF27FE"/>
    <w:rsid w:val="00AF28D6"/>
    <w:rsid w:val="00AF2EF4"/>
    <w:rsid w:val="00AF2F60"/>
    <w:rsid w:val="00AF3136"/>
    <w:rsid w:val="00AF3164"/>
    <w:rsid w:val="00AF3173"/>
    <w:rsid w:val="00AF36EA"/>
    <w:rsid w:val="00AF36F9"/>
    <w:rsid w:val="00AF3AEE"/>
    <w:rsid w:val="00AF3C8B"/>
    <w:rsid w:val="00AF4020"/>
    <w:rsid w:val="00AF4338"/>
    <w:rsid w:val="00AF44B7"/>
    <w:rsid w:val="00AF451F"/>
    <w:rsid w:val="00AF47E4"/>
    <w:rsid w:val="00AF486D"/>
    <w:rsid w:val="00AF4BD8"/>
    <w:rsid w:val="00AF4C7E"/>
    <w:rsid w:val="00AF5090"/>
    <w:rsid w:val="00AF5112"/>
    <w:rsid w:val="00AF5171"/>
    <w:rsid w:val="00AF524A"/>
    <w:rsid w:val="00AF56C3"/>
    <w:rsid w:val="00AF59D4"/>
    <w:rsid w:val="00AF5EC5"/>
    <w:rsid w:val="00AF5F23"/>
    <w:rsid w:val="00AF5FB5"/>
    <w:rsid w:val="00AF6170"/>
    <w:rsid w:val="00AF641E"/>
    <w:rsid w:val="00AF6481"/>
    <w:rsid w:val="00AF64B8"/>
    <w:rsid w:val="00AF6766"/>
    <w:rsid w:val="00AF68C4"/>
    <w:rsid w:val="00AF6A6C"/>
    <w:rsid w:val="00AF6C1B"/>
    <w:rsid w:val="00AF6E1C"/>
    <w:rsid w:val="00AF6FD1"/>
    <w:rsid w:val="00AF7005"/>
    <w:rsid w:val="00AF71BD"/>
    <w:rsid w:val="00AF73A9"/>
    <w:rsid w:val="00AF73EC"/>
    <w:rsid w:val="00AF748C"/>
    <w:rsid w:val="00AF74A0"/>
    <w:rsid w:val="00AF784B"/>
    <w:rsid w:val="00AF7887"/>
    <w:rsid w:val="00AF78D4"/>
    <w:rsid w:val="00AF7B7D"/>
    <w:rsid w:val="00AF7D8E"/>
    <w:rsid w:val="00AF7DCB"/>
    <w:rsid w:val="00B00129"/>
    <w:rsid w:val="00B00146"/>
    <w:rsid w:val="00B001E7"/>
    <w:rsid w:val="00B00282"/>
    <w:rsid w:val="00B00334"/>
    <w:rsid w:val="00B005C6"/>
    <w:rsid w:val="00B00648"/>
    <w:rsid w:val="00B0076A"/>
    <w:rsid w:val="00B00B31"/>
    <w:rsid w:val="00B00B41"/>
    <w:rsid w:val="00B00D47"/>
    <w:rsid w:val="00B00DD8"/>
    <w:rsid w:val="00B00F30"/>
    <w:rsid w:val="00B00FC7"/>
    <w:rsid w:val="00B01098"/>
    <w:rsid w:val="00B0132F"/>
    <w:rsid w:val="00B01538"/>
    <w:rsid w:val="00B015D8"/>
    <w:rsid w:val="00B01699"/>
    <w:rsid w:val="00B016E5"/>
    <w:rsid w:val="00B0180F"/>
    <w:rsid w:val="00B0186E"/>
    <w:rsid w:val="00B01984"/>
    <w:rsid w:val="00B01A82"/>
    <w:rsid w:val="00B01DF9"/>
    <w:rsid w:val="00B01ED0"/>
    <w:rsid w:val="00B01F8F"/>
    <w:rsid w:val="00B02154"/>
    <w:rsid w:val="00B02367"/>
    <w:rsid w:val="00B02430"/>
    <w:rsid w:val="00B02757"/>
    <w:rsid w:val="00B02965"/>
    <w:rsid w:val="00B02B02"/>
    <w:rsid w:val="00B02BEC"/>
    <w:rsid w:val="00B02C98"/>
    <w:rsid w:val="00B02D2D"/>
    <w:rsid w:val="00B02E9C"/>
    <w:rsid w:val="00B02EE0"/>
    <w:rsid w:val="00B02EE1"/>
    <w:rsid w:val="00B02EE8"/>
    <w:rsid w:val="00B035A7"/>
    <w:rsid w:val="00B03995"/>
    <w:rsid w:val="00B039AF"/>
    <w:rsid w:val="00B039C7"/>
    <w:rsid w:val="00B03EDC"/>
    <w:rsid w:val="00B03F41"/>
    <w:rsid w:val="00B041B5"/>
    <w:rsid w:val="00B041CE"/>
    <w:rsid w:val="00B04247"/>
    <w:rsid w:val="00B04283"/>
    <w:rsid w:val="00B047AC"/>
    <w:rsid w:val="00B0483C"/>
    <w:rsid w:val="00B04940"/>
    <w:rsid w:val="00B04958"/>
    <w:rsid w:val="00B04A23"/>
    <w:rsid w:val="00B04AA8"/>
    <w:rsid w:val="00B05022"/>
    <w:rsid w:val="00B0524C"/>
    <w:rsid w:val="00B05371"/>
    <w:rsid w:val="00B053B5"/>
    <w:rsid w:val="00B05974"/>
    <w:rsid w:val="00B05A4B"/>
    <w:rsid w:val="00B05BB3"/>
    <w:rsid w:val="00B06035"/>
    <w:rsid w:val="00B060C1"/>
    <w:rsid w:val="00B06205"/>
    <w:rsid w:val="00B06359"/>
    <w:rsid w:val="00B06507"/>
    <w:rsid w:val="00B06559"/>
    <w:rsid w:val="00B0655E"/>
    <w:rsid w:val="00B06565"/>
    <w:rsid w:val="00B065EE"/>
    <w:rsid w:val="00B06664"/>
    <w:rsid w:val="00B0675E"/>
    <w:rsid w:val="00B069A9"/>
    <w:rsid w:val="00B06D65"/>
    <w:rsid w:val="00B06E03"/>
    <w:rsid w:val="00B070AD"/>
    <w:rsid w:val="00B073B2"/>
    <w:rsid w:val="00B07504"/>
    <w:rsid w:val="00B07856"/>
    <w:rsid w:val="00B07988"/>
    <w:rsid w:val="00B079BD"/>
    <w:rsid w:val="00B07C42"/>
    <w:rsid w:val="00B07C6E"/>
    <w:rsid w:val="00B07CE1"/>
    <w:rsid w:val="00B07CE3"/>
    <w:rsid w:val="00B07CE8"/>
    <w:rsid w:val="00B07D5E"/>
    <w:rsid w:val="00B10043"/>
    <w:rsid w:val="00B10093"/>
    <w:rsid w:val="00B10282"/>
    <w:rsid w:val="00B102C1"/>
    <w:rsid w:val="00B10360"/>
    <w:rsid w:val="00B1055B"/>
    <w:rsid w:val="00B10805"/>
    <w:rsid w:val="00B10B2C"/>
    <w:rsid w:val="00B10CA1"/>
    <w:rsid w:val="00B10E42"/>
    <w:rsid w:val="00B10E6E"/>
    <w:rsid w:val="00B10E8E"/>
    <w:rsid w:val="00B11074"/>
    <w:rsid w:val="00B112CD"/>
    <w:rsid w:val="00B11554"/>
    <w:rsid w:val="00B115F5"/>
    <w:rsid w:val="00B119B2"/>
    <w:rsid w:val="00B11B2A"/>
    <w:rsid w:val="00B11DE0"/>
    <w:rsid w:val="00B11E59"/>
    <w:rsid w:val="00B1214B"/>
    <w:rsid w:val="00B121D0"/>
    <w:rsid w:val="00B122C4"/>
    <w:rsid w:val="00B12474"/>
    <w:rsid w:val="00B12545"/>
    <w:rsid w:val="00B125FC"/>
    <w:rsid w:val="00B12858"/>
    <w:rsid w:val="00B12931"/>
    <w:rsid w:val="00B12955"/>
    <w:rsid w:val="00B12BBF"/>
    <w:rsid w:val="00B12BD5"/>
    <w:rsid w:val="00B12BE8"/>
    <w:rsid w:val="00B12F82"/>
    <w:rsid w:val="00B1311E"/>
    <w:rsid w:val="00B132E3"/>
    <w:rsid w:val="00B135BB"/>
    <w:rsid w:val="00B135CB"/>
    <w:rsid w:val="00B1366E"/>
    <w:rsid w:val="00B13789"/>
    <w:rsid w:val="00B1388D"/>
    <w:rsid w:val="00B13AC1"/>
    <w:rsid w:val="00B14059"/>
    <w:rsid w:val="00B14761"/>
    <w:rsid w:val="00B147F0"/>
    <w:rsid w:val="00B149B1"/>
    <w:rsid w:val="00B14B22"/>
    <w:rsid w:val="00B14C2E"/>
    <w:rsid w:val="00B1515B"/>
    <w:rsid w:val="00B15191"/>
    <w:rsid w:val="00B151E5"/>
    <w:rsid w:val="00B1533C"/>
    <w:rsid w:val="00B15387"/>
    <w:rsid w:val="00B15509"/>
    <w:rsid w:val="00B155DF"/>
    <w:rsid w:val="00B156BF"/>
    <w:rsid w:val="00B157DD"/>
    <w:rsid w:val="00B1592C"/>
    <w:rsid w:val="00B15953"/>
    <w:rsid w:val="00B159A3"/>
    <w:rsid w:val="00B15A9E"/>
    <w:rsid w:val="00B15B39"/>
    <w:rsid w:val="00B15DC9"/>
    <w:rsid w:val="00B15DF7"/>
    <w:rsid w:val="00B15E47"/>
    <w:rsid w:val="00B15F26"/>
    <w:rsid w:val="00B16159"/>
    <w:rsid w:val="00B161A4"/>
    <w:rsid w:val="00B1662D"/>
    <w:rsid w:val="00B16691"/>
    <w:rsid w:val="00B1677B"/>
    <w:rsid w:val="00B167D5"/>
    <w:rsid w:val="00B16C5A"/>
    <w:rsid w:val="00B16DF8"/>
    <w:rsid w:val="00B17135"/>
    <w:rsid w:val="00B17256"/>
    <w:rsid w:val="00B17820"/>
    <w:rsid w:val="00B17851"/>
    <w:rsid w:val="00B17A28"/>
    <w:rsid w:val="00B17C76"/>
    <w:rsid w:val="00B17F9B"/>
    <w:rsid w:val="00B2001F"/>
    <w:rsid w:val="00B201CD"/>
    <w:rsid w:val="00B202BD"/>
    <w:rsid w:val="00B202EB"/>
    <w:rsid w:val="00B2034B"/>
    <w:rsid w:val="00B205A2"/>
    <w:rsid w:val="00B20755"/>
    <w:rsid w:val="00B20AC8"/>
    <w:rsid w:val="00B20C50"/>
    <w:rsid w:val="00B212A6"/>
    <w:rsid w:val="00B212B8"/>
    <w:rsid w:val="00B21366"/>
    <w:rsid w:val="00B214CB"/>
    <w:rsid w:val="00B21855"/>
    <w:rsid w:val="00B2186A"/>
    <w:rsid w:val="00B2195D"/>
    <w:rsid w:val="00B21986"/>
    <w:rsid w:val="00B21BA6"/>
    <w:rsid w:val="00B21D0F"/>
    <w:rsid w:val="00B21F3C"/>
    <w:rsid w:val="00B22078"/>
    <w:rsid w:val="00B220EE"/>
    <w:rsid w:val="00B22270"/>
    <w:rsid w:val="00B225D6"/>
    <w:rsid w:val="00B22611"/>
    <w:rsid w:val="00B227D3"/>
    <w:rsid w:val="00B22875"/>
    <w:rsid w:val="00B229D9"/>
    <w:rsid w:val="00B22AE8"/>
    <w:rsid w:val="00B22BC1"/>
    <w:rsid w:val="00B22BEA"/>
    <w:rsid w:val="00B22CB5"/>
    <w:rsid w:val="00B22CFA"/>
    <w:rsid w:val="00B22CFD"/>
    <w:rsid w:val="00B22D12"/>
    <w:rsid w:val="00B22D87"/>
    <w:rsid w:val="00B22E9A"/>
    <w:rsid w:val="00B22F2B"/>
    <w:rsid w:val="00B2324E"/>
    <w:rsid w:val="00B23435"/>
    <w:rsid w:val="00B235E4"/>
    <w:rsid w:val="00B238AB"/>
    <w:rsid w:val="00B23A43"/>
    <w:rsid w:val="00B23C32"/>
    <w:rsid w:val="00B23E8E"/>
    <w:rsid w:val="00B2402B"/>
    <w:rsid w:val="00B240C5"/>
    <w:rsid w:val="00B24282"/>
    <w:rsid w:val="00B24764"/>
    <w:rsid w:val="00B24901"/>
    <w:rsid w:val="00B2491A"/>
    <w:rsid w:val="00B24AE6"/>
    <w:rsid w:val="00B24B21"/>
    <w:rsid w:val="00B24B4D"/>
    <w:rsid w:val="00B24CCC"/>
    <w:rsid w:val="00B251F0"/>
    <w:rsid w:val="00B25ABE"/>
    <w:rsid w:val="00B25AF0"/>
    <w:rsid w:val="00B25C8D"/>
    <w:rsid w:val="00B25E29"/>
    <w:rsid w:val="00B26030"/>
    <w:rsid w:val="00B26214"/>
    <w:rsid w:val="00B2624C"/>
    <w:rsid w:val="00B266F5"/>
    <w:rsid w:val="00B26787"/>
    <w:rsid w:val="00B26D43"/>
    <w:rsid w:val="00B27032"/>
    <w:rsid w:val="00B27175"/>
    <w:rsid w:val="00B27E77"/>
    <w:rsid w:val="00B27EEF"/>
    <w:rsid w:val="00B3045E"/>
    <w:rsid w:val="00B30BEC"/>
    <w:rsid w:val="00B30F74"/>
    <w:rsid w:val="00B31096"/>
    <w:rsid w:val="00B313EA"/>
    <w:rsid w:val="00B314E3"/>
    <w:rsid w:val="00B3159B"/>
    <w:rsid w:val="00B31852"/>
    <w:rsid w:val="00B31C6B"/>
    <w:rsid w:val="00B31CF6"/>
    <w:rsid w:val="00B31E7F"/>
    <w:rsid w:val="00B321C5"/>
    <w:rsid w:val="00B322C7"/>
    <w:rsid w:val="00B32301"/>
    <w:rsid w:val="00B32353"/>
    <w:rsid w:val="00B32A17"/>
    <w:rsid w:val="00B32B80"/>
    <w:rsid w:val="00B32B9A"/>
    <w:rsid w:val="00B32CAC"/>
    <w:rsid w:val="00B33125"/>
    <w:rsid w:val="00B33174"/>
    <w:rsid w:val="00B331A7"/>
    <w:rsid w:val="00B3337E"/>
    <w:rsid w:val="00B33881"/>
    <w:rsid w:val="00B33CE2"/>
    <w:rsid w:val="00B33E01"/>
    <w:rsid w:val="00B33E6A"/>
    <w:rsid w:val="00B343B6"/>
    <w:rsid w:val="00B343CF"/>
    <w:rsid w:val="00B343EB"/>
    <w:rsid w:val="00B34659"/>
    <w:rsid w:val="00B346A4"/>
    <w:rsid w:val="00B34943"/>
    <w:rsid w:val="00B34AB4"/>
    <w:rsid w:val="00B34E50"/>
    <w:rsid w:val="00B352E8"/>
    <w:rsid w:val="00B352EC"/>
    <w:rsid w:val="00B35559"/>
    <w:rsid w:val="00B355DB"/>
    <w:rsid w:val="00B355EB"/>
    <w:rsid w:val="00B35663"/>
    <w:rsid w:val="00B3579D"/>
    <w:rsid w:val="00B358BF"/>
    <w:rsid w:val="00B358CB"/>
    <w:rsid w:val="00B35B16"/>
    <w:rsid w:val="00B35CAD"/>
    <w:rsid w:val="00B35DDA"/>
    <w:rsid w:val="00B3617A"/>
    <w:rsid w:val="00B363BA"/>
    <w:rsid w:val="00B36458"/>
    <w:rsid w:val="00B3665A"/>
    <w:rsid w:val="00B36831"/>
    <w:rsid w:val="00B36AEB"/>
    <w:rsid w:val="00B36C15"/>
    <w:rsid w:val="00B36D42"/>
    <w:rsid w:val="00B36E19"/>
    <w:rsid w:val="00B36FDE"/>
    <w:rsid w:val="00B37541"/>
    <w:rsid w:val="00B37611"/>
    <w:rsid w:val="00B37620"/>
    <w:rsid w:val="00B3782C"/>
    <w:rsid w:val="00B3797A"/>
    <w:rsid w:val="00B37B45"/>
    <w:rsid w:val="00B37BBB"/>
    <w:rsid w:val="00B37D66"/>
    <w:rsid w:val="00B37F38"/>
    <w:rsid w:val="00B4012D"/>
    <w:rsid w:val="00B40321"/>
    <w:rsid w:val="00B40403"/>
    <w:rsid w:val="00B4059B"/>
    <w:rsid w:val="00B406A0"/>
    <w:rsid w:val="00B40C0D"/>
    <w:rsid w:val="00B40D96"/>
    <w:rsid w:val="00B40ED8"/>
    <w:rsid w:val="00B41004"/>
    <w:rsid w:val="00B41211"/>
    <w:rsid w:val="00B41271"/>
    <w:rsid w:val="00B412B1"/>
    <w:rsid w:val="00B412E1"/>
    <w:rsid w:val="00B413D9"/>
    <w:rsid w:val="00B41609"/>
    <w:rsid w:val="00B41725"/>
    <w:rsid w:val="00B41765"/>
    <w:rsid w:val="00B419AE"/>
    <w:rsid w:val="00B41C49"/>
    <w:rsid w:val="00B41D55"/>
    <w:rsid w:val="00B41DEF"/>
    <w:rsid w:val="00B41FBD"/>
    <w:rsid w:val="00B42269"/>
    <w:rsid w:val="00B4275F"/>
    <w:rsid w:val="00B4294D"/>
    <w:rsid w:val="00B429EC"/>
    <w:rsid w:val="00B42B34"/>
    <w:rsid w:val="00B42BEE"/>
    <w:rsid w:val="00B42D86"/>
    <w:rsid w:val="00B42F79"/>
    <w:rsid w:val="00B42F84"/>
    <w:rsid w:val="00B42FF5"/>
    <w:rsid w:val="00B42FF9"/>
    <w:rsid w:val="00B432A1"/>
    <w:rsid w:val="00B43329"/>
    <w:rsid w:val="00B4349A"/>
    <w:rsid w:val="00B434E6"/>
    <w:rsid w:val="00B436A0"/>
    <w:rsid w:val="00B436A7"/>
    <w:rsid w:val="00B436EF"/>
    <w:rsid w:val="00B43761"/>
    <w:rsid w:val="00B43824"/>
    <w:rsid w:val="00B43834"/>
    <w:rsid w:val="00B439A8"/>
    <w:rsid w:val="00B43A1E"/>
    <w:rsid w:val="00B43B46"/>
    <w:rsid w:val="00B43C9E"/>
    <w:rsid w:val="00B43CF0"/>
    <w:rsid w:val="00B43DCE"/>
    <w:rsid w:val="00B43EC8"/>
    <w:rsid w:val="00B4415E"/>
    <w:rsid w:val="00B44192"/>
    <w:rsid w:val="00B441F2"/>
    <w:rsid w:val="00B44211"/>
    <w:rsid w:val="00B44664"/>
    <w:rsid w:val="00B448B3"/>
    <w:rsid w:val="00B449A5"/>
    <w:rsid w:val="00B44B08"/>
    <w:rsid w:val="00B44BC5"/>
    <w:rsid w:val="00B44BC7"/>
    <w:rsid w:val="00B44CC5"/>
    <w:rsid w:val="00B44D41"/>
    <w:rsid w:val="00B44ED3"/>
    <w:rsid w:val="00B450D8"/>
    <w:rsid w:val="00B45156"/>
    <w:rsid w:val="00B451DE"/>
    <w:rsid w:val="00B453CD"/>
    <w:rsid w:val="00B45694"/>
    <w:rsid w:val="00B45705"/>
    <w:rsid w:val="00B457C1"/>
    <w:rsid w:val="00B45B4D"/>
    <w:rsid w:val="00B45E44"/>
    <w:rsid w:val="00B467E1"/>
    <w:rsid w:val="00B468E3"/>
    <w:rsid w:val="00B468F6"/>
    <w:rsid w:val="00B4698C"/>
    <w:rsid w:val="00B46A66"/>
    <w:rsid w:val="00B46A72"/>
    <w:rsid w:val="00B46A90"/>
    <w:rsid w:val="00B46AE2"/>
    <w:rsid w:val="00B46F1E"/>
    <w:rsid w:val="00B46F42"/>
    <w:rsid w:val="00B470DE"/>
    <w:rsid w:val="00B471EF"/>
    <w:rsid w:val="00B47277"/>
    <w:rsid w:val="00B472D7"/>
    <w:rsid w:val="00B472DB"/>
    <w:rsid w:val="00B47588"/>
    <w:rsid w:val="00B475A0"/>
    <w:rsid w:val="00B476FF"/>
    <w:rsid w:val="00B477C1"/>
    <w:rsid w:val="00B47A1A"/>
    <w:rsid w:val="00B47AE2"/>
    <w:rsid w:val="00B47C60"/>
    <w:rsid w:val="00B47DA8"/>
    <w:rsid w:val="00B47DE2"/>
    <w:rsid w:val="00B47E7D"/>
    <w:rsid w:val="00B47F2A"/>
    <w:rsid w:val="00B5000B"/>
    <w:rsid w:val="00B50248"/>
    <w:rsid w:val="00B5032D"/>
    <w:rsid w:val="00B50334"/>
    <w:rsid w:val="00B50453"/>
    <w:rsid w:val="00B505C4"/>
    <w:rsid w:val="00B50808"/>
    <w:rsid w:val="00B509EA"/>
    <w:rsid w:val="00B50D9E"/>
    <w:rsid w:val="00B50E83"/>
    <w:rsid w:val="00B50FEF"/>
    <w:rsid w:val="00B51130"/>
    <w:rsid w:val="00B512DB"/>
    <w:rsid w:val="00B51300"/>
    <w:rsid w:val="00B51335"/>
    <w:rsid w:val="00B514D2"/>
    <w:rsid w:val="00B517A5"/>
    <w:rsid w:val="00B51B0F"/>
    <w:rsid w:val="00B51C3D"/>
    <w:rsid w:val="00B51D12"/>
    <w:rsid w:val="00B51D57"/>
    <w:rsid w:val="00B51D8A"/>
    <w:rsid w:val="00B52187"/>
    <w:rsid w:val="00B521A0"/>
    <w:rsid w:val="00B521A8"/>
    <w:rsid w:val="00B521A9"/>
    <w:rsid w:val="00B525A6"/>
    <w:rsid w:val="00B52676"/>
    <w:rsid w:val="00B52994"/>
    <w:rsid w:val="00B52A2A"/>
    <w:rsid w:val="00B52B20"/>
    <w:rsid w:val="00B52CA5"/>
    <w:rsid w:val="00B52E18"/>
    <w:rsid w:val="00B530A3"/>
    <w:rsid w:val="00B531A6"/>
    <w:rsid w:val="00B53422"/>
    <w:rsid w:val="00B53AFC"/>
    <w:rsid w:val="00B53AFE"/>
    <w:rsid w:val="00B53EF8"/>
    <w:rsid w:val="00B53FF7"/>
    <w:rsid w:val="00B54010"/>
    <w:rsid w:val="00B54481"/>
    <w:rsid w:val="00B5471A"/>
    <w:rsid w:val="00B54871"/>
    <w:rsid w:val="00B548A0"/>
    <w:rsid w:val="00B548A5"/>
    <w:rsid w:val="00B548F8"/>
    <w:rsid w:val="00B54BA7"/>
    <w:rsid w:val="00B54F96"/>
    <w:rsid w:val="00B55067"/>
    <w:rsid w:val="00B550A9"/>
    <w:rsid w:val="00B5521C"/>
    <w:rsid w:val="00B55220"/>
    <w:rsid w:val="00B5529D"/>
    <w:rsid w:val="00B552F4"/>
    <w:rsid w:val="00B55937"/>
    <w:rsid w:val="00B559E9"/>
    <w:rsid w:val="00B55AAD"/>
    <w:rsid w:val="00B55AEA"/>
    <w:rsid w:val="00B55B36"/>
    <w:rsid w:val="00B55B84"/>
    <w:rsid w:val="00B55C69"/>
    <w:rsid w:val="00B55D07"/>
    <w:rsid w:val="00B55F34"/>
    <w:rsid w:val="00B55F84"/>
    <w:rsid w:val="00B561AC"/>
    <w:rsid w:val="00B563C9"/>
    <w:rsid w:val="00B566E3"/>
    <w:rsid w:val="00B5677F"/>
    <w:rsid w:val="00B5678A"/>
    <w:rsid w:val="00B5685A"/>
    <w:rsid w:val="00B568E7"/>
    <w:rsid w:val="00B569A4"/>
    <w:rsid w:val="00B56E9D"/>
    <w:rsid w:val="00B57054"/>
    <w:rsid w:val="00B57356"/>
    <w:rsid w:val="00B5739A"/>
    <w:rsid w:val="00B573C4"/>
    <w:rsid w:val="00B57860"/>
    <w:rsid w:val="00B579B9"/>
    <w:rsid w:val="00B57D33"/>
    <w:rsid w:val="00B57DE2"/>
    <w:rsid w:val="00B57DE6"/>
    <w:rsid w:val="00B57E2B"/>
    <w:rsid w:val="00B603A7"/>
    <w:rsid w:val="00B6044F"/>
    <w:rsid w:val="00B6047D"/>
    <w:rsid w:val="00B60580"/>
    <w:rsid w:val="00B6059F"/>
    <w:rsid w:val="00B605EC"/>
    <w:rsid w:val="00B60AF8"/>
    <w:rsid w:val="00B6100E"/>
    <w:rsid w:val="00B61220"/>
    <w:rsid w:val="00B6123A"/>
    <w:rsid w:val="00B61240"/>
    <w:rsid w:val="00B613FC"/>
    <w:rsid w:val="00B61533"/>
    <w:rsid w:val="00B619E8"/>
    <w:rsid w:val="00B61C2B"/>
    <w:rsid w:val="00B61C79"/>
    <w:rsid w:val="00B61E69"/>
    <w:rsid w:val="00B62043"/>
    <w:rsid w:val="00B620C0"/>
    <w:rsid w:val="00B621F7"/>
    <w:rsid w:val="00B621FC"/>
    <w:rsid w:val="00B62464"/>
    <w:rsid w:val="00B6249B"/>
    <w:rsid w:val="00B6257E"/>
    <w:rsid w:val="00B626D9"/>
    <w:rsid w:val="00B628DA"/>
    <w:rsid w:val="00B6310B"/>
    <w:rsid w:val="00B631D2"/>
    <w:rsid w:val="00B63492"/>
    <w:rsid w:val="00B6355A"/>
    <w:rsid w:val="00B63749"/>
    <w:rsid w:val="00B637E4"/>
    <w:rsid w:val="00B639EF"/>
    <w:rsid w:val="00B63DA5"/>
    <w:rsid w:val="00B6417B"/>
    <w:rsid w:val="00B6421C"/>
    <w:rsid w:val="00B6427C"/>
    <w:rsid w:val="00B642C3"/>
    <w:rsid w:val="00B64320"/>
    <w:rsid w:val="00B64495"/>
    <w:rsid w:val="00B64539"/>
    <w:rsid w:val="00B64B26"/>
    <w:rsid w:val="00B64BC9"/>
    <w:rsid w:val="00B64F74"/>
    <w:rsid w:val="00B6513B"/>
    <w:rsid w:val="00B6526D"/>
    <w:rsid w:val="00B65586"/>
    <w:rsid w:val="00B65643"/>
    <w:rsid w:val="00B65AAE"/>
    <w:rsid w:val="00B65B83"/>
    <w:rsid w:val="00B65BC8"/>
    <w:rsid w:val="00B65DE0"/>
    <w:rsid w:val="00B65E55"/>
    <w:rsid w:val="00B65F30"/>
    <w:rsid w:val="00B66003"/>
    <w:rsid w:val="00B66271"/>
    <w:rsid w:val="00B662DE"/>
    <w:rsid w:val="00B664A8"/>
    <w:rsid w:val="00B66592"/>
    <w:rsid w:val="00B665C3"/>
    <w:rsid w:val="00B665EF"/>
    <w:rsid w:val="00B66824"/>
    <w:rsid w:val="00B6686F"/>
    <w:rsid w:val="00B6696B"/>
    <w:rsid w:val="00B66AC0"/>
    <w:rsid w:val="00B66D61"/>
    <w:rsid w:val="00B66F4A"/>
    <w:rsid w:val="00B66F5C"/>
    <w:rsid w:val="00B6706D"/>
    <w:rsid w:val="00B67153"/>
    <w:rsid w:val="00B67201"/>
    <w:rsid w:val="00B67550"/>
    <w:rsid w:val="00B67583"/>
    <w:rsid w:val="00B6762A"/>
    <w:rsid w:val="00B6767C"/>
    <w:rsid w:val="00B67773"/>
    <w:rsid w:val="00B6785D"/>
    <w:rsid w:val="00B678DE"/>
    <w:rsid w:val="00B67AC2"/>
    <w:rsid w:val="00B67DA7"/>
    <w:rsid w:val="00B67ECB"/>
    <w:rsid w:val="00B67F41"/>
    <w:rsid w:val="00B67FE4"/>
    <w:rsid w:val="00B7000D"/>
    <w:rsid w:val="00B70155"/>
    <w:rsid w:val="00B701AB"/>
    <w:rsid w:val="00B70850"/>
    <w:rsid w:val="00B708AE"/>
    <w:rsid w:val="00B70BE3"/>
    <w:rsid w:val="00B70C0D"/>
    <w:rsid w:val="00B70CB5"/>
    <w:rsid w:val="00B70DA2"/>
    <w:rsid w:val="00B715C0"/>
    <w:rsid w:val="00B7168C"/>
    <w:rsid w:val="00B718B2"/>
    <w:rsid w:val="00B71901"/>
    <w:rsid w:val="00B719CA"/>
    <w:rsid w:val="00B719DF"/>
    <w:rsid w:val="00B71C39"/>
    <w:rsid w:val="00B71D18"/>
    <w:rsid w:val="00B71D2C"/>
    <w:rsid w:val="00B7243C"/>
    <w:rsid w:val="00B7265F"/>
    <w:rsid w:val="00B72C8D"/>
    <w:rsid w:val="00B72D09"/>
    <w:rsid w:val="00B72EF3"/>
    <w:rsid w:val="00B7324A"/>
    <w:rsid w:val="00B7327F"/>
    <w:rsid w:val="00B73716"/>
    <w:rsid w:val="00B737A6"/>
    <w:rsid w:val="00B737CB"/>
    <w:rsid w:val="00B739FD"/>
    <w:rsid w:val="00B73A13"/>
    <w:rsid w:val="00B742DA"/>
    <w:rsid w:val="00B74394"/>
    <w:rsid w:val="00B743A7"/>
    <w:rsid w:val="00B7452C"/>
    <w:rsid w:val="00B746DE"/>
    <w:rsid w:val="00B748A4"/>
    <w:rsid w:val="00B749DC"/>
    <w:rsid w:val="00B74B20"/>
    <w:rsid w:val="00B74C1E"/>
    <w:rsid w:val="00B74C3F"/>
    <w:rsid w:val="00B74CB1"/>
    <w:rsid w:val="00B74CD4"/>
    <w:rsid w:val="00B74D09"/>
    <w:rsid w:val="00B74D77"/>
    <w:rsid w:val="00B75106"/>
    <w:rsid w:val="00B7524F"/>
    <w:rsid w:val="00B756A3"/>
    <w:rsid w:val="00B75D6B"/>
    <w:rsid w:val="00B75D77"/>
    <w:rsid w:val="00B75EB9"/>
    <w:rsid w:val="00B75FBB"/>
    <w:rsid w:val="00B76252"/>
    <w:rsid w:val="00B7625E"/>
    <w:rsid w:val="00B7670A"/>
    <w:rsid w:val="00B7688A"/>
    <w:rsid w:val="00B76CB3"/>
    <w:rsid w:val="00B76CC8"/>
    <w:rsid w:val="00B76DC7"/>
    <w:rsid w:val="00B76E29"/>
    <w:rsid w:val="00B76ED6"/>
    <w:rsid w:val="00B76EFB"/>
    <w:rsid w:val="00B7727D"/>
    <w:rsid w:val="00B7745B"/>
    <w:rsid w:val="00B77761"/>
    <w:rsid w:val="00B7777B"/>
    <w:rsid w:val="00B77914"/>
    <w:rsid w:val="00B77AD5"/>
    <w:rsid w:val="00B77B55"/>
    <w:rsid w:val="00B77DA1"/>
    <w:rsid w:val="00B80149"/>
    <w:rsid w:val="00B801A5"/>
    <w:rsid w:val="00B80350"/>
    <w:rsid w:val="00B80461"/>
    <w:rsid w:val="00B80489"/>
    <w:rsid w:val="00B804B8"/>
    <w:rsid w:val="00B805C2"/>
    <w:rsid w:val="00B808F9"/>
    <w:rsid w:val="00B809A3"/>
    <w:rsid w:val="00B80A59"/>
    <w:rsid w:val="00B80A7A"/>
    <w:rsid w:val="00B80F3A"/>
    <w:rsid w:val="00B810B9"/>
    <w:rsid w:val="00B811C3"/>
    <w:rsid w:val="00B811EA"/>
    <w:rsid w:val="00B81304"/>
    <w:rsid w:val="00B813D6"/>
    <w:rsid w:val="00B81579"/>
    <w:rsid w:val="00B81630"/>
    <w:rsid w:val="00B8170C"/>
    <w:rsid w:val="00B81768"/>
    <w:rsid w:val="00B81A34"/>
    <w:rsid w:val="00B81A6F"/>
    <w:rsid w:val="00B81AD3"/>
    <w:rsid w:val="00B81C7F"/>
    <w:rsid w:val="00B81CA0"/>
    <w:rsid w:val="00B81CCA"/>
    <w:rsid w:val="00B81EAD"/>
    <w:rsid w:val="00B81FB9"/>
    <w:rsid w:val="00B820C5"/>
    <w:rsid w:val="00B82142"/>
    <w:rsid w:val="00B822F3"/>
    <w:rsid w:val="00B822F9"/>
    <w:rsid w:val="00B82309"/>
    <w:rsid w:val="00B8234E"/>
    <w:rsid w:val="00B82368"/>
    <w:rsid w:val="00B824E1"/>
    <w:rsid w:val="00B82663"/>
    <w:rsid w:val="00B82AAE"/>
    <w:rsid w:val="00B82B0A"/>
    <w:rsid w:val="00B82B16"/>
    <w:rsid w:val="00B82C01"/>
    <w:rsid w:val="00B82DEF"/>
    <w:rsid w:val="00B832D0"/>
    <w:rsid w:val="00B83454"/>
    <w:rsid w:val="00B83697"/>
    <w:rsid w:val="00B83782"/>
    <w:rsid w:val="00B83833"/>
    <w:rsid w:val="00B8385F"/>
    <w:rsid w:val="00B838B0"/>
    <w:rsid w:val="00B838DE"/>
    <w:rsid w:val="00B83976"/>
    <w:rsid w:val="00B83AE2"/>
    <w:rsid w:val="00B83BE4"/>
    <w:rsid w:val="00B83F8E"/>
    <w:rsid w:val="00B84292"/>
    <w:rsid w:val="00B8453F"/>
    <w:rsid w:val="00B845FB"/>
    <w:rsid w:val="00B84908"/>
    <w:rsid w:val="00B8490E"/>
    <w:rsid w:val="00B849C0"/>
    <w:rsid w:val="00B84B17"/>
    <w:rsid w:val="00B84D43"/>
    <w:rsid w:val="00B84E39"/>
    <w:rsid w:val="00B85013"/>
    <w:rsid w:val="00B85121"/>
    <w:rsid w:val="00B85382"/>
    <w:rsid w:val="00B857E7"/>
    <w:rsid w:val="00B85C78"/>
    <w:rsid w:val="00B860B5"/>
    <w:rsid w:val="00B86402"/>
    <w:rsid w:val="00B8684F"/>
    <w:rsid w:val="00B8698D"/>
    <w:rsid w:val="00B86A92"/>
    <w:rsid w:val="00B86AED"/>
    <w:rsid w:val="00B86B90"/>
    <w:rsid w:val="00B86BCA"/>
    <w:rsid w:val="00B86DD1"/>
    <w:rsid w:val="00B86F83"/>
    <w:rsid w:val="00B86FB5"/>
    <w:rsid w:val="00B86FFC"/>
    <w:rsid w:val="00B87307"/>
    <w:rsid w:val="00B87311"/>
    <w:rsid w:val="00B87331"/>
    <w:rsid w:val="00B87367"/>
    <w:rsid w:val="00B87504"/>
    <w:rsid w:val="00B87E5E"/>
    <w:rsid w:val="00B87E94"/>
    <w:rsid w:val="00B87F06"/>
    <w:rsid w:val="00B90042"/>
    <w:rsid w:val="00B90118"/>
    <w:rsid w:val="00B901D6"/>
    <w:rsid w:val="00B9041A"/>
    <w:rsid w:val="00B90659"/>
    <w:rsid w:val="00B9096E"/>
    <w:rsid w:val="00B90EBC"/>
    <w:rsid w:val="00B911DA"/>
    <w:rsid w:val="00B91293"/>
    <w:rsid w:val="00B91311"/>
    <w:rsid w:val="00B9132E"/>
    <w:rsid w:val="00B91388"/>
    <w:rsid w:val="00B915D0"/>
    <w:rsid w:val="00B916DB"/>
    <w:rsid w:val="00B91798"/>
    <w:rsid w:val="00B91875"/>
    <w:rsid w:val="00B91A30"/>
    <w:rsid w:val="00B91AAB"/>
    <w:rsid w:val="00B91C99"/>
    <w:rsid w:val="00B91D74"/>
    <w:rsid w:val="00B920A3"/>
    <w:rsid w:val="00B92188"/>
    <w:rsid w:val="00B92199"/>
    <w:rsid w:val="00B922B8"/>
    <w:rsid w:val="00B923EA"/>
    <w:rsid w:val="00B9273A"/>
    <w:rsid w:val="00B92ECB"/>
    <w:rsid w:val="00B92FB1"/>
    <w:rsid w:val="00B930DC"/>
    <w:rsid w:val="00B931CD"/>
    <w:rsid w:val="00B93355"/>
    <w:rsid w:val="00B934AE"/>
    <w:rsid w:val="00B93612"/>
    <w:rsid w:val="00B9387B"/>
    <w:rsid w:val="00B9392B"/>
    <w:rsid w:val="00B93FFC"/>
    <w:rsid w:val="00B942F3"/>
    <w:rsid w:val="00B94323"/>
    <w:rsid w:val="00B94339"/>
    <w:rsid w:val="00B9446F"/>
    <w:rsid w:val="00B946BF"/>
    <w:rsid w:val="00B946C5"/>
    <w:rsid w:val="00B94778"/>
    <w:rsid w:val="00B94841"/>
    <w:rsid w:val="00B9485E"/>
    <w:rsid w:val="00B94A3B"/>
    <w:rsid w:val="00B94A69"/>
    <w:rsid w:val="00B94AC6"/>
    <w:rsid w:val="00B94B40"/>
    <w:rsid w:val="00B94F46"/>
    <w:rsid w:val="00B9501A"/>
    <w:rsid w:val="00B9508F"/>
    <w:rsid w:val="00B9526F"/>
    <w:rsid w:val="00B952B9"/>
    <w:rsid w:val="00B9555B"/>
    <w:rsid w:val="00B955B3"/>
    <w:rsid w:val="00B9578D"/>
    <w:rsid w:val="00B9592B"/>
    <w:rsid w:val="00B95ADC"/>
    <w:rsid w:val="00B95FD1"/>
    <w:rsid w:val="00B96159"/>
    <w:rsid w:val="00B96197"/>
    <w:rsid w:val="00B961B4"/>
    <w:rsid w:val="00B9625F"/>
    <w:rsid w:val="00B96281"/>
    <w:rsid w:val="00B9630A"/>
    <w:rsid w:val="00B964E1"/>
    <w:rsid w:val="00B966CD"/>
    <w:rsid w:val="00B96760"/>
    <w:rsid w:val="00B96803"/>
    <w:rsid w:val="00B9704A"/>
    <w:rsid w:val="00B97127"/>
    <w:rsid w:val="00B97893"/>
    <w:rsid w:val="00B978A7"/>
    <w:rsid w:val="00B97933"/>
    <w:rsid w:val="00B9798A"/>
    <w:rsid w:val="00B97C06"/>
    <w:rsid w:val="00B97C79"/>
    <w:rsid w:val="00B97F6A"/>
    <w:rsid w:val="00BA014E"/>
    <w:rsid w:val="00BA0283"/>
    <w:rsid w:val="00BA0644"/>
    <w:rsid w:val="00BA08CC"/>
    <w:rsid w:val="00BA096F"/>
    <w:rsid w:val="00BA09AF"/>
    <w:rsid w:val="00BA0A60"/>
    <w:rsid w:val="00BA0B5A"/>
    <w:rsid w:val="00BA0C02"/>
    <w:rsid w:val="00BA0CE6"/>
    <w:rsid w:val="00BA0D97"/>
    <w:rsid w:val="00BA1011"/>
    <w:rsid w:val="00BA1112"/>
    <w:rsid w:val="00BA15E8"/>
    <w:rsid w:val="00BA1B8D"/>
    <w:rsid w:val="00BA1E45"/>
    <w:rsid w:val="00BA1F45"/>
    <w:rsid w:val="00BA2078"/>
    <w:rsid w:val="00BA213E"/>
    <w:rsid w:val="00BA2178"/>
    <w:rsid w:val="00BA2313"/>
    <w:rsid w:val="00BA244A"/>
    <w:rsid w:val="00BA2529"/>
    <w:rsid w:val="00BA25AC"/>
    <w:rsid w:val="00BA284C"/>
    <w:rsid w:val="00BA28CD"/>
    <w:rsid w:val="00BA2B63"/>
    <w:rsid w:val="00BA2CBF"/>
    <w:rsid w:val="00BA2E0F"/>
    <w:rsid w:val="00BA3105"/>
    <w:rsid w:val="00BA31A9"/>
    <w:rsid w:val="00BA32E2"/>
    <w:rsid w:val="00BA361C"/>
    <w:rsid w:val="00BA3793"/>
    <w:rsid w:val="00BA389B"/>
    <w:rsid w:val="00BA418D"/>
    <w:rsid w:val="00BA42C2"/>
    <w:rsid w:val="00BA4393"/>
    <w:rsid w:val="00BA463A"/>
    <w:rsid w:val="00BA46E1"/>
    <w:rsid w:val="00BA485B"/>
    <w:rsid w:val="00BA4B68"/>
    <w:rsid w:val="00BA4DBE"/>
    <w:rsid w:val="00BA515E"/>
    <w:rsid w:val="00BA53BC"/>
    <w:rsid w:val="00BA56BC"/>
    <w:rsid w:val="00BA57CA"/>
    <w:rsid w:val="00BA57D1"/>
    <w:rsid w:val="00BA5A4B"/>
    <w:rsid w:val="00BA5A6D"/>
    <w:rsid w:val="00BA5A71"/>
    <w:rsid w:val="00BA5B53"/>
    <w:rsid w:val="00BA5B9A"/>
    <w:rsid w:val="00BA5E3E"/>
    <w:rsid w:val="00BA5F51"/>
    <w:rsid w:val="00BA5FC4"/>
    <w:rsid w:val="00BA60C3"/>
    <w:rsid w:val="00BA61DB"/>
    <w:rsid w:val="00BA6303"/>
    <w:rsid w:val="00BA641B"/>
    <w:rsid w:val="00BA641D"/>
    <w:rsid w:val="00BA66EB"/>
    <w:rsid w:val="00BA6705"/>
    <w:rsid w:val="00BA6746"/>
    <w:rsid w:val="00BA677E"/>
    <w:rsid w:val="00BA6A4F"/>
    <w:rsid w:val="00BA6A57"/>
    <w:rsid w:val="00BA6A87"/>
    <w:rsid w:val="00BA6AC1"/>
    <w:rsid w:val="00BA6CFE"/>
    <w:rsid w:val="00BA6F42"/>
    <w:rsid w:val="00BA71AB"/>
    <w:rsid w:val="00BA721E"/>
    <w:rsid w:val="00BA7279"/>
    <w:rsid w:val="00BA744B"/>
    <w:rsid w:val="00BA74B2"/>
    <w:rsid w:val="00BA7618"/>
    <w:rsid w:val="00BA7D83"/>
    <w:rsid w:val="00BA7DDF"/>
    <w:rsid w:val="00BA7E0A"/>
    <w:rsid w:val="00BB002D"/>
    <w:rsid w:val="00BB0122"/>
    <w:rsid w:val="00BB0375"/>
    <w:rsid w:val="00BB0429"/>
    <w:rsid w:val="00BB0536"/>
    <w:rsid w:val="00BB0656"/>
    <w:rsid w:val="00BB0A21"/>
    <w:rsid w:val="00BB0A5E"/>
    <w:rsid w:val="00BB0AC5"/>
    <w:rsid w:val="00BB0BDA"/>
    <w:rsid w:val="00BB0F74"/>
    <w:rsid w:val="00BB11B1"/>
    <w:rsid w:val="00BB12B0"/>
    <w:rsid w:val="00BB15FA"/>
    <w:rsid w:val="00BB16C3"/>
    <w:rsid w:val="00BB17DA"/>
    <w:rsid w:val="00BB1B28"/>
    <w:rsid w:val="00BB1B56"/>
    <w:rsid w:val="00BB1CB0"/>
    <w:rsid w:val="00BB1EB0"/>
    <w:rsid w:val="00BB220B"/>
    <w:rsid w:val="00BB2308"/>
    <w:rsid w:val="00BB232B"/>
    <w:rsid w:val="00BB28C7"/>
    <w:rsid w:val="00BB2A9E"/>
    <w:rsid w:val="00BB2B1D"/>
    <w:rsid w:val="00BB2C30"/>
    <w:rsid w:val="00BB2CBD"/>
    <w:rsid w:val="00BB2F89"/>
    <w:rsid w:val="00BB307D"/>
    <w:rsid w:val="00BB31DD"/>
    <w:rsid w:val="00BB3249"/>
    <w:rsid w:val="00BB3348"/>
    <w:rsid w:val="00BB3478"/>
    <w:rsid w:val="00BB36EE"/>
    <w:rsid w:val="00BB3799"/>
    <w:rsid w:val="00BB3E79"/>
    <w:rsid w:val="00BB417A"/>
    <w:rsid w:val="00BB4385"/>
    <w:rsid w:val="00BB450D"/>
    <w:rsid w:val="00BB47D1"/>
    <w:rsid w:val="00BB47F2"/>
    <w:rsid w:val="00BB4901"/>
    <w:rsid w:val="00BB492F"/>
    <w:rsid w:val="00BB4A9F"/>
    <w:rsid w:val="00BB4AD2"/>
    <w:rsid w:val="00BB4BFC"/>
    <w:rsid w:val="00BB4E1B"/>
    <w:rsid w:val="00BB52BA"/>
    <w:rsid w:val="00BB5573"/>
    <w:rsid w:val="00BB5828"/>
    <w:rsid w:val="00BB5866"/>
    <w:rsid w:val="00BB5A4A"/>
    <w:rsid w:val="00BB5B6C"/>
    <w:rsid w:val="00BB5BE0"/>
    <w:rsid w:val="00BB5D33"/>
    <w:rsid w:val="00BB5DCC"/>
    <w:rsid w:val="00BB5EED"/>
    <w:rsid w:val="00BB5FB9"/>
    <w:rsid w:val="00BB5FDC"/>
    <w:rsid w:val="00BB6329"/>
    <w:rsid w:val="00BB641F"/>
    <w:rsid w:val="00BB6534"/>
    <w:rsid w:val="00BB6733"/>
    <w:rsid w:val="00BB682D"/>
    <w:rsid w:val="00BB6BA0"/>
    <w:rsid w:val="00BB6D3E"/>
    <w:rsid w:val="00BB6D62"/>
    <w:rsid w:val="00BB6E40"/>
    <w:rsid w:val="00BB7072"/>
    <w:rsid w:val="00BB70B1"/>
    <w:rsid w:val="00BB70EF"/>
    <w:rsid w:val="00BB7128"/>
    <w:rsid w:val="00BB7242"/>
    <w:rsid w:val="00BB7486"/>
    <w:rsid w:val="00BB76B3"/>
    <w:rsid w:val="00BB78BA"/>
    <w:rsid w:val="00BB79C0"/>
    <w:rsid w:val="00BB7E58"/>
    <w:rsid w:val="00BB7EAA"/>
    <w:rsid w:val="00BC004D"/>
    <w:rsid w:val="00BC0276"/>
    <w:rsid w:val="00BC03FF"/>
    <w:rsid w:val="00BC0810"/>
    <w:rsid w:val="00BC0DBF"/>
    <w:rsid w:val="00BC0FC3"/>
    <w:rsid w:val="00BC105C"/>
    <w:rsid w:val="00BC1088"/>
    <w:rsid w:val="00BC1232"/>
    <w:rsid w:val="00BC169E"/>
    <w:rsid w:val="00BC16A3"/>
    <w:rsid w:val="00BC1936"/>
    <w:rsid w:val="00BC1A39"/>
    <w:rsid w:val="00BC1AC3"/>
    <w:rsid w:val="00BC1BB4"/>
    <w:rsid w:val="00BC1E9D"/>
    <w:rsid w:val="00BC2562"/>
    <w:rsid w:val="00BC2789"/>
    <w:rsid w:val="00BC27BD"/>
    <w:rsid w:val="00BC2B15"/>
    <w:rsid w:val="00BC2BAB"/>
    <w:rsid w:val="00BC3075"/>
    <w:rsid w:val="00BC307B"/>
    <w:rsid w:val="00BC3228"/>
    <w:rsid w:val="00BC33D9"/>
    <w:rsid w:val="00BC352B"/>
    <w:rsid w:val="00BC36B9"/>
    <w:rsid w:val="00BC37C2"/>
    <w:rsid w:val="00BC3842"/>
    <w:rsid w:val="00BC3896"/>
    <w:rsid w:val="00BC3E0A"/>
    <w:rsid w:val="00BC3FC6"/>
    <w:rsid w:val="00BC431A"/>
    <w:rsid w:val="00BC43DB"/>
    <w:rsid w:val="00BC45D4"/>
    <w:rsid w:val="00BC484A"/>
    <w:rsid w:val="00BC4D51"/>
    <w:rsid w:val="00BC4D7D"/>
    <w:rsid w:val="00BC4D8E"/>
    <w:rsid w:val="00BC5135"/>
    <w:rsid w:val="00BC542D"/>
    <w:rsid w:val="00BC559D"/>
    <w:rsid w:val="00BC578E"/>
    <w:rsid w:val="00BC5BC9"/>
    <w:rsid w:val="00BC5F51"/>
    <w:rsid w:val="00BC5F61"/>
    <w:rsid w:val="00BC6110"/>
    <w:rsid w:val="00BC6202"/>
    <w:rsid w:val="00BC6D02"/>
    <w:rsid w:val="00BC710A"/>
    <w:rsid w:val="00BC7446"/>
    <w:rsid w:val="00BC7554"/>
    <w:rsid w:val="00BC75AF"/>
    <w:rsid w:val="00BC7782"/>
    <w:rsid w:val="00BC7846"/>
    <w:rsid w:val="00BC7AA9"/>
    <w:rsid w:val="00BC7BD6"/>
    <w:rsid w:val="00BC7FD2"/>
    <w:rsid w:val="00BD01BE"/>
    <w:rsid w:val="00BD02B3"/>
    <w:rsid w:val="00BD042A"/>
    <w:rsid w:val="00BD042F"/>
    <w:rsid w:val="00BD04D6"/>
    <w:rsid w:val="00BD0512"/>
    <w:rsid w:val="00BD0794"/>
    <w:rsid w:val="00BD0993"/>
    <w:rsid w:val="00BD0B11"/>
    <w:rsid w:val="00BD0CE1"/>
    <w:rsid w:val="00BD0D05"/>
    <w:rsid w:val="00BD0E9C"/>
    <w:rsid w:val="00BD1000"/>
    <w:rsid w:val="00BD1156"/>
    <w:rsid w:val="00BD122D"/>
    <w:rsid w:val="00BD1379"/>
    <w:rsid w:val="00BD13FE"/>
    <w:rsid w:val="00BD144E"/>
    <w:rsid w:val="00BD15E1"/>
    <w:rsid w:val="00BD1610"/>
    <w:rsid w:val="00BD16CC"/>
    <w:rsid w:val="00BD17C5"/>
    <w:rsid w:val="00BD1C9E"/>
    <w:rsid w:val="00BD1DAA"/>
    <w:rsid w:val="00BD1E16"/>
    <w:rsid w:val="00BD1FFD"/>
    <w:rsid w:val="00BD2060"/>
    <w:rsid w:val="00BD20C9"/>
    <w:rsid w:val="00BD227D"/>
    <w:rsid w:val="00BD22C2"/>
    <w:rsid w:val="00BD284C"/>
    <w:rsid w:val="00BD2921"/>
    <w:rsid w:val="00BD2979"/>
    <w:rsid w:val="00BD2DD2"/>
    <w:rsid w:val="00BD2DE4"/>
    <w:rsid w:val="00BD2F70"/>
    <w:rsid w:val="00BD31FB"/>
    <w:rsid w:val="00BD32BF"/>
    <w:rsid w:val="00BD39A7"/>
    <w:rsid w:val="00BD3CE6"/>
    <w:rsid w:val="00BD3D79"/>
    <w:rsid w:val="00BD4223"/>
    <w:rsid w:val="00BD4405"/>
    <w:rsid w:val="00BD4636"/>
    <w:rsid w:val="00BD46BD"/>
    <w:rsid w:val="00BD4776"/>
    <w:rsid w:val="00BD4816"/>
    <w:rsid w:val="00BD4A4E"/>
    <w:rsid w:val="00BD4A75"/>
    <w:rsid w:val="00BD4C99"/>
    <w:rsid w:val="00BD4F41"/>
    <w:rsid w:val="00BD51B3"/>
    <w:rsid w:val="00BD54AA"/>
    <w:rsid w:val="00BD55E3"/>
    <w:rsid w:val="00BD563C"/>
    <w:rsid w:val="00BD5676"/>
    <w:rsid w:val="00BD56FE"/>
    <w:rsid w:val="00BD5764"/>
    <w:rsid w:val="00BD5898"/>
    <w:rsid w:val="00BD5D4E"/>
    <w:rsid w:val="00BD5D68"/>
    <w:rsid w:val="00BD5F43"/>
    <w:rsid w:val="00BD60A8"/>
    <w:rsid w:val="00BD60EA"/>
    <w:rsid w:val="00BD60EE"/>
    <w:rsid w:val="00BD616E"/>
    <w:rsid w:val="00BD6262"/>
    <w:rsid w:val="00BD655F"/>
    <w:rsid w:val="00BD6715"/>
    <w:rsid w:val="00BD6762"/>
    <w:rsid w:val="00BD67CA"/>
    <w:rsid w:val="00BD6849"/>
    <w:rsid w:val="00BD6C22"/>
    <w:rsid w:val="00BD6D22"/>
    <w:rsid w:val="00BD6E9E"/>
    <w:rsid w:val="00BD6EA4"/>
    <w:rsid w:val="00BD6ECA"/>
    <w:rsid w:val="00BD70D9"/>
    <w:rsid w:val="00BD7143"/>
    <w:rsid w:val="00BD7203"/>
    <w:rsid w:val="00BD749D"/>
    <w:rsid w:val="00BD785D"/>
    <w:rsid w:val="00BD79A1"/>
    <w:rsid w:val="00BD7C70"/>
    <w:rsid w:val="00BD7EB7"/>
    <w:rsid w:val="00BE008B"/>
    <w:rsid w:val="00BE0598"/>
    <w:rsid w:val="00BE0A27"/>
    <w:rsid w:val="00BE0B89"/>
    <w:rsid w:val="00BE1136"/>
    <w:rsid w:val="00BE1712"/>
    <w:rsid w:val="00BE18D5"/>
    <w:rsid w:val="00BE192D"/>
    <w:rsid w:val="00BE1B70"/>
    <w:rsid w:val="00BE1B72"/>
    <w:rsid w:val="00BE1CF1"/>
    <w:rsid w:val="00BE1DDE"/>
    <w:rsid w:val="00BE1E37"/>
    <w:rsid w:val="00BE1EF7"/>
    <w:rsid w:val="00BE2065"/>
    <w:rsid w:val="00BE21BF"/>
    <w:rsid w:val="00BE224B"/>
    <w:rsid w:val="00BE23DB"/>
    <w:rsid w:val="00BE2468"/>
    <w:rsid w:val="00BE278B"/>
    <w:rsid w:val="00BE288A"/>
    <w:rsid w:val="00BE2983"/>
    <w:rsid w:val="00BE29B8"/>
    <w:rsid w:val="00BE2A67"/>
    <w:rsid w:val="00BE2A68"/>
    <w:rsid w:val="00BE2F52"/>
    <w:rsid w:val="00BE3083"/>
    <w:rsid w:val="00BE3246"/>
    <w:rsid w:val="00BE330B"/>
    <w:rsid w:val="00BE33F0"/>
    <w:rsid w:val="00BE3458"/>
    <w:rsid w:val="00BE3988"/>
    <w:rsid w:val="00BE39BF"/>
    <w:rsid w:val="00BE3A18"/>
    <w:rsid w:val="00BE3D2B"/>
    <w:rsid w:val="00BE4125"/>
    <w:rsid w:val="00BE4166"/>
    <w:rsid w:val="00BE4221"/>
    <w:rsid w:val="00BE446D"/>
    <w:rsid w:val="00BE47D1"/>
    <w:rsid w:val="00BE4B82"/>
    <w:rsid w:val="00BE4F45"/>
    <w:rsid w:val="00BE4F7C"/>
    <w:rsid w:val="00BE4FBB"/>
    <w:rsid w:val="00BE5104"/>
    <w:rsid w:val="00BE5251"/>
    <w:rsid w:val="00BE546B"/>
    <w:rsid w:val="00BE54AF"/>
    <w:rsid w:val="00BE561C"/>
    <w:rsid w:val="00BE577F"/>
    <w:rsid w:val="00BE5865"/>
    <w:rsid w:val="00BE5915"/>
    <w:rsid w:val="00BE5936"/>
    <w:rsid w:val="00BE5E7C"/>
    <w:rsid w:val="00BE60C4"/>
    <w:rsid w:val="00BE60D1"/>
    <w:rsid w:val="00BE6287"/>
    <w:rsid w:val="00BE62FC"/>
    <w:rsid w:val="00BE63CE"/>
    <w:rsid w:val="00BE64EF"/>
    <w:rsid w:val="00BE6608"/>
    <w:rsid w:val="00BE66C8"/>
    <w:rsid w:val="00BE6976"/>
    <w:rsid w:val="00BE6A44"/>
    <w:rsid w:val="00BE6A76"/>
    <w:rsid w:val="00BE6A7A"/>
    <w:rsid w:val="00BE6A9C"/>
    <w:rsid w:val="00BE6B29"/>
    <w:rsid w:val="00BE6F53"/>
    <w:rsid w:val="00BE6FEB"/>
    <w:rsid w:val="00BE709D"/>
    <w:rsid w:val="00BE721C"/>
    <w:rsid w:val="00BE728D"/>
    <w:rsid w:val="00BE72B1"/>
    <w:rsid w:val="00BE73DE"/>
    <w:rsid w:val="00BE74C6"/>
    <w:rsid w:val="00BE7572"/>
    <w:rsid w:val="00BE7663"/>
    <w:rsid w:val="00BE798F"/>
    <w:rsid w:val="00BE7AAB"/>
    <w:rsid w:val="00BE7B39"/>
    <w:rsid w:val="00BE7BBC"/>
    <w:rsid w:val="00BE7BD2"/>
    <w:rsid w:val="00BE7FF6"/>
    <w:rsid w:val="00BF0060"/>
    <w:rsid w:val="00BF00DA"/>
    <w:rsid w:val="00BF0170"/>
    <w:rsid w:val="00BF0317"/>
    <w:rsid w:val="00BF0638"/>
    <w:rsid w:val="00BF0782"/>
    <w:rsid w:val="00BF07C2"/>
    <w:rsid w:val="00BF0895"/>
    <w:rsid w:val="00BF0A40"/>
    <w:rsid w:val="00BF0B5D"/>
    <w:rsid w:val="00BF107B"/>
    <w:rsid w:val="00BF129F"/>
    <w:rsid w:val="00BF142C"/>
    <w:rsid w:val="00BF164D"/>
    <w:rsid w:val="00BF1798"/>
    <w:rsid w:val="00BF1822"/>
    <w:rsid w:val="00BF19E6"/>
    <w:rsid w:val="00BF1B52"/>
    <w:rsid w:val="00BF1D90"/>
    <w:rsid w:val="00BF1F12"/>
    <w:rsid w:val="00BF1F38"/>
    <w:rsid w:val="00BF1F98"/>
    <w:rsid w:val="00BF20E2"/>
    <w:rsid w:val="00BF21B9"/>
    <w:rsid w:val="00BF22F4"/>
    <w:rsid w:val="00BF2425"/>
    <w:rsid w:val="00BF262E"/>
    <w:rsid w:val="00BF26E5"/>
    <w:rsid w:val="00BF279D"/>
    <w:rsid w:val="00BF27BA"/>
    <w:rsid w:val="00BF27C2"/>
    <w:rsid w:val="00BF287F"/>
    <w:rsid w:val="00BF294D"/>
    <w:rsid w:val="00BF2AED"/>
    <w:rsid w:val="00BF2C21"/>
    <w:rsid w:val="00BF300D"/>
    <w:rsid w:val="00BF30A9"/>
    <w:rsid w:val="00BF31B6"/>
    <w:rsid w:val="00BF3412"/>
    <w:rsid w:val="00BF342B"/>
    <w:rsid w:val="00BF366A"/>
    <w:rsid w:val="00BF3BB7"/>
    <w:rsid w:val="00BF3C41"/>
    <w:rsid w:val="00BF3DAC"/>
    <w:rsid w:val="00BF3F71"/>
    <w:rsid w:val="00BF4208"/>
    <w:rsid w:val="00BF4248"/>
    <w:rsid w:val="00BF42BE"/>
    <w:rsid w:val="00BF43C3"/>
    <w:rsid w:val="00BF466D"/>
    <w:rsid w:val="00BF48DE"/>
    <w:rsid w:val="00BF4E57"/>
    <w:rsid w:val="00BF5318"/>
    <w:rsid w:val="00BF59C6"/>
    <w:rsid w:val="00BF5B01"/>
    <w:rsid w:val="00BF5DFB"/>
    <w:rsid w:val="00BF5FFC"/>
    <w:rsid w:val="00BF617B"/>
    <w:rsid w:val="00BF61E3"/>
    <w:rsid w:val="00BF6655"/>
    <w:rsid w:val="00BF671C"/>
    <w:rsid w:val="00BF6A92"/>
    <w:rsid w:val="00BF6CF1"/>
    <w:rsid w:val="00BF6FB8"/>
    <w:rsid w:val="00BF74D9"/>
    <w:rsid w:val="00BF7576"/>
    <w:rsid w:val="00BF7695"/>
    <w:rsid w:val="00BF774A"/>
    <w:rsid w:val="00BF77A3"/>
    <w:rsid w:val="00BF7879"/>
    <w:rsid w:val="00BF7AE1"/>
    <w:rsid w:val="00BF7C3B"/>
    <w:rsid w:val="00BF7CBC"/>
    <w:rsid w:val="00BF7CF7"/>
    <w:rsid w:val="00BF7D7B"/>
    <w:rsid w:val="00BF7F82"/>
    <w:rsid w:val="00C0002B"/>
    <w:rsid w:val="00C00117"/>
    <w:rsid w:val="00C004C3"/>
    <w:rsid w:val="00C005DB"/>
    <w:rsid w:val="00C00864"/>
    <w:rsid w:val="00C00B6E"/>
    <w:rsid w:val="00C00C19"/>
    <w:rsid w:val="00C00F59"/>
    <w:rsid w:val="00C00FAE"/>
    <w:rsid w:val="00C01133"/>
    <w:rsid w:val="00C013D2"/>
    <w:rsid w:val="00C01453"/>
    <w:rsid w:val="00C016DB"/>
    <w:rsid w:val="00C018D9"/>
    <w:rsid w:val="00C01A8E"/>
    <w:rsid w:val="00C01AB1"/>
    <w:rsid w:val="00C01B3C"/>
    <w:rsid w:val="00C01B4E"/>
    <w:rsid w:val="00C01C0D"/>
    <w:rsid w:val="00C01C79"/>
    <w:rsid w:val="00C01C7B"/>
    <w:rsid w:val="00C01E5B"/>
    <w:rsid w:val="00C01E89"/>
    <w:rsid w:val="00C01F12"/>
    <w:rsid w:val="00C02674"/>
    <w:rsid w:val="00C02716"/>
    <w:rsid w:val="00C02A56"/>
    <w:rsid w:val="00C02AFD"/>
    <w:rsid w:val="00C02BB5"/>
    <w:rsid w:val="00C02C8D"/>
    <w:rsid w:val="00C02FF3"/>
    <w:rsid w:val="00C032FE"/>
    <w:rsid w:val="00C03470"/>
    <w:rsid w:val="00C0353A"/>
    <w:rsid w:val="00C0376A"/>
    <w:rsid w:val="00C0376E"/>
    <w:rsid w:val="00C03997"/>
    <w:rsid w:val="00C03CA7"/>
    <w:rsid w:val="00C03F11"/>
    <w:rsid w:val="00C03FDE"/>
    <w:rsid w:val="00C0401D"/>
    <w:rsid w:val="00C042BF"/>
    <w:rsid w:val="00C043B7"/>
    <w:rsid w:val="00C045BA"/>
    <w:rsid w:val="00C045EE"/>
    <w:rsid w:val="00C04643"/>
    <w:rsid w:val="00C04856"/>
    <w:rsid w:val="00C04D2A"/>
    <w:rsid w:val="00C05064"/>
    <w:rsid w:val="00C051C1"/>
    <w:rsid w:val="00C055E1"/>
    <w:rsid w:val="00C05725"/>
    <w:rsid w:val="00C05824"/>
    <w:rsid w:val="00C059B8"/>
    <w:rsid w:val="00C05C10"/>
    <w:rsid w:val="00C05D5E"/>
    <w:rsid w:val="00C05E04"/>
    <w:rsid w:val="00C061DD"/>
    <w:rsid w:val="00C0626E"/>
    <w:rsid w:val="00C062D5"/>
    <w:rsid w:val="00C06320"/>
    <w:rsid w:val="00C06323"/>
    <w:rsid w:val="00C063CD"/>
    <w:rsid w:val="00C06809"/>
    <w:rsid w:val="00C06A61"/>
    <w:rsid w:val="00C06B93"/>
    <w:rsid w:val="00C07071"/>
    <w:rsid w:val="00C072FC"/>
    <w:rsid w:val="00C0730B"/>
    <w:rsid w:val="00C0755C"/>
    <w:rsid w:val="00C075C4"/>
    <w:rsid w:val="00C0760A"/>
    <w:rsid w:val="00C078B3"/>
    <w:rsid w:val="00C078C2"/>
    <w:rsid w:val="00C07C20"/>
    <w:rsid w:val="00C07CC7"/>
    <w:rsid w:val="00C07D58"/>
    <w:rsid w:val="00C07E86"/>
    <w:rsid w:val="00C10288"/>
    <w:rsid w:val="00C103B4"/>
    <w:rsid w:val="00C1043C"/>
    <w:rsid w:val="00C10501"/>
    <w:rsid w:val="00C106A5"/>
    <w:rsid w:val="00C107C2"/>
    <w:rsid w:val="00C1088B"/>
    <w:rsid w:val="00C109E1"/>
    <w:rsid w:val="00C10D7E"/>
    <w:rsid w:val="00C10D8D"/>
    <w:rsid w:val="00C10E43"/>
    <w:rsid w:val="00C10E96"/>
    <w:rsid w:val="00C10EA7"/>
    <w:rsid w:val="00C10F5A"/>
    <w:rsid w:val="00C110CC"/>
    <w:rsid w:val="00C1115D"/>
    <w:rsid w:val="00C112B0"/>
    <w:rsid w:val="00C11486"/>
    <w:rsid w:val="00C11781"/>
    <w:rsid w:val="00C11A47"/>
    <w:rsid w:val="00C11B31"/>
    <w:rsid w:val="00C11B80"/>
    <w:rsid w:val="00C11EF5"/>
    <w:rsid w:val="00C120CF"/>
    <w:rsid w:val="00C1222C"/>
    <w:rsid w:val="00C1247A"/>
    <w:rsid w:val="00C124C9"/>
    <w:rsid w:val="00C128D7"/>
    <w:rsid w:val="00C12A86"/>
    <w:rsid w:val="00C12D9A"/>
    <w:rsid w:val="00C12E61"/>
    <w:rsid w:val="00C13015"/>
    <w:rsid w:val="00C1301A"/>
    <w:rsid w:val="00C13068"/>
    <w:rsid w:val="00C1318D"/>
    <w:rsid w:val="00C134EA"/>
    <w:rsid w:val="00C13AB7"/>
    <w:rsid w:val="00C13ABC"/>
    <w:rsid w:val="00C13B08"/>
    <w:rsid w:val="00C13C54"/>
    <w:rsid w:val="00C13F17"/>
    <w:rsid w:val="00C14140"/>
    <w:rsid w:val="00C14174"/>
    <w:rsid w:val="00C141F9"/>
    <w:rsid w:val="00C14367"/>
    <w:rsid w:val="00C147D2"/>
    <w:rsid w:val="00C149C8"/>
    <w:rsid w:val="00C14A51"/>
    <w:rsid w:val="00C14BF3"/>
    <w:rsid w:val="00C14E90"/>
    <w:rsid w:val="00C14F34"/>
    <w:rsid w:val="00C151E7"/>
    <w:rsid w:val="00C15241"/>
    <w:rsid w:val="00C154C4"/>
    <w:rsid w:val="00C155B3"/>
    <w:rsid w:val="00C1561B"/>
    <w:rsid w:val="00C157AF"/>
    <w:rsid w:val="00C159D2"/>
    <w:rsid w:val="00C159EF"/>
    <w:rsid w:val="00C15BA3"/>
    <w:rsid w:val="00C15CF2"/>
    <w:rsid w:val="00C1602A"/>
    <w:rsid w:val="00C1611F"/>
    <w:rsid w:val="00C16196"/>
    <w:rsid w:val="00C16378"/>
    <w:rsid w:val="00C163F6"/>
    <w:rsid w:val="00C164CA"/>
    <w:rsid w:val="00C16644"/>
    <w:rsid w:val="00C168B3"/>
    <w:rsid w:val="00C16910"/>
    <w:rsid w:val="00C16927"/>
    <w:rsid w:val="00C16B43"/>
    <w:rsid w:val="00C16B51"/>
    <w:rsid w:val="00C16B86"/>
    <w:rsid w:val="00C16CBA"/>
    <w:rsid w:val="00C16CF7"/>
    <w:rsid w:val="00C16E48"/>
    <w:rsid w:val="00C16F73"/>
    <w:rsid w:val="00C1700B"/>
    <w:rsid w:val="00C173D9"/>
    <w:rsid w:val="00C17470"/>
    <w:rsid w:val="00C174B7"/>
    <w:rsid w:val="00C175B1"/>
    <w:rsid w:val="00C175EC"/>
    <w:rsid w:val="00C1766C"/>
    <w:rsid w:val="00C176D8"/>
    <w:rsid w:val="00C17808"/>
    <w:rsid w:val="00C17C57"/>
    <w:rsid w:val="00C17CED"/>
    <w:rsid w:val="00C20609"/>
    <w:rsid w:val="00C20672"/>
    <w:rsid w:val="00C20762"/>
    <w:rsid w:val="00C2092C"/>
    <w:rsid w:val="00C20A38"/>
    <w:rsid w:val="00C20A9C"/>
    <w:rsid w:val="00C20B1B"/>
    <w:rsid w:val="00C20BC1"/>
    <w:rsid w:val="00C20F69"/>
    <w:rsid w:val="00C211CF"/>
    <w:rsid w:val="00C213F7"/>
    <w:rsid w:val="00C2164A"/>
    <w:rsid w:val="00C216AA"/>
    <w:rsid w:val="00C219DD"/>
    <w:rsid w:val="00C21AE2"/>
    <w:rsid w:val="00C21C54"/>
    <w:rsid w:val="00C21CCA"/>
    <w:rsid w:val="00C21F19"/>
    <w:rsid w:val="00C221CD"/>
    <w:rsid w:val="00C2244C"/>
    <w:rsid w:val="00C224FF"/>
    <w:rsid w:val="00C22699"/>
    <w:rsid w:val="00C2279E"/>
    <w:rsid w:val="00C22BEA"/>
    <w:rsid w:val="00C22E12"/>
    <w:rsid w:val="00C22EFA"/>
    <w:rsid w:val="00C22FAD"/>
    <w:rsid w:val="00C2331F"/>
    <w:rsid w:val="00C23A6B"/>
    <w:rsid w:val="00C23BB5"/>
    <w:rsid w:val="00C23D3E"/>
    <w:rsid w:val="00C23E0D"/>
    <w:rsid w:val="00C23E8C"/>
    <w:rsid w:val="00C23EEE"/>
    <w:rsid w:val="00C2402B"/>
    <w:rsid w:val="00C2433D"/>
    <w:rsid w:val="00C244EE"/>
    <w:rsid w:val="00C248AC"/>
    <w:rsid w:val="00C2493F"/>
    <w:rsid w:val="00C24B5B"/>
    <w:rsid w:val="00C24E77"/>
    <w:rsid w:val="00C25031"/>
    <w:rsid w:val="00C251E9"/>
    <w:rsid w:val="00C252B4"/>
    <w:rsid w:val="00C253FA"/>
    <w:rsid w:val="00C2551D"/>
    <w:rsid w:val="00C25593"/>
    <w:rsid w:val="00C25A21"/>
    <w:rsid w:val="00C25C36"/>
    <w:rsid w:val="00C25D0D"/>
    <w:rsid w:val="00C25D7F"/>
    <w:rsid w:val="00C25D83"/>
    <w:rsid w:val="00C25DF0"/>
    <w:rsid w:val="00C25EC4"/>
    <w:rsid w:val="00C26329"/>
    <w:rsid w:val="00C2639F"/>
    <w:rsid w:val="00C26A2D"/>
    <w:rsid w:val="00C26BF2"/>
    <w:rsid w:val="00C2707D"/>
    <w:rsid w:val="00C270EB"/>
    <w:rsid w:val="00C27308"/>
    <w:rsid w:val="00C27347"/>
    <w:rsid w:val="00C273E7"/>
    <w:rsid w:val="00C27A8E"/>
    <w:rsid w:val="00C27CAE"/>
    <w:rsid w:val="00C27D89"/>
    <w:rsid w:val="00C27ED7"/>
    <w:rsid w:val="00C27EE2"/>
    <w:rsid w:val="00C301D9"/>
    <w:rsid w:val="00C302BE"/>
    <w:rsid w:val="00C30637"/>
    <w:rsid w:val="00C30660"/>
    <w:rsid w:val="00C30671"/>
    <w:rsid w:val="00C30B28"/>
    <w:rsid w:val="00C30EC3"/>
    <w:rsid w:val="00C3107B"/>
    <w:rsid w:val="00C310B1"/>
    <w:rsid w:val="00C3113F"/>
    <w:rsid w:val="00C31165"/>
    <w:rsid w:val="00C312D0"/>
    <w:rsid w:val="00C31334"/>
    <w:rsid w:val="00C3192E"/>
    <w:rsid w:val="00C319C5"/>
    <w:rsid w:val="00C320F1"/>
    <w:rsid w:val="00C3246A"/>
    <w:rsid w:val="00C326A4"/>
    <w:rsid w:val="00C32785"/>
    <w:rsid w:val="00C32922"/>
    <w:rsid w:val="00C32A15"/>
    <w:rsid w:val="00C32BFA"/>
    <w:rsid w:val="00C32C84"/>
    <w:rsid w:val="00C32D5A"/>
    <w:rsid w:val="00C32DEB"/>
    <w:rsid w:val="00C33129"/>
    <w:rsid w:val="00C33206"/>
    <w:rsid w:val="00C33275"/>
    <w:rsid w:val="00C332C7"/>
    <w:rsid w:val="00C332C9"/>
    <w:rsid w:val="00C3336D"/>
    <w:rsid w:val="00C3346E"/>
    <w:rsid w:val="00C33600"/>
    <w:rsid w:val="00C33609"/>
    <w:rsid w:val="00C338B5"/>
    <w:rsid w:val="00C3399A"/>
    <w:rsid w:val="00C339FD"/>
    <w:rsid w:val="00C33A71"/>
    <w:rsid w:val="00C33B7C"/>
    <w:rsid w:val="00C33DD8"/>
    <w:rsid w:val="00C33E12"/>
    <w:rsid w:val="00C33F0D"/>
    <w:rsid w:val="00C3405E"/>
    <w:rsid w:val="00C3408A"/>
    <w:rsid w:val="00C342AD"/>
    <w:rsid w:val="00C344A1"/>
    <w:rsid w:val="00C3458A"/>
    <w:rsid w:val="00C34988"/>
    <w:rsid w:val="00C34B85"/>
    <w:rsid w:val="00C34D3D"/>
    <w:rsid w:val="00C34E55"/>
    <w:rsid w:val="00C3502E"/>
    <w:rsid w:val="00C35489"/>
    <w:rsid w:val="00C35731"/>
    <w:rsid w:val="00C3577E"/>
    <w:rsid w:val="00C3593D"/>
    <w:rsid w:val="00C35983"/>
    <w:rsid w:val="00C35A0D"/>
    <w:rsid w:val="00C35D1A"/>
    <w:rsid w:val="00C35DDD"/>
    <w:rsid w:val="00C35E4E"/>
    <w:rsid w:val="00C35E51"/>
    <w:rsid w:val="00C35FB6"/>
    <w:rsid w:val="00C36087"/>
    <w:rsid w:val="00C361B9"/>
    <w:rsid w:val="00C3634F"/>
    <w:rsid w:val="00C36473"/>
    <w:rsid w:val="00C3655B"/>
    <w:rsid w:val="00C36681"/>
    <w:rsid w:val="00C368A7"/>
    <w:rsid w:val="00C369A4"/>
    <w:rsid w:val="00C36A1B"/>
    <w:rsid w:val="00C36F0A"/>
    <w:rsid w:val="00C37507"/>
    <w:rsid w:val="00C3754B"/>
    <w:rsid w:val="00C3769A"/>
    <w:rsid w:val="00C37958"/>
    <w:rsid w:val="00C37ECB"/>
    <w:rsid w:val="00C37FFE"/>
    <w:rsid w:val="00C40084"/>
    <w:rsid w:val="00C400E8"/>
    <w:rsid w:val="00C40126"/>
    <w:rsid w:val="00C401C8"/>
    <w:rsid w:val="00C402C4"/>
    <w:rsid w:val="00C40323"/>
    <w:rsid w:val="00C4052B"/>
    <w:rsid w:val="00C4052E"/>
    <w:rsid w:val="00C405C0"/>
    <w:rsid w:val="00C405E1"/>
    <w:rsid w:val="00C407A5"/>
    <w:rsid w:val="00C407CD"/>
    <w:rsid w:val="00C407D4"/>
    <w:rsid w:val="00C40AA0"/>
    <w:rsid w:val="00C40AF1"/>
    <w:rsid w:val="00C40B2C"/>
    <w:rsid w:val="00C40F2A"/>
    <w:rsid w:val="00C4123C"/>
    <w:rsid w:val="00C41685"/>
    <w:rsid w:val="00C41766"/>
    <w:rsid w:val="00C41EFF"/>
    <w:rsid w:val="00C41FE0"/>
    <w:rsid w:val="00C420AC"/>
    <w:rsid w:val="00C42188"/>
    <w:rsid w:val="00C421A1"/>
    <w:rsid w:val="00C42219"/>
    <w:rsid w:val="00C42429"/>
    <w:rsid w:val="00C425EB"/>
    <w:rsid w:val="00C426A0"/>
    <w:rsid w:val="00C42864"/>
    <w:rsid w:val="00C42942"/>
    <w:rsid w:val="00C42A2D"/>
    <w:rsid w:val="00C42A52"/>
    <w:rsid w:val="00C42BDA"/>
    <w:rsid w:val="00C42E4C"/>
    <w:rsid w:val="00C42F88"/>
    <w:rsid w:val="00C42FEA"/>
    <w:rsid w:val="00C434E4"/>
    <w:rsid w:val="00C4361A"/>
    <w:rsid w:val="00C43726"/>
    <w:rsid w:val="00C437B6"/>
    <w:rsid w:val="00C43A10"/>
    <w:rsid w:val="00C43C7A"/>
    <w:rsid w:val="00C43CDB"/>
    <w:rsid w:val="00C43D5B"/>
    <w:rsid w:val="00C43DA3"/>
    <w:rsid w:val="00C43E6C"/>
    <w:rsid w:val="00C440A5"/>
    <w:rsid w:val="00C44280"/>
    <w:rsid w:val="00C445F9"/>
    <w:rsid w:val="00C447BF"/>
    <w:rsid w:val="00C448C7"/>
    <w:rsid w:val="00C448E3"/>
    <w:rsid w:val="00C44931"/>
    <w:rsid w:val="00C44DB1"/>
    <w:rsid w:val="00C44F1C"/>
    <w:rsid w:val="00C45220"/>
    <w:rsid w:val="00C45480"/>
    <w:rsid w:val="00C45554"/>
    <w:rsid w:val="00C455BE"/>
    <w:rsid w:val="00C455C6"/>
    <w:rsid w:val="00C459D2"/>
    <w:rsid w:val="00C459E1"/>
    <w:rsid w:val="00C45B38"/>
    <w:rsid w:val="00C45BB9"/>
    <w:rsid w:val="00C460AC"/>
    <w:rsid w:val="00C46270"/>
    <w:rsid w:val="00C462D1"/>
    <w:rsid w:val="00C466F5"/>
    <w:rsid w:val="00C46A55"/>
    <w:rsid w:val="00C46D80"/>
    <w:rsid w:val="00C46DE1"/>
    <w:rsid w:val="00C46EB1"/>
    <w:rsid w:val="00C47453"/>
    <w:rsid w:val="00C47585"/>
    <w:rsid w:val="00C47B19"/>
    <w:rsid w:val="00C47C9F"/>
    <w:rsid w:val="00C47D7E"/>
    <w:rsid w:val="00C47E2C"/>
    <w:rsid w:val="00C50058"/>
    <w:rsid w:val="00C500A7"/>
    <w:rsid w:val="00C500D6"/>
    <w:rsid w:val="00C500F8"/>
    <w:rsid w:val="00C50383"/>
    <w:rsid w:val="00C504A9"/>
    <w:rsid w:val="00C5050D"/>
    <w:rsid w:val="00C50519"/>
    <w:rsid w:val="00C5057F"/>
    <w:rsid w:val="00C50605"/>
    <w:rsid w:val="00C50A5B"/>
    <w:rsid w:val="00C50A7C"/>
    <w:rsid w:val="00C50B68"/>
    <w:rsid w:val="00C50F92"/>
    <w:rsid w:val="00C51025"/>
    <w:rsid w:val="00C5117B"/>
    <w:rsid w:val="00C51314"/>
    <w:rsid w:val="00C5131A"/>
    <w:rsid w:val="00C51483"/>
    <w:rsid w:val="00C517C2"/>
    <w:rsid w:val="00C51EC1"/>
    <w:rsid w:val="00C5224F"/>
    <w:rsid w:val="00C52463"/>
    <w:rsid w:val="00C524F3"/>
    <w:rsid w:val="00C5251B"/>
    <w:rsid w:val="00C52583"/>
    <w:rsid w:val="00C5277A"/>
    <w:rsid w:val="00C52A44"/>
    <w:rsid w:val="00C52CA4"/>
    <w:rsid w:val="00C52EC1"/>
    <w:rsid w:val="00C52F22"/>
    <w:rsid w:val="00C52F3E"/>
    <w:rsid w:val="00C53011"/>
    <w:rsid w:val="00C5309D"/>
    <w:rsid w:val="00C5328B"/>
    <w:rsid w:val="00C5354A"/>
    <w:rsid w:val="00C536C5"/>
    <w:rsid w:val="00C53723"/>
    <w:rsid w:val="00C537D7"/>
    <w:rsid w:val="00C538DE"/>
    <w:rsid w:val="00C538F1"/>
    <w:rsid w:val="00C53A21"/>
    <w:rsid w:val="00C53B00"/>
    <w:rsid w:val="00C53C63"/>
    <w:rsid w:val="00C53D6E"/>
    <w:rsid w:val="00C53D8F"/>
    <w:rsid w:val="00C53EB9"/>
    <w:rsid w:val="00C541CB"/>
    <w:rsid w:val="00C542F3"/>
    <w:rsid w:val="00C54528"/>
    <w:rsid w:val="00C54E4F"/>
    <w:rsid w:val="00C54F8F"/>
    <w:rsid w:val="00C550B3"/>
    <w:rsid w:val="00C550D7"/>
    <w:rsid w:val="00C5538C"/>
    <w:rsid w:val="00C55646"/>
    <w:rsid w:val="00C5568B"/>
    <w:rsid w:val="00C55C71"/>
    <w:rsid w:val="00C55D1B"/>
    <w:rsid w:val="00C55E41"/>
    <w:rsid w:val="00C55F05"/>
    <w:rsid w:val="00C562FE"/>
    <w:rsid w:val="00C56B4B"/>
    <w:rsid w:val="00C56D22"/>
    <w:rsid w:val="00C56D46"/>
    <w:rsid w:val="00C57196"/>
    <w:rsid w:val="00C572B8"/>
    <w:rsid w:val="00C5767C"/>
    <w:rsid w:val="00C576E7"/>
    <w:rsid w:val="00C57B57"/>
    <w:rsid w:val="00C57BA1"/>
    <w:rsid w:val="00C57BB6"/>
    <w:rsid w:val="00C57D15"/>
    <w:rsid w:val="00C57E3F"/>
    <w:rsid w:val="00C57F2B"/>
    <w:rsid w:val="00C6002D"/>
    <w:rsid w:val="00C6005A"/>
    <w:rsid w:val="00C60161"/>
    <w:rsid w:val="00C60178"/>
    <w:rsid w:val="00C6029F"/>
    <w:rsid w:val="00C60305"/>
    <w:rsid w:val="00C6037F"/>
    <w:rsid w:val="00C60528"/>
    <w:rsid w:val="00C6058E"/>
    <w:rsid w:val="00C6058F"/>
    <w:rsid w:val="00C608EE"/>
    <w:rsid w:val="00C6097E"/>
    <w:rsid w:val="00C60B08"/>
    <w:rsid w:val="00C60EBF"/>
    <w:rsid w:val="00C60F24"/>
    <w:rsid w:val="00C6130A"/>
    <w:rsid w:val="00C61342"/>
    <w:rsid w:val="00C6154C"/>
    <w:rsid w:val="00C61597"/>
    <w:rsid w:val="00C6185A"/>
    <w:rsid w:val="00C61880"/>
    <w:rsid w:val="00C61925"/>
    <w:rsid w:val="00C61976"/>
    <w:rsid w:val="00C61D3A"/>
    <w:rsid w:val="00C622E0"/>
    <w:rsid w:val="00C62360"/>
    <w:rsid w:val="00C624BF"/>
    <w:rsid w:val="00C624FD"/>
    <w:rsid w:val="00C625C7"/>
    <w:rsid w:val="00C629E3"/>
    <w:rsid w:val="00C62AAA"/>
    <w:rsid w:val="00C62D43"/>
    <w:rsid w:val="00C631BD"/>
    <w:rsid w:val="00C63508"/>
    <w:rsid w:val="00C63674"/>
    <w:rsid w:val="00C63748"/>
    <w:rsid w:val="00C63B3F"/>
    <w:rsid w:val="00C63C07"/>
    <w:rsid w:val="00C63DBA"/>
    <w:rsid w:val="00C63F07"/>
    <w:rsid w:val="00C63F88"/>
    <w:rsid w:val="00C64169"/>
    <w:rsid w:val="00C642A7"/>
    <w:rsid w:val="00C643CB"/>
    <w:rsid w:val="00C64402"/>
    <w:rsid w:val="00C64754"/>
    <w:rsid w:val="00C64891"/>
    <w:rsid w:val="00C64FC1"/>
    <w:rsid w:val="00C65104"/>
    <w:rsid w:val="00C65195"/>
    <w:rsid w:val="00C65230"/>
    <w:rsid w:val="00C6527E"/>
    <w:rsid w:val="00C653AD"/>
    <w:rsid w:val="00C6555C"/>
    <w:rsid w:val="00C6577F"/>
    <w:rsid w:val="00C657DF"/>
    <w:rsid w:val="00C659EE"/>
    <w:rsid w:val="00C65B55"/>
    <w:rsid w:val="00C65BE1"/>
    <w:rsid w:val="00C65C3D"/>
    <w:rsid w:val="00C65CE4"/>
    <w:rsid w:val="00C65DBF"/>
    <w:rsid w:val="00C65EC1"/>
    <w:rsid w:val="00C65EEB"/>
    <w:rsid w:val="00C660BA"/>
    <w:rsid w:val="00C660D8"/>
    <w:rsid w:val="00C6612B"/>
    <w:rsid w:val="00C66208"/>
    <w:rsid w:val="00C6646C"/>
    <w:rsid w:val="00C665EA"/>
    <w:rsid w:val="00C667CD"/>
    <w:rsid w:val="00C66997"/>
    <w:rsid w:val="00C66A81"/>
    <w:rsid w:val="00C66B5F"/>
    <w:rsid w:val="00C66C2F"/>
    <w:rsid w:val="00C66EDA"/>
    <w:rsid w:val="00C66F15"/>
    <w:rsid w:val="00C66FDF"/>
    <w:rsid w:val="00C671EC"/>
    <w:rsid w:val="00C675BB"/>
    <w:rsid w:val="00C67802"/>
    <w:rsid w:val="00C6784D"/>
    <w:rsid w:val="00C678E6"/>
    <w:rsid w:val="00C67937"/>
    <w:rsid w:val="00C67AE9"/>
    <w:rsid w:val="00C67BCD"/>
    <w:rsid w:val="00C67BDB"/>
    <w:rsid w:val="00C67BE6"/>
    <w:rsid w:val="00C67E0F"/>
    <w:rsid w:val="00C70018"/>
    <w:rsid w:val="00C700FC"/>
    <w:rsid w:val="00C7019C"/>
    <w:rsid w:val="00C70238"/>
    <w:rsid w:val="00C703E0"/>
    <w:rsid w:val="00C70714"/>
    <w:rsid w:val="00C70775"/>
    <w:rsid w:val="00C707AC"/>
    <w:rsid w:val="00C70A2C"/>
    <w:rsid w:val="00C70B57"/>
    <w:rsid w:val="00C70C65"/>
    <w:rsid w:val="00C70CBF"/>
    <w:rsid w:val="00C70DC9"/>
    <w:rsid w:val="00C71081"/>
    <w:rsid w:val="00C71084"/>
    <w:rsid w:val="00C7118C"/>
    <w:rsid w:val="00C715E0"/>
    <w:rsid w:val="00C716CB"/>
    <w:rsid w:val="00C717A6"/>
    <w:rsid w:val="00C717D6"/>
    <w:rsid w:val="00C718DF"/>
    <w:rsid w:val="00C719DF"/>
    <w:rsid w:val="00C71A62"/>
    <w:rsid w:val="00C71B75"/>
    <w:rsid w:val="00C71BF0"/>
    <w:rsid w:val="00C71C5D"/>
    <w:rsid w:val="00C71C7D"/>
    <w:rsid w:val="00C71CCC"/>
    <w:rsid w:val="00C71D8A"/>
    <w:rsid w:val="00C71FF4"/>
    <w:rsid w:val="00C721BD"/>
    <w:rsid w:val="00C7221A"/>
    <w:rsid w:val="00C72225"/>
    <w:rsid w:val="00C7236C"/>
    <w:rsid w:val="00C7253C"/>
    <w:rsid w:val="00C72948"/>
    <w:rsid w:val="00C72951"/>
    <w:rsid w:val="00C729B0"/>
    <w:rsid w:val="00C72DA9"/>
    <w:rsid w:val="00C72E6F"/>
    <w:rsid w:val="00C7316A"/>
    <w:rsid w:val="00C73572"/>
    <w:rsid w:val="00C735D8"/>
    <w:rsid w:val="00C73642"/>
    <w:rsid w:val="00C739AB"/>
    <w:rsid w:val="00C73A2D"/>
    <w:rsid w:val="00C73B2E"/>
    <w:rsid w:val="00C73B5C"/>
    <w:rsid w:val="00C73B93"/>
    <w:rsid w:val="00C73FEF"/>
    <w:rsid w:val="00C74112"/>
    <w:rsid w:val="00C7419F"/>
    <w:rsid w:val="00C7427F"/>
    <w:rsid w:val="00C7432E"/>
    <w:rsid w:val="00C743ED"/>
    <w:rsid w:val="00C745F8"/>
    <w:rsid w:val="00C748D7"/>
    <w:rsid w:val="00C748DA"/>
    <w:rsid w:val="00C74CFD"/>
    <w:rsid w:val="00C74E4A"/>
    <w:rsid w:val="00C74F2A"/>
    <w:rsid w:val="00C7502B"/>
    <w:rsid w:val="00C7506D"/>
    <w:rsid w:val="00C751DB"/>
    <w:rsid w:val="00C7523B"/>
    <w:rsid w:val="00C7566B"/>
    <w:rsid w:val="00C75D17"/>
    <w:rsid w:val="00C76011"/>
    <w:rsid w:val="00C76509"/>
    <w:rsid w:val="00C765B0"/>
    <w:rsid w:val="00C765B7"/>
    <w:rsid w:val="00C7667B"/>
    <w:rsid w:val="00C767AA"/>
    <w:rsid w:val="00C767DE"/>
    <w:rsid w:val="00C7695D"/>
    <w:rsid w:val="00C769C6"/>
    <w:rsid w:val="00C76B84"/>
    <w:rsid w:val="00C76BDE"/>
    <w:rsid w:val="00C76C60"/>
    <w:rsid w:val="00C77214"/>
    <w:rsid w:val="00C77242"/>
    <w:rsid w:val="00C7735A"/>
    <w:rsid w:val="00C773E4"/>
    <w:rsid w:val="00C77498"/>
    <w:rsid w:val="00C774B3"/>
    <w:rsid w:val="00C7766E"/>
    <w:rsid w:val="00C7792F"/>
    <w:rsid w:val="00C7799F"/>
    <w:rsid w:val="00C77AE4"/>
    <w:rsid w:val="00C77C45"/>
    <w:rsid w:val="00C77E56"/>
    <w:rsid w:val="00C77EC2"/>
    <w:rsid w:val="00C80146"/>
    <w:rsid w:val="00C8030F"/>
    <w:rsid w:val="00C80539"/>
    <w:rsid w:val="00C80590"/>
    <w:rsid w:val="00C806A8"/>
    <w:rsid w:val="00C806CF"/>
    <w:rsid w:val="00C80AE2"/>
    <w:rsid w:val="00C80B24"/>
    <w:rsid w:val="00C80CF6"/>
    <w:rsid w:val="00C80F9C"/>
    <w:rsid w:val="00C8101C"/>
    <w:rsid w:val="00C811BF"/>
    <w:rsid w:val="00C8132B"/>
    <w:rsid w:val="00C813A5"/>
    <w:rsid w:val="00C8157B"/>
    <w:rsid w:val="00C8158D"/>
    <w:rsid w:val="00C81966"/>
    <w:rsid w:val="00C8197C"/>
    <w:rsid w:val="00C81CD2"/>
    <w:rsid w:val="00C820FC"/>
    <w:rsid w:val="00C821E2"/>
    <w:rsid w:val="00C822B4"/>
    <w:rsid w:val="00C822F9"/>
    <w:rsid w:val="00C82330"/>
    <w:rsid w:val="00C82482"/>
    <w:rsid w:val="00C82510"/>
    <w:rsid w:val="00C82A21"/>
    <w:rsid w:val="00C82A8A"/>
    <w:rsid w:val="00C82B9A"/>
    <w:rsid w:val="00C82CC0"/>
    <w:rsid w:val="00C82DBA"/>
    <w:rsid w:val="00C82DBC"/>
    <w:rsid w:val="00C83252"/>
    <w:rsid w:val="00C837C9"/>
    <w:rsid w:val="00C83E3D"/>
    <w:rsid w:val="00C83E72"/>
    <w:rsid w:val="00C83F51"/>
    <w:rsid w:val="00C84224"/>
    <w:rsid w:val="00C847CC"/>
    <w:rsid w:val="00C847DC"/>
    <w:rsid w:val="00C8481E"/>
    <w:rsid w:val="00C84869"/>
    <w:rsid w:val="00C848FF"/>
    <w:rsid w:val="00C84930"/>
    <w:rsid w:val="00C853FB"/>
    <w:rsid w:val="00C85545"/>
    <w:rsid w:val="00C855EC"/>
    <w:rsid w:val="00C856B3"/>
    <w:rsid w:val="00C85797"/>
    <w:rsid w:val="00C857E9"/>
    <w:rsid w:val="00C85836"/>
    <w:rsid w:val="00C8587B"/>
    <w:rsid w:val="00C85CBF"/>
    <w:rsid w:val="00C85F45"/>
    <w:rsid w:val="00C861EF"/>
    <w:rsid w:val="00C8635B"/>
    <w:rsid w:val="00C86403"/>
    <w:rsid w:val="00C86449"/>
    <w:rsid w:val="00C868EB"/>
    <w:rsid w:val="00C86A1F"/>
    <w:rsid w:val="00C86BDE"/>
    <w:rsid w:val="00C86EA8"/>
    <w:rsid w:val="00C87072"/>
    <w:rsid w:val="00C8717F"/>
    <w:rsid w:val="00C876F4"/>
    <w:rsid w:val="00C8788C"/>
    <w:rsid w:val="00C87B04"/>
    <w:rsid w:val="00C87EEF"/>
    <w:rsid w:val="00C90260"/>
    <w:rsid w:val="00C90507"/>
    <w:rsid w:val="00C90A09"/>
    <w:rsid w:val="00C90AA5"/>
    <w:rsid w:val="00C90BA5"/>
    <w:rsid w:val="00C90BAD"/>
    <w:rsid w:val="00C90C18"/>
    <w:rsid w:val="00C90DAA"/>
    <w:rsid w:val="00C90F0E"/>
    <w:rsid w:val="00C90F9A"/>
    <w:rsid w:val="00C91107"/>
    <w:rsid w:val="00C911FA"/>
    <w:rsid w:val="00C91263"/>
    <w:rsid w:val="00C912EA"/>
    <w:rsid w:val="00C914A2"/>
    <w:rsid w:val="00C9153B"/>
    <w:rsid w:val="00C915C3"/>
    <w:rsid w:val="00C915DD"/>
    <w:rsid w:val="00C91666"/>
    <w:rsid w:val="00C917A0"/>
    <w:rsid w:val="00C918A1"/>
    <w:rsid w:val="00C918F4"/>
    <w:rsid w:val="00C9190E"/>
    <w:rsid w:val="00C91AC6"/>
    <w:rsid w:val="00C91B8C"/>
    <w:rsid w:val="00C91BCC"/>
    <w:rsid w:val="00C91CE3"/>
    <w:rsid w:val="00C91D26"/>
    <w:rsid w:val="00C91E57"/>
    <w:rsid w:val="00C9206D"/>
    <w:rsid w:val="00C923F6"/>
    <w:rsid w:val="00C9250F"/>
    <w:rsid w:val="00C925C8"/>
    <w:rsid w:val="00C92632"/>
    <w:rsid w:val="00C92776"/>
    <w:rsid w:val="00C9285C"/>
    <w:rsid w:val="00C92891"/>
    <w:rsid w:val="00C92C9F"/>
    <w:rsid w:val="00C92CD5"/>
    <w:rsid w:val="00C92D0E"/>
    <w:rsid w:val="00C92DDE"/>
    <w:rsid w:val="00C93095"/>
    <w:rsid w:val="00C93170"/>
    <w:rsid w:val="00C93175"/>
    <w:rsid w:val="00C934D9"/>
    <w:rsid w:val="00C93504"/>
    <w:rsid w:val="00C936CA"/>
    <w:rsid w:val="00C937A8"/>
    <w:rsid w:val="00C937E8"/>
    <w:rsid w:val="00C93868"/>
    <w:rsid w:val="00C9386D"/>
    <w:rsid w:val="00C9394A"/>
    <w:rsid w:val="00C939E7"/>
    <w:rsid w:val="00C93A12"/>
    <w:rsid w:val="00C93AE6"/>
    <w:rsid w:val="00C93BA8"/>
    <w:rsid w:val="00C93F31"/>
    <w:rsid w:val="00C9410B"/>
    <w:rsid w:val="00C94134"/>
    <w:rsid w:val="00C941DB"/>
    <w:rsid w:val="00C942BD"/>
    <w:rsid w:val="00C94760"/>
    <w:rsid w:val="00C94A47"/>
    <w:rsid w:val="00C94E1A"/>
    <w:rsid w:val="00C94EE5"/>
    <w:rsid w:val="00C951B8"/>
    <w:rsid w:val="00C953A9"/>
    <w:rsid w:val="00C9586A"/>
    <w:rsid w:val="00C95A6B"/>
    <w:rsid w:val="00C95C79"/>
    <w:rsid w:val="00C95D18"/>
    <w:rsid w:val="00C95D88"/>
    <w:rsid w:val="00C95E7A"/>
    <w:rsid w:val="00C960B2"/>
    <w:rsid w:val="00C962D3"/>
    <w:rsid w:val="00C96320"/>
    <w:rsid w:val="00C9634A"/>
    <w:rsid w:val="00C963AA"/>
    <w:rsid w:val="00C9653C"/>
    <w:rsid w:val="00C96564"/>
    <w:rsid w:val="00C965C2"/>
    <w:rsid w:val="00C96800"/>
    <w:rsid w:val="00C96801"/>
    <w:rsid w:val="00C96E0F"/>
    <w:rsid w:val="00C96E70"/>
    <w:rsid w:val="00C96EDA"/>
    <w:rsid w:val="00C96EE1"/>
    <w:rsid w:val="00C970F1"/>
    <w:rsid w:val="00C971FE"/>
    <w:rsid w:val="00C97206"/>
    <w:rsid w:val="00C97560"/>
    <w:rsid w:val="00C976AD"/>
    <w:rsid w:val="00C97723"/>
    <w:rsid w:val="00C97C8F"/>
    <w:rsid w:val="00C97DEF"/>
    <w:rsid w:val="00CA00A9"/>
    <w:rsid w:val="00CA0216"/>
    <w:rsid w:val="00CA03C7"/>
    <w:rsid w:val="00CA0563"/>
    <w:rsid w:val="00CA0894"/>
    <w:rsid w:val="00CA092D"/>
    <w:rsid w:val="00CA095E"/>
    <w:rsid w:val="00CA0B80"/>
    <w:rsid w:val="00CA1355"/>
    <w:rsid w:val="00CA138A"/>
    <w:rsid w:val="00CA18B0"/>
    <w:rsid w:val="00CA1D45"/>
    <w:rsid w:val="00CA1FA3"/>
    <w:rsid w:val="00CA1FE3"/>
    <w:rsid w:val="00CA229E"/>
    <w:rsid w:val="00CA2558"/>
    <w:rsid w:val="00CA26BB"/>
    <w:rsid w:val="00CA2817"/>
    <w:rsid w:val="00CA2A11"/>
    <w:rsid w:val="00CA2AA1"/>
    <w:rsid w:val="00CA2BD2"/>
    <w:rsid w:val="00CA319F"/>
    <w:rsid w:val="00CA320E"/>
    <w:rsid w:val="00CA32C7"/>
    <w:rsid w:val="00CA38F6"/>
    <w:rsid w:val="00CA392D"/>
    <w:rsid w:val="00CA39D0"/>
    <w:rsid w:val="00CA3B6E"/>
    <w:rsid w:val="00CA3BFA"/>
    <w:rsid w:val="00CA3E33"/>
    <w:rsid w:val="00CA3EB5"/>
    <w:rsid w:val="00CA3FE2"/>
    <w:rsid w:val="00CA42D1"/>
    <w:rsid w:val="00CA4585"/>
    <w:rsid w:val="00CA462D"/>
    <w:rsid w:val="00CA47F0"/>
    <w:rsid w:val="00CA4A62"/>
    <w:rsid w:val="00CA4A78"/>
    <w:rsid w:val="00CA4DD4"/>
    <w:rsid w:val="00CA5053"/>
    <w:rsid w:val="00CA5273"/>
    <w:rsid w:val="00CA5835"/>
    <w:rsid w:val="00CA5B3E"/>
    <w:rsid w:val="00CA5B77"/>
    <w:rsid w:val="00CA5BB4"/>
    <w:rsid w:val="00CA5CFF"/>
    <w:rsid w:val="00CA5FFF"/>
    <w:rsid w:val="00CA66BC"/>
    <w:rsid w:val="00CA67A3"/>
    <w:rsid w:val="00CA69EA"/>
    <w:rsid w:val="00CA6C27"/>
    <w:rsid w:val="00CA6C2E"/>
    <w:rsid w:val="00CA6DF1"/>
    <w:rsid w:val="00CA70F7"/>
    <w:rsid w:val="00CA727C"/>
    <w:rsid w:val="00CA7639"/>
    <w:rsid w:val="00CA7884"/>
    <w:rsid w:val="00CA7A0F"/>
    <w:rsid w:val="00CA7B7E"/>
    <w:rsid w:val="00CA7BDA"/>
    <w:rsid w:val="00CB0028"/>
    <w:rsid w:val="00CB0258"/>
    <w:rsid w:val="00CB03E6"/>
    <w:rsid w:val="00CB0529"/>
    <w:rsid w:val="00CB0655"/>
    <w:rsid w:val="00CB0A38"/>
    <w:rsid w:val="00CB0A68"/>
    <w:rsid w:val="00CB0AE0"/>
    <w:rsid w:val="00CB0CD3"/>
    <w:rsid w:val="00CB0E35"/>
    <w:rsid w:val="00CB1456"/>
    <w:rsid w:val="00CB1635"/>
    <w:rsid w:val="00CB18E7"/>
    <w:rsid w:val="00CB18E8"/>
    <w:rsid w:val="00CB1918"/>
    <w:rsid w:val="00CB1D94"/>
    <w:rsid w:val="00CB1EA1"/>
    <w:rsid w:val="00CB1F98"/>
    <w:rsid w:val="00CB206A"/>
    <w:rsid w:val="00CB2438"/>
    <w:rsid w:val="00CB25AE"/>
    <w:rsid w:val="00CB2A2F"/>
    <w:rsid w:val="00CB2FA7"/>
    <w:rsid w:val="00CB3378"/>
    <w:rsid w:val="00CB35A8"/>
    <w:rsid w:val="00CB390C"/>
    <w:rsid w:val="00CB39F5"/>
    <w:rsid w:val="00CB3CA2"/>
    <w:rsid w:val="00CB3D58"/>
    <w:rsid w:val="00CB3E7C"/>
    <w:rsid w:val="00CB461F"/>
    <w:rsid w:val="00CB467D"/>
    <w:rsid w:val="00CB47A1"/>
    <w:rsid w:val="00CB4C15"/>
    <w:rsid w:val="00CB51D5"/>
    <w:rsid w:val="00CB5221"/>
    <w:rsid w:val="00CB567F"/>
    <w:rsid w:val="00CB590F"/>
    <w:rsid w:val="00CB59EA"/>
    <w:rsid w:val="00CB5AE9"/>
    <w:rsid w:val="00CB5B46"/>
    <w:rsid w:val="00CB5C0B"/>
    <w:rsid w:val="00CB5DAD"/>
    <w:rsid w:val="00CB6511"/>
    <w:rsid w:val="00CB66BA"/>
    <w:rsid w:val="00CB6967"/>
    <w:rsid w:val="00CB6971"/>
    <w:rsid w:val="00CB6B05"/>
    <w:rsid w:val="00CB6BE0"/>
    <w:rsid w:val="00CB6D9A"/>
    <w:rsid w:val="00CB6DC9"/>
    <w:rsid w:val="00CB6E65"/>
    <w:rsid w:val="00CB7036"/>
    <w:rsid w:val="00CB71B5"/>
    <w:rsid w:val="00CB73F3"/>
    <w:rsid w:val="00CB7968"/>
    <w:rsid w:val="00CB7A15"/>
    <w:rsid w:val="00CB7EF4"/>
    <w:rsid w:val="00CB7F78"/>
    <w:rsid w:val="00CC028B"/>
    <w:rsid w:val="00CC032B"/>
    <w:rsid w:val="00CC04E3"/>
    <w:rsid w:val="00CC05C0"/>
    <w:rsid w:val="00CC088F"/>
    <w:rsid w:val="00CC0A00"/>
    <w:rsid w:val="00CC0B5A"/>
    <w:rsid w:val="00CC0BAA"/>
    <w:rsid w:val="00CC0C30"/>
    <w:rsid w:val="00CC0DF7"/>
    <w:rsid w:val="00CC0F81"/>
    <w:rsid w:val="00CC100A"/>
    <w:rsid w:val="00CC11BF"/>
    <w:rsid w:val="00CC1BF9"/>
    <w:rsid w:val="00CC1C6B"/>
    <w:rsid w:val="00CC1CF1"/>
    <w:rsid w:val="00CC2273"/>
    <w:rsid w:val="00CC22DF"/>
    <w:rsid w:val="00CC2391"/>
    <w:rsid w:val="00CC249E"/>
    <w:rsid w:val="00CC24BF"/>
    <w:rsid w:val="00CC27D4"/>
    <w:rsid w:val="00CC2809"/>
    <w:rsid w:val="00CC2841"/>
    <w:rsid w:val="00CC2920"/>
    <w:rsid w:val="00CC2C10"/>
    <w:rsid w:val="00CC3076"/>
    <w:rsid w:val="00CC317D"/>
    <w:rsid w:val="00CC35AE"/>
    <w:rsid w:val="00CC37C6"/>
    <w:rsid w:val="00CC38FC"/>
    <w:rsid w:val="00CC3948"/>
    <w:rsid w:val="00CC3B93"/>
    <w:rsid w:val="00CC3BFA"/>
    <w:rsid w:val="00CC3C06"/>
    <w:rsid w:val="00CC3CB2"/>
    <w:rsid w:val="00CC3D8F"/>
    <w:rsid w:val="00CC3F29"/>
    <w:rsid w:val="00CC4000"/>
    <w:rsid w:val="00CC4431"/>
    <w:rsid w:val="00CC4475"/>
    <w:rsid w:val="00CC44B3"/>
    <w:rsid w:val="00CC4631"/>
    <w:rsid w:val="00CC4917"/>
    <w:rsid w:val="00CC497B"/>
    <w:rsid w:val="00CC4B6E"/>
    <w:rsid w:val="00CC4CBE"/>
    <w:rsid w:val="00CC4E97"/>
    <w:rsid w:val="00CC4FB5"/>
    <w:rsid w:val="00CC5220"/>
    <w:rsid w:val="00CC52CB"/>
    <w:rsid w:val="00CC5832"/>
    <w:rsid w:val="00CC58DC"/>
    <w:rsid w:val="00CC593A"/>
    <w:rsid w:val="00CC59B1"/>
    <w:rsid w:val="00CC5A3C"/>
    <w:rsid w:val="00CC5C52"/>
    <w:rsid w:val="00CC5C62"/>
    <w:rsid w:val="00CC5EAE"/>
    <w:rsid w:val="00CC6147"/>
    <w:rsid w:val="00CC62B2"/>
    <w:rsid w:val="00CC66AA"/>
    <w:rsid w:val="00CC67E8"/>
    <w:rsid w:val="00CC681B"/>
    <w:rsid w:val="00CC69B3"/>
    <w:rsid w:val="00CC6A96"/>
    <w:rsid w:val="00CC6B25"/>
    <w:rsid w:val="00CC6BE1"/>
    <w:rsid w:val="00CC6FC6"/>
    <w:rsid w:val="00CC71EA"/>
    <w:rsid w:val="00CC7245"/>
    <w:rsid w:val="00CC72C4"/>
    <w:rsid w:val="00CC747E"/>
    <w:rsid w:val="00CC7521"/>
    <w:rsid w:val="00CC7593"/>
    <w:rsid w:val="00CC763F"/>
    <w:rsid w:val="00CC7896"/>
    <w:rsid w:val="00CC7989"/>
    <w:rsid w:val="00CC7B61"/>
    <w:rsid w:val="00CC7C21"/>
    <w:rsid w:val="00CC7F18"/>
    <w:rsid w:val="00CD03A4"/>
    <w:rsid w:val="00CD0433"/>
    <w:rsid w:val="00CD0626"/>
    <w:rsid w:val="00CD0660"/>
    <w:rsid w:val="00CD0736"/>
    <w:rsid w:val="00CD08F6"/>
    <w:rsid w:val="00CD093E"/>
    <w:rsid w:val="00CD0BED"/>
    <w:rsid w:val="00CD0D8D"/>
    <w:rsid w:val="00CD0EAC"/>
    <w:rsid w:val="00CD1311"/>
    <w:rsid w:val="00CD1421"/>
    <w:rsid w:val="00CD167B"/>
    <w:rsid w:val="00CD1835"/>
    <w:rsid w:val="00CD18EE"/>
    <w:rsid w:val="00CD1A2F"/>
    <w:rsid w:val="00CD1A72"/>
    <w:rsid w:val="00CD1DC1"/>
    <w:rsid w:val="00CD1FCE"/>
    <w:rsid w:val="00CD20C0"/>
    <w:rsid w:val="00CD23CF"/>
    <w:rsid w:val="00CD2433"/>
    <w:rsid w:val="00CD24C5"/>
    <w:rsid w:val="00CD24F4"/>
    <w:rsid w:val="00CD261F"/>
    <w:rsid w:val="00CD27EB"/>
    <w:rsid w:val="00CD2890"/>
    <w:rsid w:val="00CD298E"/>
    <w:rsid w:val="00CD2B20"/>
    <w:rsid w:val="00CD2B3E"/>
    <w:rsid w:val="00CD300A"/>
    <w:rsid w:val="00CD309B"/>
    <w:rsid w:val="00CD3316"/>
    <w:rsid w:val="00CD360C"/>
    <w:rsid w:val="00CD36F7"/>
    <w:rsid w:val="00CD3705"/>
    <w:rsid w:val="00CD375C"/>
    <w:rsid w:val="00CD39B3"/>
    <w:rsid w:val="00CD3ABF"/>
    <w:rsid w:val="00CD3B53"/>
    <w:rsid w:val="00CD3C4E"/>
    <w:rsid w:val="00CD3EA7"/>
    <w:rsid w:val="00CD3F32"/>
    <w:rsid w:val="00CD4220"/>
    <w:rsid w:val="00CD4246"/>
    <w:rsid w:val="00CD4351"/>
    <w:rsid w:val="00CD4681"/>
    <w:rsid w:val="00CD4ACA"/>
    <w:rsid w:val="00CD4B7C"/>
    <w:rsid w:val="00CD4C5B"/>
    <w:rsid w:val="00CD5042"/>
    <w:rsid w:val="00CD50FE"/>
    <w:rsid w:val="00CD56BC"/>
    <w:rsid w:val="00CD5730"/>
    <w:rsid w:val="00CD58C4"/>
    <w:rsid w:val="00CD58F4"/>
    <w:rsid w:val="00CD592E"/>
    <w:rsid w:val="00CD59E7"/>
    <w:rsid w:val="00CD60B2"/>
    <w:rsid w:val="00CD6290"/>
    <w:rsid w:val="00CD64B4"/>
    <w:rsid w:val="00CD64C7"/>
    <w:rsid w:val="00CD66C4"/>
    <w:rsid w:val="00CD67C6"/>
    <w:rsid w:val="00CD694C"/>
    <w:rsid w:val="00CD6993"/>
    <w:rsid w:val="00CD6BE8"/>
    <w:rsid w:val="00CD6C11"/>
    <w:rsid w:val="00CD7171"/>
    <w:rsid w:val="00CD7278"/>
    <w:rsid w:val="00CD741E"/>
    <w:rsid w:val="00CD7467"/>
    <w:rsid w:val="00CD74E7"/>
    <w:rsid w:val="00CD74F2"/>
    <w:rsid w:val="00CD7521"/>
    <w:rsid w:val="00CD7580"/>
    <w:rsid w:val="00CD75C2"/>
    <w:rsid w:val="00CD7815"/>
    <w:rsid w:val="00CD7A43"/>
    <w:rsid w:val="00CD7F12"/>
    <w:rsid w:val="00CD7F3A"/>
    <w:rsid w:val="00CE0012"/>
    <w:rsid w:val="00CE0041"/>
    <w:rsid w:val="00CE0177"/>
    <w:rsid w:val="00CE01FE"/>
    <w:rsid w:val="00CE040F"/>
    <w:rsid w:val="00CE047E"/>
    <w:rsid w:val="00CE0522"/>
    <w:rsid w:val="00CE0569"/>
    <w:rsid w:val="00CE089A"/>
    <w:rsid w:val="00CE09A6"/>
    <w:rsid w:val="00CE0C64"/>
    <w:rsid w:val="00CE0D83"/>
    <w:rsid w:val="00CE10DF"/>
    <w:rsid w:val="00CE127B"/>
    <w:rsid w:val="00CE195E"/>
    <w:rsid w:val="00CE1A46"/>
    <w:rsid w:val="00CE210F"/>
    <w:rsid w:val="00CE213A"/>
    <w:rsid w:val="00CE214B"/>
    <w:rsid w:val="00CE22B7"/>
    <w:rsid w:val="00CE25AB"/>
    <w:rsid w:val="00CE25D6"/>
    <w:rsid w:val="00CE26A1"/>
    <w:rsid w:val="00CE2702"/>
    <w:rsid w:val="00CE2A00"/>
    <w:rsid w:val="00CE2E67"/>
    <w:rsid w:val="00CE2E73"/>
    <w:rsid w:val="00CE316A"/>
    <w:rsid w:val="00CE32D1"/>
    <w:rsid w:val="00CE3496"/>
    <w:rsid w:val="00CE3620"/>
    <w:rsid w:val="00CE37F9"/>
    <w:rsid w:val="00CE395A"/>
    <w:rsid w:val="00CE3A19"/>
    <w:rsid w:val="00CE3A8E"/>
    <w:rsid w:val="00CE3BD5"/>
    <w:rsid w:val="00CE3DF5"/>
    <w:rsid w:val="00CE3E5B"/>
    <w:rsid w:val="00CE3EDF"/>
    <w:rsid w:val="00CE41B6"/>
    <w:rsid w:val="00CE41E8"/>
    <w:rsid w:val="00CE4262"/>
    <w:rsid w:val="00CE42C8"/>
    <w:rsid w:val="00CE4774"/>
    <w:rsid w:val="00CE4784"/>
    <w:rsid w:val="00CE4886"/>
    <w:rsid w:val="00CE4900"/>
    <w:rsid w:val="00CE49EC"/>
    <w:rsid w:val="00CE5394"/>
    <w:rsid w:val="00CE55F4"/>
    <w:rsid w:val="00CE5751"/>
    <w:rsid w:val="00CE57C5"/>
    <w:rsid w:val="00CE57F8"/>
    <w:rsid w:val="00CE5944"/>
    <w:rsid w:val="00CE59C0"/>
    <w:rsid w:val="00CE5D57"/>
    <w:rsid w:val="00CE5D5A"/>
    <w:rsid w:val="00CE61EC"/>
    <w:rsid w:val="00CE6232"/>
    <w:rsid w:val="00CE64FB"/>
    <w:rsid w:val="00CE6699"/>
    <w:rsid w:val="00CE67F4"/>
    <w:rsid w:val="00CE68DA"/>
    <w:rsid w:val="00CE6909"/>
    <w:rsid w:val="00CE6932"/>
    <w:rsid w:val="00CE6A24"/>
    <w:rsid w:val="00CE6BD0"/>
    <w:rsid w:val="00CE6D83"/>
    <w:rsid w:val="00CE6E4D"/>
    <w:rsid w:val="00CE72D7"/>
    <w:rsid w:val="00CE7C25"/>
    <w:rsid w:val="00CE7C69"/>
    <w:rsid w:val="00CE7C7D"/>
    <w:rsid w:val="00CE7CFD"/>
    <w:rsid w:val="00CE7ECB"/>
    <w:rsid w:val="00CF02CB"/>
    <w:rsid w:val="00CF03CE"/>
    <w:rsid w:val="00CF0546"/>
    <w:rsid w:val="00CF0869"/>
    <w:rsid w:val="00CF0AFF"/>
    <w:rsid w:val="00CF0BBB"/>
    <w:rsid w:val="00CF0C09"/>
    <w:rsid w:val="00CF0C12"/>
    <w:rsid w:val="00CF0C49"/>
    <w:rsid w:val="00CF0CD4"/>
    <w:rsid w:val="00CF0DC8"/>
    <w:rsid w:val="00CF0F90"/>
    <w:rsid w:val="00CF12AE"/>
    <w:rsid w:val="00CF1418"/>
    <w:rsid w:val="00CF1654"/>
    <w:rsid w:val="00CF1773"/>
    <w:rsid w:val="00CF18DD"/>
    <w:rsid w:val="00CF1981"/>
    <w:rsid w:val="00CF1C0A"/>
    <w:rsid w:val="00CF1D70"/>
    <w:rsid w:val="00CF1E7F"/>
    <w:rsid w:val="00CF1FA4"/>
    <w:rsid w:val="00CF2050"/>
    <w:rsid w:val="00CF212C"/>
    <w:rsid w:val="00CF2282"/>
    <w:rsid w:val="00CF2350"/>
    <w:rsid w:val="00CF23A0"/>
    <w:rsid w:val="00CF2438"/>
    <w:rsid w:val="00CF2637"/>
    <w:rsid w:val="00CF27EE"/>
    <w:rsid w:val="00CF29CB"/>
    <w:rsid w:val="00CF2D23"/>
    <w:rsid w:val="00CF2D71"/>
    <w:rsid w:val="00CF2DCD"/>
    <w:rsid w:val="00CF319F"/>
    <w:rsid w:val="00CF3485"/>
    <w:rsid w:val="00CF34FC"/>
    <w:rsid w:val="00CF351A"/>
    <w:rsid w:val="00CF36E2"/>
    <w:rsid w:val="00CF373F"/>
    <w:rsid w:val="00CF3792"/>
    <w:rsid w:val="00CF381D"/>
    <w:rsid w:val="00CF3830"/>
    <w:rsid w:val="00CF38F3"/>
    <w:rsid w:val="00CF3958"/>
    <w:rsid w:val="00CF39B7"/>
    <w:rsid w:val="00CF3A38"/>
    <w:rsid w:val="00CF3B13"/>
    <w:rsid w:val="00CF3BB5"/>
    <w:rsid w:val="00CF3D2C"/>
    <w:rsid w:val="00CF3F2F"/>
    <w:rsid w:val="00CF3F30"/>
    <w:rsid w:val="00CF4419"/>
    <w:rsid w:val="00CF482A"/>
    <w:rsid w:val="00CF49AB"/>
    <w:rsid w:val="00CF4DC0"/>
    <w:rsid w:val="00CF4F21"/>
    <w:rsid w:val="00CF4F62"/>
    <w:rsid w:val="00CF55A1"/>
    <w:rsid w:val="00CF5B19"/>
    <w:rsid w:val="00CF5FDD"/>
    <w:rsid w:val="00CF6116"/>
    <w:rsid w:val="00CF631A"/>
    <w:rsid w:val="00CF637F"/>
    <w:rsid w:val="00CF6411"/>
    <w:rsid w:val="00CF647A"/>
    <w:rsid w:val="00CF6481"/>
    <w:rsid w:val="00CF6659"/>
    <w:rsid w:val="00CF67C8"/>
    <w:rsid w:val="00CF67F7"/>
    <w:rsid w:val="00CF69CB"/>
    <w:rsid w:val="00CF6B72"/>
    <w:rsid w:val="00CF6C14"/>
    <w:rsid w:val="00CF6C5F"/>
    <w:rsid w:val="00CF6C6D"/>
    <w:rsid w:val="00CF6DE1"/>
    <w:rsid w:val="00CF6F93"/>
    <w:rsid w:val="00CF6FFA"/>
    <w:rsid w:val="00CF7511"/>
    <w:rsid w:val="00CF7610"/>
    <w:rsid w:val="00CF7796"/>
    <w:rsid w:val="00CF7901"/>
    <w:rsid w:val="00CF7A5F"/>
    <w:rsid w:val="00CF7A85"/>
    <w:rsid w:val="00CF7BE7"/>
    <w:rsid w:val="00CF7D11"/>
    <w:rsid w:val="00CF7E76"/>
    <w:rsid w:val="00D00444"/>
    <w:rsid w:val="00D0047C"/>
    <w:rsid w:val="00D004DD"/>
    <w:rsid w:val="00D00B45"/>
    <w:rsid w:val="00D00B97"/>
    <w:rsid w:val="00D00D31"/>
    <w:rsid w:val="00D00EA6"/>
    <w:rsid w:val="00D00FCD"/>
    <w:rsid w:val="00D011D9"/>
    <w:rsid w:val="00D0128D"/>
    <w:rsid w:val="00D012EC"/>
    <w:rsid w:val="00D019DE"/>
    <w:rsid w:val="00D01A22"/>
    <w:rsid w:val="00D01A78"/>
    <w:rsid w:val="00D0240D"/>
    <w:rsid w:val="00D02533"/>
    <w:rsid w:val="00D027A2"/>
    <w:rsid w:val="00D027E6"/>
    <w:rsid w:val="00D02942"/>
    <w:rsid w:val="00D02D81"/>
    <w:rsid w:val="00D02FF6"/>
    <w:rsid w:val="00D03291"/>
    <w:rsid w:val="00D03304"/>
    <w:rsid w:val="00D03347"/>
    <w:rsid w:val="00D035F0"/>
    <w:rsid w:val="00D03666"/>
    <w:rsid w:val="00D039AC"/>
    <w:rsid w:val="00D039B0"/>
    <w:rsid w:val="00D03A2D"/>
    <w:rsid w:val="00D03CF7"/>
    <w:rsid w:val="00D03D31"/>
    <w:rsid w:val="00D03D59"/>
    <w:rsid w:val="00D03E2D"/>
    <w:rsid w:val="00D04038"/>
    <w:rsid w:val="00D04415"/>
    <w:rsid w:val="00D0450F"/>
    <w:rsid w:val="00D048B1"/>
    <w:rsid w:val="00D04A4C"/>
    <w:rsid w:val="00D04FB6"/>
    <w:rsid w:val="00D04FDA"/>
    <w:rsid w:val="00D05127"/>
    <w:rsid w:val="00D0527E"/>
    <w:rsid w:val="00D052E4"/>
    <w:rsid w:val="00D0535D"/>
    <w:rsid w:val="00D05757"/>
    <w:rsid w:val="00D0582E"/>
    <w:rsid w:val="00D05A30"/>
    <w:rsid w:val="00D05C37"/>
    <w:rsid w:val="00D05CEA"/>
    <w:rsid w:val="00D05DA9"/>
    <w:rsid w:val="00D060B1"/>
    <w:rsid w:val="00D06153"/>
    <w:rsid w:val="00D063AD"/>
    <w:rsid w:val="00D06489"/>
    <w:rsid w:val="00D06632"/>
    <w:rsid w:val="00D068DF"/>
    <w:rsid w:val="00D06A08"/>
    <w:rsid w:val="00D06C67"/>
    <w:rsid w:val="00D06D3F"/>
    <w:rsid w:val="00D06E20"/>
    <w:rsid w:val="00D07336"/>
    <w:rsid w:val="00D073C4"/>
    <w:rsid w:val="00D07452"/>
    <w:rsid w:val="00D074B9"/>
    <w:rsid w:val="00D0750D"/>
    <w:rsid w:val="00D0756B"/>
    <w:rsid w:val="00D0756C"/>
    <w:rsid w:val="00D07589"/>
    <w:rsid w:val="00D07598"/>
    <w:rsid w:val="00D07628"/>
    <w:rsid w:val="00D079D4"/>
    <w:rsid w:val="00D07CB1"/>
    <w:rsid w:val="00D100B9"/>
    <w:rsid w:val="00D101B9"/>
    <w:rsid w:val="00D10239"/>
    <w:rsid w:val="00D1033A"/>
    <w:rsid w:val="00D10367"/>
    <w:rsid w:val="00D10775"/>
    <w:rsid w:val="00D10B04"/>
    <w:rsid w:val="00D10D37"/>
    <w:rsid w:val="00D11173"/>
    <w:rsid w:val="00D1120A"/>
    <w:rsid w:val="00D11249"/>
    <w:rsid w:val="00D114A3"/>
    <w:rsid w:val="00D11570"/>
    <w:rsid w:val="00D11756"/>
    <w:rsid w:val="00D11C84"/>
    <w:rsid w:val="00D11EAF"/>
    <w:rsid w:val="00D11F48"/>
    <w:rsid w:val="00D125B5"/>
    <w:rsid w:val="00D126FF"/>
    <w:rsid w:val="00D12873"/>
    <w:rsid w:val="00D12ABA"/>
    <w:rsid w:val="00D12AE8"/>
    <w:rsid w:val="00D12B48"/>
    <w:rsid w:val="00D12B6E"/>
    <w:rsid w:val="00D12B97"/>
    <w:rsid w:val="00D12D7D"/>
    <w:rsid w:val="00D12E82"/>
    <w:rsid w:val="00D1318C"/>
    <w:rsid w:val="00D1370E"/>
    <w:rsid w:val="00D13AE8"/>
    <w:rsid w:val="00D13E25"/>
    <w:rsid w:val="00D13E5A"/>
    <w:rsid w:val="00D13FEA"/>
    <w:rsid w:val="00D142FF"/>
    <w:rsid w:val="00D143FF"/>
    <w:rsid w:val="00D1444F"/>
    <w:rsid w:val="00D145D8"/>
    <w:rsid w:val="00D14644"/>
    <w:rsid w:val="00D1465B"/>
    <w:rsid w:val="00D146E7"/>
    <w:rsid w:val="00D14753"/>
    <w:rsid w:val="00D149DC"/>
    <w:rsid w:val="00D14A50"/>
    <w:rsid w:val="00D14A6D"/>
    <w:rsid w:val="00D14C8B"/>
    <w:rsid w:val="00D1505B"/>
    <w:rsid w:val="00D15425"/>
    <w:rsid w:val="00D155C0"/>
    <w:rsid w:val="00D15713"/>
    <w:rsid w:val="00D1579F"/>
    <w:rsid w:val="00D157F4"/>
    <w:rsid w:val="00D16048"/>
    <w:rsid w:val="00D160A5"/>
    <w:rsid w:val="00D16129"/>
    <w:rsid w:val="00D16306"/>
    <w:rsid w:val="00D1658B"/>
    <w:rsid w:val="00D165ED"/>
    <w:rsid w:val="00D166DF"/>
    <w:rsid w:val="00D166E4"/>
    <w:rsid w:val="00D1677C"/>
    <w:rsid w:val="00D167E7"/>
    <w:rsid w:val="00D1693D"/>
    <w:rsid w:val="00D16A7F"/>
    <w:rsid w:val="00D16B08"/>
    <w:rsid w:val="00D16B3A"/>
    <w:rsid w:val="00D16C4C"/>
    <w:rsid w:val="00D16C75"/>
    <w:rsid w:val="00D16FBD"/>
    <w:rsid w:val="00D1703E"/>
    <w:rsid w:val="00D1708D"/>
    <w:rsid w:val="00D17169"/>
    <w:rsid w:val="00D178FB"/>
    <w:rsid w:val="00D17B2A"/>
    <w:rsid w:val="00D17B43"/>
    <w:rsid w:val="00D17B85"/>
    <w:rsid w:val="00D17C32"/>
    <w:rsid w:val="00D17CDB"/>
    <w:rsid w:val="00D17D07"/>
    <w:rsid w:val="00D17FD9"/>
    <w:rsid w:val="00D201D1"/>
    <w:rsid w:val="00D2043E"/>
    <w:rsid w:val="00D2053D"/>
    <w:rsid w:val="00D20ABE"/>
    <w:rsid w:val="00D20B16"/>
    <w:rsid w:val="00D20E18"/>
    <w:rsid w:val="00D20EA4"/>
    <w:rsid w:val="00D20F0C"/>
    <w:rsid w:val="00D210FF"/>
    <w:rsid w:val="00D21414"/>
    <w:rsid w:val="00D21818"/>
    <w:rsid w:val="00D21821"/>
    <w:rsid w:val="00D21833"/>
    <w:rsid w:val="00D21B81"/>
    <w:rsid w:val="00D21C64"/>
    <w:rsid w:val="00D21D2C"/>
    <w:rsid w:val="00D2221E"/>
    <w:rsid w:val="00D224B8"/>
    <w:rsid w:val="00D22898"/>
    <w:rsid w:val="00D22987"/>
    <w:rsid w:val="00D22A23"/>
    <w:rsid w:val="00D22A73"/>
    <w:rsid w:val="00D22B76"/>
    <w:rsid w:val="00D22E69"/>
    <w:rsid w:val="00D22FC2"/>
    <w:rsid w:val="00D23076"/>
    <w:rsid w:val="00D23284"/>
    <w:rsid w:val="00D232E8"/>
    <w:rsid w:val="00D2343D"/>
    <w:rsid w:val="00D23622"/>
    <w:rsid w:val="00D236F0"/>
    <w:rsid w:val="00D2397D"/>
    <w:rsid w:val="00D23B8D"/>
    <w:rsid w:val="00D23BC6"/>
    <w:rsid w:val="00D23C15"/>
    <w:rsid w:val="00D23C40"/>
    <w:rsid w:val="00D23C99"/>
    <w:rsid w:val="00D23CCF"/>
    <w:rsid w:val="00D23FC6"/>
    <w:rsid w:val="00D2411F"/>
    <w:rsid w:val="00D242D7"/>
    <w:rsid w:val="00D24392"/>
    <w:rsid w:val="00D24625"/>
    <w:rsid w:val="00D24AA3"/>
    <w:rsid w:val="00D24AD1"/>
    <w:rsid w:val="00D24CAC"/>
    <w:rsid w:val="00D24DFC"/>
    <w:rsid w:val="00D24F40"/>
    <w:rsid w:val="00D2505D"/>
    <w:rsid w:val="00D2514C"/>
    <w:rsid w:val="00D256C0"/>
    <w:rsid w:val="00D256FE"/>
    <w:rsid w:val="00D25742"/>
    <w:rsid w:val="00D2580D"/>
    <w:rsid w:val="00D259FD"/>
    <w:rsid w:val="00D25A76"/>
    <w:rsid w:val="00D25B79"/>
    <w:rsid w:val="00D25B8B"/>
    <w:rsid w:val="00D25B97"/>
    <w:rsid w:val="00D25BD3"/>
    <w:rsid w:val="00D25DBD"/>
    <w:rsid w:val="00D25FB0"/>
    <w:rsid w:val="00D26013"/>
    <w:rsid w:val="00D260AC"/>
    <w:rsid w:val="00D2617A"/>
    <w:rsid w:val="00D26363"/>
    <w:rsid w:val="00D263A7"/>
    <w:rsid w:val="00D263F2"/>
    <w:rsid w:val="00D26424"/>
    <w:rsid w:val="00D26665"/>
    <w:rsid w:val="00D2666A"/>
    <w:rsid w:val="00D26872"/>
    <w:rsid w:val="00D268C6"/>
    <w:rsid w:val="00D269A5"/>
    <w:rsid w:val="00D269EA"/>
    <w:rsid w:val="00D270A4"/>
    <w:rsid w:val="00D27103"/>
    <w:rsid w:val="00D2720F"/>
    <w:rsid w:val="00D27245"/>
    <w:rsid w:val="00D27400"/>
    <w:rsid w:val="00D27732"/>
    <w:rsid w:val="00D27818"/>
    <w:rsid w:val="00D27962"/>
    <w:rsid w:val="00D27999"/>
    <w:rsid w:val="00D27B3B"/>
    <w:rsid w:val="00D27C18"/>
    <w:rsid w:val="00D27CF3"/>
    <w:rsid w:val="00D27D55"/>
    <w:rsid w:val="00D27DC4"/>
    <w:rsid w:val="00D27DF6"/>
    <w:rsid w:val="00D27E80"/>
    <w:rsid w:val="00D27E9B"/>
    <w:rsid w:val="00D27F73"/>
    <w:rsid w:val="00D30124"/>
    <w:rsid w:val="00D30139"/>
    <w:rsid w:val="00D3024B"/>
    <w:rsid w:val="00D3024E"/>
    <w:rsid w:val="00D30284"/>
    <w:rsid w:val="00D3042F"/>
    <w:rsid w:val="00D30D7D"/>
    <w:rsid w:val="00D30DC9"/>
    <w:rsid w:val="00D30FF2"/>
    <w:rsid w:val="00D310D4"/>
    <w:rsid w:val="00D310EE"/>
    <w:rsid w:val="00D31179"/>
    <w:rsid w:val="00D311D8"/>
    <w:rsid w:val="00D31412"/>
    <w:rsid w:val="00D31498"/>
    <w:rsid w:val="00D314A9"/>
    <w:rsid w:val="00D316C8"/>
    <w:rsid w:val="00D31CDB"/>
    <w:rsid w:val="00D31CE2"/>
    <w:rsid w:val="00D320C7"/>
    <w:rsid w:val="00D32210"/>
    <w:rsid w:val="00D323B6"/>
    <w:rsid w:val="00D3247B"/>
    <w:rsid w:val="00D324CF"/>
    <w:rsid w:val="00D324F6"/>
    <w:rsid w:val="00D327F6"/>
    <w:rsid w:val="00D328C6"/>
    <w:rsid w:val="00D3294E"/>
    <w:rsid w:val="00D32C0A"/>
    <w:rsid w:val="00D32C20"/>
    <w:rsid w:val="00D330F7"/>
    <w:rsid w:val="00D33114"/>
    <w:rsid w:val="00D33194"/>
    <w:rsid w:val="00D33235"/>
    <w:rsid w:val="00D33242"/>
    <w:rsid w:val="00D332C3"/>
    <w:rsid w:val="00D3343C"/>
    <w:rsid w:val="00D3347F"/>
    <w:rsid w:val="00D334F6"/>
    <w:rsid w:val="00D33532"/>
    <w:rsid w:val="00D3354E"/>
    <w:rsid w:val="00D33678"/>
    <w:rsid w:val="00D33884"/>
    <w:rsid w:val="00D33892"/>
    <w:rsid w:val="00D33929"/>
    <w:rsid w:val="00D33997"/>
    <w:rsid w:val="00D33A85"/>
    <w:rsid w:val="00D33BB3"/>
    <w:rsid w:val="00D33C9F"/>
    <w:rsid w:val="00D33E6C"/>
    <w:rsid w:val="00D342B2"/>
    <w:rsid w:val="00D3433C"/>
    <w:rsid w:val="00D3440F"/>
    <w:rsid w:val="00D3467A"/>
    <w:rsid w:val="00D3473D"/>
    <w:rsid w:val="00D349C2"/>
    <w:rsid w:val="00D34D69"/>
    <w:rsid w:val="00D34F71"/>
    <w:rsid w:val="00D34F74"/>
    <w:rsid w:val="00D35002"/>
    <w:rsid w:val="00D35006"/>
    <w:rsid w:val="00D3503E"/>
    <w:rsid w:val="00D3509F"/>
    <w:rsid w:val="00D352DA"/>
    <w:rsid w:val="00D3534D"/>
    <w:rsid w:val="00D35353"/>
    <w:rsid w:val="00D3547F"/>
    <w:rsid w:val="00D35531"/>
    <w:rsid w:val="00D35539"/>
    <w:rsid w:val="00D35BE8"/>
    <w:rsid w:val="00D35CA8"/>
    <w:rsid w:val="00D35F35"/>
    <w:rsid w:val="00D3619B"/>
    <w:rsid w:val="00D361FD"/>
    <w:rsid w:val="00D3640B"/>
    <w:rsid w:val="00D364E7"/>
    <w:rsid w:val="00D3659E"/>
    <w:rsid w:val="00D36C22"/>
    <w:rsid w:val="00D36E1B"/>
    <w:rsid w:val="00D373BD"/>
    <w:rsid w:val="00D373F7"/>
    <w:rsid w:val="00D3772C"/>
    <w:rsid w:val="00D37857"/>
    <w:rsid w:val="00D379BA"/>
    <w:rsid w:val="00D37A74"/>
    <w:rsid w:val="00D37C07"/>
    <w:rsid w:val="00D37D0D"/>
    <w:rsid w:val="00D40067"/>
    <w:rsid w:val="00D400BB"/>
    <w:rsid w:val="00D401DC"/>
    <w:rsid w:val="00D40421"/>
    <w:rsid w:val="00D404B8"/>
    <w:rsid w:val="00D404E5"/>
    <w:rsid w:val="00D40637"/>
    <w:rsid w:val="00D40724"/>
    <w:rsid w:val="00D407F1"/>
    <w:rsid w:val="00D40A82"/>
    <w:rsid w:val="00D40B72"/>
    <w:rsid w:val="00D40B91"/>
    <w:rsid w:val="00D40C51"/>
    <w:rsid w:val="00D40D1E"/>
    <w:rsid w:val="00D40D98"/>
    <w:rsid w:val="00D40F17"/>
    <w:rsid w:val="00D40FE8"/>
    <w:rsid w:val="00D4111F"/>
    <w:rsid w:val="00D41277"/>
    <w:rsid w:val="00D412DF"/>
    <w:rsid w:val="00D41392"/>
    <w:rsid w:val="00D4149A"/>
    <w:rsid w:val="00D414E6"/>
    <w:rsid w:val="00D41560"/>
    <w:rsid w:val="00D41566"/>
    <w:rsid w:val="00D4175E"/>
    <w:rsid w:val="00D41876"/>
    <w:rsid w:val="00D41955"/>
    <w:rsid w:val="00D41ACA"/>
    <w:rsid w:val="00D41B09"/>
    <w:rsid w:val="00D41E0C"/>
    <w:rsid w:val="00D41F62"/>
    <w:rsid w:val="00D422EC"/>
    <w:rsid w:val="00D4231F"/>
    <w:rsid w:val="00D42545"/>
    <w:rsid w:val="00D425BF"/>
    <w:rsid w:val="00D429A7"/>
    <w:rsid w:val="00D429E6"/>
    <w:rsid w:val="00D429FC"/>
    <w:rsid w:val="00D42AE9"/>
    <w:rsid w:val="00D42B32"/>
    <w:rsid w:val="00D43081"/>
    <w:rsid w:val="00D43142"/>
    <w:rsid w:val="00D4342E"/>
    <w:rsid w:val="00D43563"/>
    <w:rsid w:val="00D4356F"/>
    <w:rsid w:val="00D437D0"/>
    <w:rsid w:val="00D43C7C"/>
    <w:rsid w:val="00D43CE8"/>
    <w:rsid w:val="00D43D42"/>
    <w:rsid w:val="00D43DAA"/>
    <w:rsid w:val="00D43E56"/>
    <w:rsid w:val="00D43FF2"/>
    <w:rsid w:val="00D440A8"/>
    <w:rsid w:val="00D441ED"/>
    <w:rsid w:val="00D443DE"/>
    <w:rsid w:val="00D445A0"/>
    <w:rsid w:val="00D445C7"/>
    <w:rsid w:val="00D44996"/>
    <w:rsid w:val="00D449F0"/>
    <w:rsid w:val="00D44A40"/>
    <w:rsid w:val="00D44C08"/>
    <w:rsid w:val="00D44C25"/>
    <w:rsid w:val="00D44C5C"/>
    <w:rsid w:val="00D44C97"/>
    <w:rsid w:val="00D44EA2"/>
    <w:rsid w:val="00D44EEB"/>
    <w:rsid w:val="00D450FC"/>
    <w:rsid w:val="00D45149"/>
    <w:rsid w:val="00D4520F"/>
    <w:rsid w:val="00D45274"/>
    <w:rsid w:val="00D45317"/>
    <w:rsid w:val="00D453A4"/>
    <w:rsid w:val="00D4561D"/>
    <w:rsid w:val="00D45781"/>
    <w:rsid w:val="00D45CD7"/>
    <w:rsid w:val="00D45CEA"/>
    <w:rsid w:val="00D45CF6"/>
    <w:rsid w:val="00D45DA9"/>
    <w:rsid w:val="00D45EC1"/>
    <w:rsid w:val="00D45F33"/>
    <w:rsid w:val="00D45F5D"/>
    <w:rsid w:val="00D4609F"/>
    <w:rsid w:val="00D4626E"/>
    <w:rsid w:val="00D465D3"/>
    <w:rsid w:val="00D46924"/>
    <w:rsid w:val="00D46955"/>
    <w:rsid w:val="00D46A88"/>
    <w:rsid w:val="00D46FCD"/>
    <w:rsid w:val="00D47060"/>
    <w:rsid w:val="00D4706A"/>
    <w:rsid w:val="00D4713A"/>
    <w:rsid w:val="00D473AE"/>
    <w:rsid w:val="00D473D3"/>
    <w:rsid w:val="00D4795D"/>
    <w:rsid w:val="00D479A4"/>
    <w:rsid w:val="00D47A99"/>
    <w:rsid w:val="00D47AD8"/>
    <w:rsid w:val="00D47DCA"/>
    <w:rsid w:val="00D47E20"/>
    <w:rsid w:val="00D50117"/>
    <w:rsid w:val="00D50386"/>
    <w:rsid w:val="00D5085B"/>
    <w:rsid w:val="00D5089D"/>
    <w:rsid w:val="00D50DFE"/>
    <w:rsid w:val="00D50F2A"/>
    <w:rsid w:val="00D5113D"/>
    <w:rsid w:val="00D5114F"/>
    <w:rsid w:val="00D51167"/>
    <w:rsid w:val="00D511DE"/>
    <w:rsid w:val="00D512A6"/>
    <w:rsid w:val="00D51419"/>
    <w:rsid w:val="00D515B3"/>
    <w:rsid w:val="00D51604"/>
    <w:rsid w:val="00D51624"/>
    <w:rsid w:val="00D5177B"/>
    <w:rsid w:val="00D51ADE"/>
    <w:rsid w:val="00D51DC6"/>
    <w:rsid w:val="00D52418"/>
    <w:rsid w:val="00D5244B"/>
    <w:rsid w:val="00D5250D"/>
    <w:rsid w:val="00D52637"/>
    <w:rsid w:val="00D528B8"/>
    <w:rsid w:val="00D52A14"/>
    <w:rsid w:val="00D52D51"/>
    <w:rsid w:val="00D52FC6"/>
    <w:rsid w:val="00D53405"/>
    <w:rsid w:val="00D5355E"/>
    <w:rsid w:val="00D535E1"/>
    <w:rsid w:val="00D53626"/>
    <w:rsid w:val="00D53634"/>
    <w:rsid w:val="00D53657"/>
    <w:rsid w:val="00D5373B"/>
    <w:rsid w:val="00D538C8"/>
    <w:rsid w:val="00D53902"/>
    <w:rsid w:val="00D53CD4"/>
    <w:rsid w:val="00D542AF"/>
    <w:rsid w:val="00D54345"/>
    <w:rsid w:val="00D54373"/>
    <w:rsid w:val="00D543A5"/>
    <w:rsid w:val="00D546C9"/>
    <w:rsid w:val="00D54994"/>
    <w:rsid w:val="00D54A24"/>
    <w:rsid w:val="00D54A48"/>
    <w:rsid w:val="00D54B61"/>
    <w:rsid w:val="00D54E00"/>
    <w:rsid w:val="00D54E31"/>
    <w:rsid w:val="00D54EC6"/>
    <w:rsid w:val="00D55122"/>
    <w:rsid w:val="00D55494"/>
    <w:rsid w:val="00D55499"/>
    <w:rsid w:val="00D5561F"/>
    <w:rsid w:val="00D55C61"/>
    <w:rsid w:val="00D55DBC"/>
    <w:rsid w:val="00D55DD3"/>
    <w:rsid w:val="00D56105"/>
    <w:rsid w:val="00D5617D"/>
    <w:rsid w:val="00D56187"/>
    <w:rsid w:val="00D56563"/>
    <w:rsid w:val="00D565BF"/>
    <w:rsid w:val="00D56A75"/>
    <w:rsid w:val="00D56CEF"/>
    <w:rsid w:val="00D5731E"/>
    <w:rsid w:val="00D5744B"/>
    <w:rsid w:val="00D575D3"/>
    <w:rsid w:val="00D57758"/>
    <w:rsid w:val="00D57810"/>
    <w:rsid w:val="00D5785F"/>
    <w:rsid w:val="00D578B9"/>
    <w:rsid w:val="00D57A6B"/>
    <w:rsid w:val="00D57C1B"/>
    <w:rsid w:val="00D57E93"/>
    <w:rsid w:val="00D57F67"/>
    <w:rsid w:val="00D57FC9"/>
    <w:rsid w:val="00D6003F"/>
    <w:rsid w:val="00D601F8"/>
    <w:rsid w:val="00D60393"/>
    <w:rsid w:val="00D60BA1"/>
    <w:rsid w:val="00D60DF8"/>
    <w:rsid w:val="00D60E69"/>
    <w:rsid w:val="00D60E93"/>
    <w:rsid w:val="00D60EE1"/>
    <w:rsid w:val="00D61090"/>
    <w:rsid w:val="00D6117D"/>
    <w:rsid w:val="00D61265"/>
    <w:rsid w:val="00D612BB"/>
    <w:rsid w:val="00D61441"/>
    <w:rsid w:val="00D615EB"/>
    <w:rsid w:val="00D616FF"/>
    <w:rsid w:val="00D617AC"/>
    <w:rsid w:val="00D61840"/>
    <w:rsid w:val="00D619EF"/>
    <w:rsid w:val="00D61A2E"/>
    <w:rsid w:val="00D61AD8"/>
    <w:rsid w:val="00D61AF3"/>
    <w:rsid w:val="00D61CEA"/>
    <w:rsid w:val="00D62185"/>
    <w:rsid w:val="00D621B6"/>
    <w:rsid w:val="00D6230C"/>
    <w:rsid w:val="00D6241B"/>
    <w:rsid w:val="00D62459"/>
    <w:rsid w:val="00D62536"/>
    <w:rsid w:val="00D62886"/>
    <w:rsid w:val="00D6290D"/>
    <w:rsid w:val="00D62966"/>
    <w:rsid w:val="00D62B66"/>
    <w:rsid w:val="00D63086"/>
    <w:rsid w:val="00D63308"/>
    <w:rsid w:val="00D63381"/>
    <w:rsid w:val="00D63444"/>
    <w:rsid w:val="00D636C1"/>
    <w:rsid w:val="00D636C3"/>
    <w:rsid w:val="00D63940"/>
    <w:rsid w:val="00D63983"/>
    <w:rsid w:val="00D63A5F"/>
    <w:rsid w:val="00D63CCD"/>
    <w:rsid w:val="00D63DB8"/>
    <w:rsid w:val="00D63E07"/>
    <w:rsid w:val="00D63F9B"/>
    <w:rsid w:val="00D641E5"/>
    <w:rsid w:val="00D64260"/>
    <w:rsid w:val="00D643CF"/>
    <w:rsid w:val="00D644D1"/>
    <w:rsid w:val="00D644F6"/>
    <w:rsid w:val="00D64988"/>
    <w:rsid w:val="00D64B13"/>
    <w:rsid w:val="00D64C00"/>
    <w:rsid w:val="00D65002"/>
    <w:rsid w:val="00D6516A"/>
    <w:rsid w:val="00D65359"/>
    <w:rsid w:val="00D65380"/>
    <w:rsid w:val="00D65464"/>
    <w:rsid w:val="00D65602"/>
    <w:rsid w:val="00D65679"/>
    <w:rsid w:val="00D656A4"/>
    <w:rsid w:val="00D657CA"/>
    <w:rsid w:val="00D65943"/>
    <w:rsid w:val="00D65946"/>
    <w:rsid w:val="00D65AA9"/>
    <w:rsid w:val="00D65B44"/>
    <w:rsid w:val="00D6601A"/>
    <w:rsid w:val="00D6631F"/>
    <w:rsid w:val="00D6649B"/>
    <w:rsid w:val="00D66764"/>
    <w:rsid w:val="00D66935"/>
    <w:rsid w:val="00D669A9"/>
    <w:rsid w:val="00D66D68"/>
    <w:rsid w:val="00D66DF0"/>
    <w:rsid w:val="00D66EF0"/>
    <w:rsid w:val="00D670E1"/>
    <w:rsid w:val="00D670F6"/>
    <w:rsid w:val="00D673B1"/>
    <w:rsid w:val="00D674BB"/>
    <w:rsid w:val="00D67A6E"/>
    <w:rsid w:val="00D67C75"/>
    <w:rsid w:val="00D67E05"/>
    <w:rsid w:val="00D70105"/>
    <w:rsid w:val="00D703AF"/>
    <w:rsid w:val="00D705BA"/>
    <w:rsid w:val="00D70A7F"/>
    <w:rsid w:val="00D70BFF"/>
    <w:rsid w:val="00D70EB7"/>
    <w:rsid w:val="00D71080"/>
    <w:rsid w:val="00D7160C"/>
    <w:rsid w:val="00D7161F"/>
    <w:rsid w:val="00D716C7"/>
    <w:rsid w:val="00D717B1"/>
    <w:rsid w:val="00D71DA4"/>
    <w:rsid w:val="00D71F62"/>
    <w:rsid w:val="00D71FED"/>
    <w:rsid w:val="00D7221C"/>
    <w:rsid w:val="00D724E8"/>
    <w:rsid w:val="00D72531"/>
    <w:rsid w:val="00D72604"/>
    <w:rsid w:val="00D72710"/>
    <w:rsid w:val="00D72824"/>
    <w:rsid w:val="00D72922"/>
    <w:rsid w:val="00D72E84"/>
    <w:rsid w:val="00D72E87"/>
    <w:rsid w:val="00D72F19"/>
    <w:rsid w:val="00D731FB"/>
    <w:rsid w:val="00D731FF"/>
    <w:rsid w:val="00D734A6"/>
    <w:rsid w:val="00D73587"/>
    <w:rsid w:val="00D7358C"/>
    <w:rsid w:val="00D73768"/>
    <w:rsid w:val="00D73A08"/>
    <w:rsid w:val="00D73CF6"/>
    <w:rsid w:val="00D73FBE"/>
    <w:rsid w:val="00D741FD"/>
    <w:rsid w:val="00D74303"/>
    <w:rsid w:val="00D743E2"/>
    <w:rsid w:val="00D7450F"/>
    <w:rsid w:val="00D7455E"/>
    <w:rsid w:val="00D745CA"/>
    <w:rsid w:val="00D74DC7"/>
    <w:rsid w:val="00D7518D"/>
    <w:rsid w:val="00D75256"/>
    <w:rsid w:val="00D7582C"/>
    <w:rsid w:val="00D75844"/>
    <w:rsid w:val="00D759F1"/>
    <w:rsid w:val="00D75BCB"/>
    <w:rsid w:val="00D75C3F"/>
    <w:rsid w:val="00D75C4B"/>
    <w:rsid w:val="00D75DEA"/>
    <w:rsid w:val="00D75E64"/>
    <w:rsid w:val="00D75F2E"/>
    <w:rsid w:val="00D76242"/>
    <w:rsid w:val="00D76389"/>
    <w:rsid w:val="00D7650B"/>
    <w:rsid w:val="00D76693"/>
    <w:rsid w:val="00D7673E"/>
    <w:rsid w:val="00D76AB8"/>
    <w:rsid w:val="00D76E35"/>
    <w:rsid w:val="00D76FAF"/>
    <w:rsid w:val="00D7714D"/>
    <w:rsid w:val="00D7715B"/>
    <w:rsid w:val="00D77322"/>
    <w:rsid w:val="00D773FD"/>
    <w:rsid w:val="00D77561"/>
    <w:rsid w:val="00D778EB"/>
    <w:rsid w:val="00D7797F"/>
    <w:rsid w:val="00D779A2"/>
    <w:rsid w:val="00D77B07"/>
    <w:rsid w:val="00D77F72"/>
    <w:rsid w:val="00D8005C"/>
    <w:rsid w:val="00D803C0"/>
    <w:rsid w:val="00D80528"/>
    <w:rsid w:val="00D8060A"/>
    <w:rsid w:val="00D8069C"/>
    <w:rsid w:val="00D806C0"/>
    <w:rsid w:val="00D8086F"/>
    <w:rsid w:val="00D8094B"/>
    <w:rsid w:val="00D80A20"/>
    <w:rsid w:val="00D80B56"/>
    <w:rsid w:val="00D80C99"/>
    <w:rsid w:val="00D80DAA"/>
    <w:rsid w:val="00D80FF4"/>
    <w:rsid w:val="00D810A6"/>
    <w:rsid w:val="00D8130A"/>
    <w:rsid w:val="00D81856"/>
    <w:rsid w:val="00D818E8"/>
    <w:rsid w:val="00D819DE"/>
    <w:rsid w:val="00D81CCB"/>
    <w:rsid w:val="00D82034"/>
    <w:rsid w:val="00D820FD"/>
    <w:rsid w:val="00D825CA"/>
    <w:rsid w:val="00D82651"/>
    <w:rsid w:val="00D826B6"/>
    <w:rsid w:val="00D826C7"/>
    <w:rsid w:val="00D82723"/>
    <w:rsid w:val="00D82AFA"/>
    <w:rsid w:val="00D82E5D"/>
    <w:rsid w:val="00D82E62"/>
    <w:rsid w:val="00D82FAC"/>
    <w:rsid w:val="00D82FB6"/>
    <w:rsid w:val="00D83088"/>
    <w:rsid w:val="00D83282"/>
    <w:rsid w:val="00D834B6"/>
    <w:rsid w:val="00D835BA"/>
    <w:rsid w:val="00D837EC"/>
    <w:rsid w:val="00D838FF"/>
    <w:rsid w:val="00D83959"/>
    <w:rsid w:val="00D839B1"/>
    <w:rsid w:val="00D839EF"/>
    <w:rsid w:val="00D83B56"/>
    <w:rsid w:val="00D83C3C"/>
    <w:rsid w:val="00D83D84"/>
    <w:rsid w:val="00D83FB5"/>
    <w:rsid w:val="00D84400"/>
    <w:rsid w:val="00D844EF"/>
    <w:rsid w:val="00D845BC"/>
    <w:rsid w:val="00D84683"/>
    <w:rsid w:val="00D84838"/>
    <w:rsid w:val="00D8487C"/>
    <w:rsid w:val="00D84885"/>
    <w:rsid w:val="00D84D31"/>
    <w:rsid w:val="00D84D90"/>
    <w:rsid w:val="00D85279"/>
    <w:rsid w:val="00D852A9"/>
    <w:rsid w:val="00D854A5"/>
    <w:rsid w:val="00D85594"/>
    <w:rsid w:val="00D85641"/>
    <w:rsid w:val="00D8567E"/>
    <w:rsid w:val="00D858C7"/>
    <w:rsid w:val="00D85925"/>
    <w:rsid w:val="00D8610A"/>
    <w:rsid w:val="00D86634"/>
    <w:rsid w:val="00D86644"/>
    <w:rsid w:val="00D867AD"/>
    <w:rsid w:val="00D8680D"/>
    <w:rsid w:val="00D86868"/>
    <w:rsid w:val="00D86931"/>
    <w:rsid w:val="00D86B77"/>
    <w:rsid w:val="00D86E2E"/>
    <w:rsid w:val="00D86ED2"/>
    <w:rsid w:val="00D86FFE"/>
    <w:rsid w:val="00D87143"/>
    <w:rsid w:val="00D872C7"/>
    <w:rsid w:val="00D87306"/>
    <w:rsid w:val="00D873DC"/>
    <w:rsid w:val="00D87443"/>
    <w:rsid w:val="00D87510"/>
    <w:rsid w:val="00D8758D"/>
    <w:rsid w:val="00D879E8"/>
    <w:rsid w:val="00D87B49"/>
    <w:rsid w:val="00D87B58"/>
    <w:rsid w:val="00D87D6F"/>
    <w:rsid w:val="00D87E76"/>
    <w:rsid w:val="00D87FB4"/>
    <w:rsid w:val="00D900B5"/>
    <w:rsid w:val="00D901E0"/>
    <w:rsid w:val="00D902CC"/>
    <w:rsid w:val="00D902EE"/>
    <w:rsid w:val="00D9071B"/>
    <w:rsid w:val="00D908B0"/>
    <w:rsid w:val="00D90C44"/>
    <w:rsid w:val="00D90E59"/>
    <w:rsid w:val="00D90E96"/>
    <w:rsid w:val="00D90E9C"/>
    <w:rsid w:val="00D90F18"/>
    <w:rsid w:val="00D90FB9"/>
    <w:rsid w:val="00D910B0"/>
    <w:rsid w:val="00D91564"/>
    <w:rsid w:val="00D9161E"/>
    <w:rsid w:val="00D917DF"/>
    <w:rsid w:val="00D91831"/>
    <w:rsid w:val="00D91A5A"/>
    <w:rsid w:val="00D91A76"/>
    <w:rsid w:val="00D91A7B"/>
    <w:rsid w:val="00D91B9A"/>
    <w:rsid w:val="00D91BDD"/>
    <w:rsid w:val="00D91D86"/>
    <w:rsid w:val="00D91FBE"/>
    <w:rsid w:val="00D92156"/>
    <w:rsid w:val="00D921F7"/>
    <w:rsid w:val="00D9237C"/>
    <w:rsid w:val="00D925BF"/>
    <w:rsid w:val="00D92876"/>
    <w:rsid w:val="00D92955"/>
    <w:rsid w:val="00D92A08"/>
    <w:rsid w:val="00D92CD9"/>
    <w:rsid w:val="00D92CE9"/>
    <w:rsid w:val="00D92D4A"/>
    <w:rsid w:val="00D92E66"/>
    <w:rsid w:val="00D92EAA"/>
    <w:rsid w:val="00D92FAC"/>
    <w:rsid w:val="00D93181"/>
    <w:rsid w:val="00D9318F"/>
    <w:rsid w:val="00D93471"/>
    <w:rsid w:val="00D9361E"/>
    <w:rsid w:val="00D9381E"/>
    <w:rsid w:val="00D93881"/>
    <w:rsid w:val="00D938D4"/>
    <w:rsid w:val="00D93B8D"/>
    <w:rsid w:val="00D93E68"/>
    <w:rsid w:val="00D93F92"/>
    <w:rsid w:val="00D941BF"/>
    <w:rsid w:val="00D94257"/>
    <w:rsid w:val="00D94335"/>
    <w:rsid w:val="00D94757"/>
    <w:rsid w:val="00D94768"/>
    <w:rsid w:val="00D947EE"/>
    <w:rsid w:val="00D94847"/>
    <w:rsid w:val="00D94AB5"/>
    <w:rsid w:val="00D94ACE"/>
    <w:rsid w:val="00D94C5D"/>
    <w:rsid w:val="00D94D2E"/>
    <w:rsid w:val="00D94E08"/>
    <w:rsid w:val="00D95088"/>
    <w:rsid w:val="00D9514D"/>
    <w:rsid w:val="00D9517B"/>
    <w:rsid w:val="00D9527C"/>
    <w:rsid w:val="00D9539C"/>
    <w:rsid w:val="00D9570C"/>
    <w:rsid w:val="00D95728"/>
    <w:rsid w:val="00D95AD2"/>
    <w:rsid w:val="00D95F31"/>
    <w:rsid w:val="00D95FED"/>
    <w:rsid w:val="00D95FF3"/>
    <w:rsid w:val="00D961D3"/>
    <w:rsid w:val="00D96213"/>
    <w:rsid w:val="00D964D9"/>
    <w:rsid w:val="00D96AE7"/>
    <w:rsid w:val="00D96C23"/>
    <w:rsid w:val="00D96CB4"/>
    <w:rsid w:val="00D96D41"/>
    <w:rsid w:val="00D96F5A"/>
    <w:rsid w:val="00D9706F"/>
    <w:rsid w:val="00D9721E"/>
    <w:rsid w:val="00D972D7"/>
    <w:rsid w:val="00D9733D"/>
    <w:rsid w:val="00D973AD"/>
    <w:rsid w:val="00D975F2"/>
    <w:rsid w:val="00D97769"/>
    <w:rsid w:val="00D97B5B"/>
    <w:rsid w:val="00D97C3A"/>
    <w:rsid w:val="00DA02A6"/>
    <w:rsid w:val="00DA02DC"/>
    <w:rsid w:val="00DA0325"/>
    <w:rsid w:val="00DA049D"/>
    <w:rsid w:val="00DA0636"/>
    <w:rsid w:val="00DA0B4E"/>
    <w:rsid w:val="00DA0CEE"/>
    <w:rsid w:val="00DA0E7A"/>
    <w:rsid w:val="00DA0F39"/>
    <w:rsid w:val="00DA0FA6"/>
    <w:rsid w:val="00DA0FDA"/>
    <w:rsid w:val="00DA105D"/>
    <w:rsid w:val="00DA1092"/>
    <w:rsid w:val="00DA1428"/>
    <w:rsid w:val="00DA154B"/>
    <w:rsid w:val="00DA1593"/>
    <w:rsid w:val="00DA1731"/>
    <w:rsid w:val="00DA1F4A"/>
    <w:rsid w:val="00DA21D2"/>
    <w:rsid w:val="00DA2219"/>
    <w:rsid w:val="00DA2386"/>
    <w:rsid w:val="00DA24D2"/>
    <w:rsid w:val="00DA2C39"/>
    <w:rsid w:val="00DA2C52"/>
    <w:rsid w:val="00DA2E42"/>
    <w:rsid w:val="00DA3003"/>
    <w:rsid w:val="00DA320F"/>
    <w:rsid w:val="00DA3249"/>
    <w:rsid w:val="00DA32A1"/>
    <w:rsid w:val="00DA33C8"/>
    <w:rsid w:val="00DA3465"/>
    <w:rsid w:val="00DA34FB"/>
    <w:rsid w:val="00DA35B6"/>
    <w:rsid w:val="00DA378D"/>
    <w:rsid w:val="00DA38B2"/>
    <w:rsid w:val="00DA3948"/>
    <w:rsid w:val="00DA3A04"/>
    <w:rsid w:val="00DA3C3F"/>
    <w:rsid w:val="00DA3DBC"/>
    <w:rsid w:val="00DA4059"/>
    <w:rsid w:val="00DA4263"/>
    <w:rsid w:val="00DA435E"/>
    <w:rsid w:val="00DA45DD"/>
    <w:rsid w:val="00DA4617"/>
    <w:rsid w:val="00DA4622"/>
    <w:rsid w:val="00DA46C8"/>
    <w:rsid w:val="00DA4745"/>
    <w:rsid w:val="00DA49B4"/>
    <w:rsid w:val="00DA4B38"/>
    <w:rsid w:val="00DA4EAA"/>
    <w:rsid w:val="00DA4F52"/>
    <w:rsid w:val="00DA50CE"/>
    <w:rsid w:val="00DA5122"/>
    <w:rsid w:val="00DA5132"/>
    <w:rsid w:val="00DA5177"/>
    <w:rsid w:val="00DA51A8"/>
    <w:rsid w:val="00DA51E9"/>
    <w:rsid w:val="00DA5456"/>
    <w:rsid w:val="00DA54A1"/>
    <w:rsid w:val="00DA555B"/>
    <w:rsid w:val="00DA566F"/>
    <w:rsid w:val="00DA5A98"/>
    <w:rsid w:val="00DA5C6A"/>
    <w:rsid w:val="00DA5D52"/>
    <w:rsid w:val="00DA5EA6"/>
    <w:rsid w:val="00DA655F"/>
    <w:rsid w:val="00DA67B7"/>
    <w:rsid w:val="00DA6812"/>
    <w:rsid w:val="00DA68A9"/>
    <w:rsid w:val="00DA70E2"/>
    <w:rsid w:val="00DA7187"/>
    <w:rsid w:val="00DA728C"/>
    <w:rsid w:val="00DA732A"/>
    <w:rsid w:val="00DA762F"/>
    <w:rsid w:val="00DA7793"/>
    <w:rsid w:val="00DA77BE"/>
    <w:rsid w:val="00DA7974"/>
    <w:rsid w:val="00DA7A56"/>
    <w:rsid w:val="00DA7DEF"/>
    <w:rsid w:val="00DA7E99"/>
    <w:rsid w:val="00DB00E4"/>
    <w:rsid w:val="00DB028B"/>
    <w:rsid w:val="00DB04E2"/>
    <w:rsid w:val="00DB06D5"/>
    <w:rsid w:val="00DB0AC1"/>
    <w:rsid w:val="00DB0D26"/>
    <w:rsid w:val="00DB0D83"/>
    <w:rsid w:val="00DB0E0D"/>
    <w:rsid w:val="00DB1051"/>
    <w:rsid w:val="00DB10E9"/>
    <w:rsid w:val="00DB1159"/>
    <w:rsid w:val="00DB121C"/>
    <w:rsid w:val="00DB1245"/>
    <w:rsid w:val="00DB1375"/>
    <w:rsid w:val="00DB1401"/>
    <w:rsid w:val="00DB1824"/>
    <w:rsid w:val="00DB1A5E"/>
    <w:rsid w:val="00DB1B18"/>
    <w:rsid w:val="00DB1CE2"/>
    <w:rsid w:val="00DB1D92"/>
    <w:rsid w:val="00DB21B6"/>
    <w:rsid w:val="00DB23DD"/>
    <w:rsid w:val="00DB246C"/>
    <w:rsid w:val="00DB2504"/>
    <w:rsid w:val="00DB271B"/>
    <w:rsid w:val="00DB2752"/>
    <w:rsid w:val="00DB2860"/>
    <w:rsid w:val="00DB28CE"/>
    <w:rsid w:val="00DB2AE8"/>
    <w:rsid w:val="00DB2BAB"/>
    <w:rsid w:val="00DB2D44"/>
    <w:rsid w:val="00DB2DA0"/>
    <w:rsid w:val="00DB3187"/>
    <w:rsid w:val="00DB318D"/>
    <w:rsid w:val="00DB3417"/>
    <w:rsid w:val="00DB363F"/>
    <w:rsid w:val="00DB36B9"/>
    <w:rsid w:val="00DB37B6"/>
    <w:rsid w:val="00DB385A"/>
    <w:rsid w:val="00DB3BED"/>
    <w:rsid w:val="00DB3ED1"/>
    <w:rsid w:val="00DB3F43"/>
    <w:rsid w:val="00DB4019"/>
    <w:rsid w:val="00DB4226"/>
    <w:rsid w:val="00DB44E8"/>
    <w:rsid w:val="00DB471B"/>
    <w:rsid w:val="00DB4740"/>
    <w:rsid w:val="00DB4846"/>
    <w:rsid w:val="00DB4996"/>
    <w:rsid w:val="00DB4A84"/>
    <w:rsid w:val="00DB4BC6"/>
    <w:rsid w:val="00DB4DA3"/>
    <w:rsid w:val="00DB4E31"/>
    <w:rsid w:val="00DB4E5D"/>
    <w:rsid w:val="00DB527A"/>
    <w:rsid w:val="00DB53FE"/>
    <w:rsid w:val="00DB54B7"/>
    <w:rsid w:val="00DB58B7"/>
    <w:rsid w:val="00DB58F9"/>
    <w:rsid w:val="00DB59D4"/>
    <w:rsid w:val="00DB6128"/>
    <w:rsid w:val="00DB616A"/>
    <w:rsid w:val="00DB630E"/>
    <w:rsid w:val="00DB6329"/>
    <w:rsid w:val="00DB6354"/>
    <w:rsid w:val="00DB647E"/>
    <w:rsid w:val="00DB6602"/>
    <w:rsid w:val="00DB688E"/>
    <w:rsid w:val="00DB6B90"/>
    <w:rsid w:val="00DB6F6E"/>
    <w:rsid w:val="00DB7079"/>
    <w:rsid w:val="00DB7087"/>
    <w:rsid w:val="00DB71DF"/>
    <w:rsid w:val="00DB7202"/>
    <w:rsid w:val="00DB7204"/>
    <w:rsid w:val="00DB7258"/>
    <w:rsid w:val="00DB72C1"/>
    <w:rsid w:val="00DB7519"/>
    <w:rsid w:val="00DB78C8"/>
    <w:rsid w:val="00DB7955"/>
    <w:rsid w:val="00DB79F5"/>
    <w:rsid w:val="00DB7A77"/>
    <w:rsid w:val="00DB7C1E"/>
    <w:rsid w:val="00DB7D9C"/>
    <w:rsid w:val="00DB7DE4"/>
    <w:rsid w:val="00DB7FE5"/>
    <w:rsid w:val="00DB7FF0"/>
    <w:rsid w:val="00DC02A7"/>
    <w:rsid w:val="00DC0338"/>
    <w:rsid w:val="00DC0E13"/>
    <w:rsid w:val="00DC13D8"/>
    <w:rsid w:val="00DC14D0"/>
    <w:rsid w:val="00DC1825"/>
    <w:rsid w:val="00DC1917"/>
    <w:rsid w:val="00DC1986"/>
    <w:rsid w:val="00DC1B1E"/>
    <w:rsid w:val="00DC1BC5"/>
    <w:rsid w:val="00DC1CA4"/>
    <w:rsid w:val="00DC1D9C"/>
    <w:rsid w:val="00DC1DC5"/>
    <w:rsid w:val="00DC2014"/>
    <w:rsid w:val="00DC21AD"/>
    <w:rsid w:val="00DC21E0"/>
    <w:rsid w:val="00DC23C9"/>
    <w:rsid w:val="00DC248B"/>
    <w:rsid w:val="00DC24EB"/>
    <w:rsid w:val="00DC26A2"/>
    <w:rsid w:val="00DC2A11"/>
    <w:rsid w:val="00DC2BAB"/>
    <w:rsid w:val="00DC2D24"/>
    <w:rsid w:val="00DC2FEA"/>
    <w:rsid w:val="00DC3389"/>
    <w:rsid w:val="00DC3A8C"/>
    <w:rsid w:val="00DC3E02"/>
    <w:rsid w:val="00DC3E31"/>
    <w:rsid w:val="00DC3EAC"/>
    <w:rsid w:val="00DC4292"/>
    <w:rsid w:val="00DC434C"/>
    <w:rsid w:val="00DC445A"/>
    <w:rsid w:val="00DC4514"/>
    <w:rsid w:val="00DC47CF"/>
    <w:rsid w:val="00DC48B3"/>
    <w:rsid w:val="00DC4976"/>
    <w:rsid w:val="00DC4A92"/>
    <w:rsid w:val="00DC4AD9"/>
    <w:rsid w:val="00DC4D72"/>
    <w:rsid w:val="00DC4D82"/>
    <w:rsid w:val="00DC4DBB"/>
    <w:rsid w:val="00DC4EBD"/>
    <w:rsid w:val="00DC4ED0"/>
    <w:rsid w:val="00DC4ED7"/>
    <w:rsid w:val="00DC4F20"/>
    <w:rsid w:val="00DC4F37"/>
    <w:rsid w:val="00DC5050"/>
    <w:rsid w:val="00DC51B8"/>
    <w:rsid w:val="00DC527D"/>
    <w:rsid w:val="00DC54E2"/>
    <w:rsid w:val="00DC54F5"/>
    <w:rsid w:val="00DC558A"/>
    <w:rsid w:val="00DC55AB"/>
    <w:rsid w:val="00DC571B"/>
    <w:rsid w:val="00DC579C"/>
    <w:rsid w:val="00DC59E3"/>
    <w:rsid w:val="00DC5A9A"/>
    <w:rsid w:val="00DC5B53"/>
    <w:rsid w:val="00DC5DD2"/>
    <w:rsid w:val="00DC6093"/>
    <w:rsid w:val="00DC6115"/>
    <w:rsid w:val="00DC6527"/>
    <w:rsid w:val="00DC660B"/>
    <w:rsid w:val="00DC6811"/>
    <w:rsid w:val="00DC6AC7"/>
    <w:rsid w:val="00DC6D27"/>
    <w:rsid w:val="00DC6DF4"/>
    <w:rsid w:val="00DC70AA"/>
    <w:rsid w:val="00DC711B"/>
    <w:rsid w:val="00DC71EC"/>
    <w:rsid w:val="00DC7220"/>
    <w:rsid w:val="00DC7309"/>
    <w:rsid w:val="00DC731D"/>
    <w:rsid w:val="00DC7337"/>
    <w:rsid w:val="00DC73C0"/>
    <w:rsid w:val="00DC7567"/>
    <w:rsid w:val="00DC7716"/>
    <w:rsid w:val="00DC7796"/>
    <w:rsid w:val="00DC7822"/>
    <w:rsid w:val="00DC7DBB"/>
    <w:rsid w:val="00DC7EA7"/>
    <w:rsid w:val="00DC7FC9"/>
    <w:rsid w:val="00DD0009"/>
    <w:rsid w:val="00DD01C6"/>
    <w:rsid w:val="00DD02B5"/>
    <w:rsid w:val="00DD03F7"/>
    <w:rsid w:val="00DD056F"/>
    <w:rsid w:val="00DD062B"/>
    <w:rsid w:val="00DD0AD3"/>
    <w:rsid w:val="00DD0B1A"/>
    <w:rsid w:val="00DD0FCB"/>
    <w:rsid w:val="00DD101C"/>
    <w:rsid w:val="00DD1496"/>
    <w:rsid w:val="00DD15DD"/>
    <w:rsid w:val="00DD16A1"/>
    <w:rsid w:val="00DD175F"/>
    <w:rsid w:val="00DD1838"/>
    <w:rsid w:val="00DD1896"/>
    <w:rsid w:val="00DD1A4F"/>
    <w:rsid w:val="00DD1DC8"/>
    <w:rsid w:val="00DD21BE"/>
    <w:rsid w:val="00DD21ED"/>
    <w:rsid w:val="00DD2254"/>
    <w:rsid w:val="00DD22AF"/>
    <w:rsid w:val="00DD237F"/>
    <w:rsid w:val="00DD2403"/>
    <w:rsid w:val="00DD25E0"/>
    <w:rsid w:val="00DD2763"/>
    <w:rsid w:val="00DD2A41"/>
    <w:rsid w:val="00DD2DC7"/>
    <w:rsid w:val="00DD2DE4"/>
    <w:rsid w:val="00DD2DE7"/>
    <w:rsid w:val="00DD2F75"/>
    <w:rsid w:val="00DD365D"/>
    <w:rsid w:val="00DD38CE"/>
    <w:rsid w:val="00DD3B3F"/>
    <w:rsid w:val="00DD3B8B"/>
    <w:rsid w:val="00DD3C22"/>
    <w:rsid w:val="00DD3CED"/>
    <w:rsid w:val="00DD3D1F"/>
    <w:rsid w:val="00DD410A"/>
    <w:rsid w:val="00DD4249"/>
    <w:rsid w:val="00DD453A"/>
    <w:rsid w:val="00DD48B7"/>
    <w:rsid w:val="00DD48D2"/>
    <w:rsid w:val="00DD493C"/>
    <w:rsid w:val="00DD4CDD"/>
    <w:rsid w:val="00DD4CF3"/>
    <w:rsid w:val="00DD4D5B"/>
    <w:rsid w:val="00DD4DBC"/>
    <w:rsid w:val="00DD4E84"/>
    <w:rsid w:val="00DD5337"/>
    <w:rsid w:val="00DD581E"/>
    <w:rsid w:val="00DD5FA8"/>
    <w:rsid w:val="00DD617C"/>
    <w:rsid w:val="00DD6362"/>
    <w:rsid w:val="00DD6500"/>
    <w:rsid w:val="00DD65E0"/>
    <w:rsid w:val="00DD66FE"/>
    <w:rsid w:val="00DD694F"/>
    <w:rsid w:val="00DD6E1D"/>
    <w:rsid w:val="00DD73F1"/>
    <w:rsid w:val="00DD754B"/>
    <w:rsid w:val="00DD757E"/>
    <w:rsid w:val="00DD759F"/>
    <w:rsid w:val="00DD7622"/>
    <w:rsid w:val="00DD76A5"/>
    <w:rsid w:val="00DD773A"/>
    <w:rsid w:val="00DD79EE"/>
    <w:rsid w:val="00DD7A66"/>
    <w:rsid w:val="00DD7B10"/>
    <w:rsid w:val="00DD7BED"/>
    <w:rsid w:val="00DD7CD9"/>
    <w:rsid w:val="00DD7E80"/>
    <w:rsid w:val="00DD7EB7"/>
    <w:rsid w:val="00DD7EF7"/>
    <w:rsid w:val="00DD7F71"/>
    <w:rsid w:val="00DE01F8"/>
    <w:rsid w:val="00DE02DF"/>
    <w:rsid w:val="00DE04C6"/>
    <w:rsid w:val="00DE0581"/>
    <w:rsid w:val="00DE064B"/>
    <w:rsid w:val="00DE09F9"/>
    <w:rsid w:val="00DE0B5B"/>
    <w:rsid w:val="00DE0D26"/>
    <w:rsid w:val="00DE0D3F"/>
    <w:rsid w:val="00DE0EA9"/>
    <w:rsid w:val="00DE0F85"/>
    <w:rsid w:val="00DE11F2"/>
    <w:rsid w:val="00DE120E"/>
    <w:rsid w:val="00DE1449"/>
    <w:rsid w:val="00DE152C"/>
    <w:rsid w:val="00DE1539"/>
    <w:rsid w:val="00DE1663"/>
    <w:rsid w:val="00DE16B9"/>
    <w:rsid w:val="00DE18AD"/>
    <w:rsid w:val="00DE1A55"/>
    <w:rsid w:val="00DE1B8C"/>
    <w:rsid w:val="00DE1DFD"/>
    <w:rsid w:val="00DE1E5F"/>
    <w:rsid w:val="00DE1F09"/>
    <w:rsid w:val="00DE1FA4"/>
    <w:rsid w:val="00DE22CD"/>
    <w:rsid w:val="00DE23CC"/>
    <w:rsid w:val="00DE2526"/>
    <w:rsid w:val="00DE27F2"/>
    <w:rsid w:val="00DE2982"/>
    <w:rsid w:val="00DE2AD8"/>
    <w:rsid w:val="00DE2B09"/>
    <w:rsid w:val="00DE2CEB"/>
    <w:rsid w:val="00DE30A0"/>
    <w:rsid w:val="00DE3112"/>
    <w:rsid w:val="00DE316C"/>
    <w:rsid w:val="00DE32CA"/>
    <w:rsid w:val="00DE3376"/>
    <w:rsid w:val="00DE3409"/>
    <w:rsid w:val="00DE34A9"/>
    <w:rsid w:val="00DE34BA"/>
    <w:rsid w:val="00DE35F4"/>
    <w:rsid w:val="00DE3823"/>
    <w:rsid w:val="00DE3D0F"/>
    <w:rsid w:val="00DE3D9A"/>
    <w:rsid w:val="00DE3DB2"/>
    <w:rsid w:val="00DE3E24"/>
    <w:rsid w:val="00DE451A"/>
    <w:rsid w:val="00DE45EA"/>
    <w:rsid w:val="00DE4689"/>
    <w:rsid w:val="00DE4833"/>
    <w:rsid w:val="00DE48E6"/>
    <w:rsid w:val="00DE4903"/>
    <w:rsid w:val="00DE4939"/>
    <w:rsid w:val="00DE4B75"/>
    <w:rsid w:val="00DE4BE0"/>
    <w:rsid w:val="00DE4DB5"/>
    <w:rsid w:val="00DE4E54"/>
    <w:rsid w:val="00DE5145"/>
    <w:rsid w:val="00DE514C"/>
    <w:rsid w:val="00DE52E6"/>
    <w:rsid w:val="00DE531B"/>
    <w:rsid w:val="00DE5697"/>
    <w:rsid w:val="00DE5D47"/>
    <w:rsid w:val="00DE5F15"/>
    <w:rsid w:val="00DE5FEA"/>
    <w:rsid w:val="00DE60CD"/>
    <w:rsid w:val="00DE620A"/>
    <w:rsid w:val="00DE625A"/>
    <w:rsid w:val="00DE638C"/>
    <w:rsid w:val="00DE64E3"/>
    <w:rsid w:val="00DE6562"/>
    <w:rsid w:val="00DE65BA"/>
    <w:rsid w:val="00DE661B"/>
    <w:rsid w:val="00DE6786"/>
    <w:rsid w:val="00DE682A"/>
    <w:rsid w:val="00DE6AD0"/>
    <w:rsid w:val="00DE6B7C"/>
    <w:rsid w:val="00DE6C78"/>
    <w:rsid w:val="00DE7491"/>
    <w:rsid w:val="00DE7532"/>
    <w:rsid w:val="00DE7614"/>
    <w:rsid w:val="00DE7623"/>
    <w:rsid w:val="00DE77C5"/>
    <w:rsid w:val="00DE77D2"/>
    <w:rsid w:val="00DE7912"/>
    <w:rsid w:val="00DE7B32"/>
    <w:rsid w:val="00DE7C30"/>
    <w:rsid w:val="00DE7F68"/>
    <w:rsid w:val="00DF0091"/>
    <w:rsid w:val="00DF0143"/>
    <w:rsid w:val="00DF05B3"/>
    <w:rsid w:val="00DF0796"/>
    <w:rsid w:val="00DF08B1"/>
    <w:rsid w:val="00DF09B9"/>
    <w:rsid w:val="00DF0C51"/>
    <w:rsid w:val="00DF0E2A"/>
    <w:rsid w:val="00DF0F11"/>
    <w:rsid w:val="00DF1046"/>
    <w:rsid w:val="00DF110E"/>
    <w:rsid w:val="00DF112C"/>
    <w:rsid w:val="00DF113C"/>
    <w:rsid w:val="00DF15BE"/>
    <w:rsid w:val="00DF1676"/>
    <w:rsid w:val="00DF1681"/>
    <w:rsid w:val="00DF17D4"/>
    <w:rsid w:val="00DF1B1D"/>
    <w:rsid w:val="00DF1DFB"/>
    <w:rsid w:val="00DF1EC4"/>
    <w:rsid w:val="00DF214B"/>
    <w:rsid w:val="00DF216D"/>
    <w:rsid w:val="00DF23C5"/>
    <w:rsid w:val="00DF263C"/>
    <w:rsid w:val="00DF2808"/>
    <w:rsid w:val="00DF28C6"/>
    <w:rsid w:val="00DF2D7C"/>
    <w:rsid w:val="00DF2DB6"/>
    <w:rsid w:val="00DF2DB9"/>
    <w:rsid w:val="00DF3010"/>
    <w:rsid w:val="00DF3021"/>
    <w:rsid w:val="00DF314C"/>
    <w:rsid w:val="00DF3421"/>
    <w:rsid w:val="00DF360A"/>
    <w:rsid w:val="00DF399E"/>
    <w:rsid w:val="00DF39EB"/>
    <w:rsid w:val="00DF3D74"/>
    <w:rsid w:val="00DF3EE8"/>
    <w:rsid w:val="00DF3F77"/>
    <w:rsid w:val="00DF408E"/>
    <w:rsid w:val="00DF416B"/>
    <w:rsid w:val="00DF41C7"/>
    <w:rsid w:val="00DF431D"/>
    <w:rsid w:val="00DF438A"/>
    <w:rsid w:val="00DF44D6"/>
    <w:rsid w:val="00DF45EE"/>
    <w:rsid w:val="00DF46EF"/>
    <w:rsid w:val="00DF4A39"/>
    <w:rsid w:val="00DF4BAF"/>
    <w:rsid w:val="00DF4E87"/>
    <w:rsid w:val="00DF5026"/>
    <w:rsid w:val="00DF50B4"/>
    <w:rsid w:val="00DF520A"/>
    <w:rsid w:val="00DF52E0"/>
    <w:rsid w:val="00DF5410"/>
    <w:rsid w:val="00DF552A"/>
    <w:rsid w:val="00DF556C"/>
    <w:rsid w:val="00DF55A7"/>
    <w:rsid w:val="00DF55B7"/>
    <w:rsid w:val="00DF55EC"/>
    <w:rsid w:val="00DF57FF"/>
    <w:rsid w:val="00DF5B4F"/>
    <w:rsid w:val="00DF5B64"/>
    <w:rsid w:val="00DF5D41"/>
    <w:rsid w:val="00DF5D5F"/>
    <w:rsid w:val="00DF5EB1"/>
    <w:rsid w:val="00DF5FD9"/>
    <w:rsid w:val="00DF6360"/>
    <w:rsid w:val="00DF6590"/>
    <w:rsid w:val="00DF6618"/>
    <w:rsid w:val="00DF6939"/>
    <w:rsid w:val="00DF6ADB"/>
    <w:rsid w:val="00DF6D73"/>
    <w:rsid w:val="00DF6EAC"/>
    <w:rsid w:val="00DF6EE9"/>
    <w:rsid w:val="00DF6F23"/>
    <w:rsid w:val="00DF7058"/>
    <w:rsid w:val="00DF7090"/>
    <w:rsid w:val="00DF70E6"/>
    <w:rsid w:val="00DF710E"/>
    <w:rsid w:val="00DF7328"/>
    <w:rsid w:val="00DF738C"/>
    <w:rsid w:val="00DF7457"/>
    <w:rsid w:val="00DF74BE"/>
    <w:rsid w:val="00DF7808"/>
    <w:rsid w:val="00DF7824"/>
    <w:rsid w:val="00DF7852"/>
    <w:rsid w:val="00DF7DC7"/>
    <w:rsid w:val="00E0020A"/>
    <w:rsid w:val="00E003DE"/>
    <w:rsid w:val="00E003FA"/>
    <w:rsid w:val="00E00485"/>
    <w:rsid w:val="00E005BD"/>
    <w:rsid w:val="00E00755"/>
    <w:rsid w:val="00E00761"/>
    <w:rsid w:val="00E00AC1"/>
    <w:rsid w:val="00E00C61"/>
    <w:rsid w:val="00E00CA5"/>
    <w:rsid w:val="00E00E7C"/>
    <w:rsid w:val="00E00EDB"/>
    <w:rsid w:val="00E00F70"/>
    <w:rsid w:val="00E00FD0"/>
    <w:rsid w:val="00E00FD8"/>
    <w:rsid w:val="00E0125A"/>
    <w:rsid w:val="00E0129A"/>
    <w:rsid w:val="00E014BE"/>
    <w:rsid w:val="00E017D9"/>
    <w:rsid w:val="00E01D13"/>
    <w:rsid w:val="00E01D5B"/>
    <w:rsid w:val="00E01FF2"/>
    <w:rsid w:val="00E020E8"/>
    <w:rsid w:val="00E0211D"/>
    <w:rsid w:val="00E02171"/>
    <w:rsid w:val="00E02936"/>
    <w:rsid w:val="00E029E2"/>
    <w:rsid w:val="00E029FB"/>
    <w:rsid w:val="00E02B36"/>
    <w:rsid w:val="00E02DD9"/>
    <w:rsid w:val="00E02F56"/>
    <w:rsid w:val="00E02FE6"/>
    <w:rsid w:val="00E0319B"/>
    <w:rsid w:val="00E03347"/>
    <w:rsid w:val="00E033CF"/>
    <w:rsid w:val="00E034D3"/>
    <w:rsid w:val="00E03753"/>
    <w:rsid w:val="00E039FE"/>
    <w:rsid w:val="00E03AD1"/>
    <w:rsid w:val="00E03B7F"/>
    <w:rsid w:val="00E03CB5"/>
    <w:rsid w:val="00E03DAD"/>
    <w:rsid w:val="00E03DE8"/>
    <w:rsid w:val="00E03F49"/>
    <w:rsid w:val="00E040BC"/>
    <w:rsid w:val="00E043D5"/>
    <w:rsid w:val="00E044BB"/>
    <w:rsid w:val="00E04AF3"/>
    <w:rsid w:val="00E04F8A"/>
    <w:rsid w:val="00E04FEA"/>
    <w:rsid w:val="00E0594D"/>
    <w:rsid w:val="00E05A6C"/>
    <w:rsid w:val="00E05BA3"/>
    <w:rsid w:val="00E05CB6"/>
    <w:rsid w:val="00E05D54"/>
    <w:rsid w:val="00E05D75"/>
    <w:rsid w:val="00E05E05"/>
    <w:rsid w:val="00E06052"/>
    <w:rsid w:val="00E0609E"/>
    <w:rsid w:val="00E062F4"/>
    <w:rsid w:val="00E064DB"/>
    <w:rsid w:val="00E067D6"/>
    <w:rsid w:val="00E0686B"/>
    <w:rsid w:val="00E06979"/>
    <w:rsid w:val="00E069C2"/>
    <w:rsid w:val="00E06CE8"/>
    <w:rsid w:val="00E06F44"/>
    <w:rsid w:val="00E06FFD"/>
    <w:rsid w:val="00E07118"/>
    <w:rsid w:val="00E07444"/>
    <w:rsid w:val="00E07584"/>
    <w:rsid w:val="00E075BA"/>
    <w:rsid w:val="00E07632"/>
    <w:rsid w:val="00E0799E"/>
    <w:rsid w:val="00E07AD8"/>
    <w:rsid w:val="00E07C14"/>
    <w:rsid w:val="00E07D98"/>
    <w:rsid w:val="00E10091"/>
    <w:rsid w:val="00E10297"/>
    <w:rsid w:val="00E10562"/>
    <w:rsid w:val="00E105BA"/>
    <w:rsid w:val="00E107D6"/>
    <w:rsid w:val="00E10995"/>
    <w:rsid w:val="00E10A3B"/>
    <w:rsid w:val="00E10B83"/>
    <w:rsid w:val="00E10C5D"/>
    <w:rsid w:val="00E10D86"/>
    <w:rsid w:val="00E10E58"/>
    <w:rsid w:val="00E10FF5"/>
    <w:rsid w:val="00E11453"/>
    <w:rsid w:val="00E1154B"/>
    <w:rsid w:val="00E11CC2"/>
    <w:rsid w:val="00E12119"/>
    <w:rsid w:val="00E122EC"/>
    <w:rsid w:val="00E125A5"/>
    <w:rsid w:val="00E12678"/>
    <w:rsid w:val="00E129A3"/>
    <w:rsid w:val="00E12A51"/>
    <w:rsid w:val="00E12ABB"/>
    <w:rsid w:val="00E12B47"/>
    <w:rsid w:val="00E131DB"/>
    <w:rsid w:val="00E13327"/>
    <w:rsid w:val="00E133DC"/>
    <w:rsid w:val="00E133F1"/>
    <w:rsid w:val="00E13449"/>
    <w:rsid w:val="00E13467"/>
    <w:rsid w:val="00E134AD"/>
    <w:rsid w:val="00E134F6"/>
    <w:rsid w:val="00E136B5"/>
    <w:rsid w:val="00E136F0"/>
    <w:rsid w:val="00E1373C"/>
    <w:rsid w:val="00E13755"/>
    <w:rsid w:val="00E1381A"/>
    <w:rsid w:val="00E139A6"/>
    <w:rsid w:val="00E13A80"/>
    <w:rsid w:val="00E13BF1"/>
    <w:rsid w:val="00E13C51"/>
    <w:rsid w:val="00E13D2E"/>
    <w:rsid w:val="00E13D39"/>
    <w:rsid w:val="00E13D5C"/>
    <w:rsid w:val="00E13DF9"/>
    <w:rsid w:val="00E13E20"/>
    <w:rsid w:val="00E13FBE"/>
    <w:rsid w:val="00E1448A"/>
    <w:rsid w:val="00E14535"/>
    <w:rsid w:val="00E1454E"/>
    <w:rsid w:val="00E14567"/>
    <w:rsid w:val="00E146DA"/>
    <w:rsid w:val="00E14727"/>
    <w:rsid w:val="00E147EF"/>
    <w:rsid w:val="00E14C1C"/>
    <w:rsid w:val="00E14C57"/>
    <w:rsid w:val="00E14D95"/>
    <w:rsid w:val="00E14EF6"/>
    <w:rsid w:val="00E14F3E"/>
    <w:rsid w:val="00E14F80"/>
    <w:rsid w:val="00E151EB"/>
    <w:rsid w:val="00E1538F"/>
    <w:rsid w:val="00E156D9"/>
    <w:rsid w:val="00E1575F"/>
    <w:rsid w:val="00E157F0"/>
    <w:rsid w:val="00E1581A"/>
    <w:rsid w:val="00E15AC7"/>
    <w:rsid w:val="00E15B4B"/>
    <w:rsid w:val="00E15DE9"/>
    <w:rsid w:val="00E16623"/>
    <w:rsid w:val="00E16640"/>
    <w:rsid w:val="00E16713"/>
    <w:rsid w:val="00E16784"/>
    <w:rsid w:val="00E167C5"/>
    <w:rsid w:val="00E1686F"/>
    <w:rsid w:val="00E168B2"/>
    <w:rsid w:val="00E16BAA"/>
    <w:rsid w:val="00E16C54"/>
    <w:rsid w:val="00E16EB4"/>
    <w:rsid w:val="00E1724B"/>
    <w:rsid w:val="00E173E1"/>
    <w:rsid w:val="00E1751C"/>
    <w:rsid w:val="00E17877"/>
    <w:rsid w:val="00E17900"/>
    <w:rsid w:val="00E179DE"/>
    <w:rsid w:val="00E17A9C"/>
    <w:rsid w:val="00E17BDB"/>
    <w:rsid w:val="00E20015"/>
    <w:rsid w:val="00E20073"/>
    <w:rsid w:val="00E200C9"/>
    <w:rsid w:val="00E20240"/>
    <w:rsid w:val="00E202FE"/>
    <w:rsid w:val="00E2062F"/>
    <w:rsid w:val="00E20738"/>
    <w:rsid w:val="00E20943"/>
    <w:rsid w:val="00E20AB8"/>
    <w:rsid w:val="00E20C50"/>
    <w:rsid w:val="00E20C57"/>
    <w:rsid w:val="00E20F9F"/>
    <w:rsid w:val="00E20FCD"/>
    <w:rsid w:val="00E2118F"/>
    <w:rsid w:val="00E21236"/>
    <w:rsid w:val="00E21389"/>
    <w:rsid w:val="00E213F8"/>
    <w:rsid w:val="00E214E3"/>
    <w:rsid w:val="00E21619"/>
    <w:rsid w:val="00E2178B"/>
    <w:rsid w:val="00E21885"/>
    <w:rsid w:val="00E218D7"/>
    <w:rsid w:val="00E21B46"/>
    <w:rsid w:val="00E21C00"/>
    <w:rsid w:val="00E21F39"/>
    <w:rsid w:val="00E21FC0"/>
    <w:rsid w:val="00E22046"/>
    <w:rsid w:val="00E221BB"/>
    <w:rsid w:val="00E22226"/>
    <w:rsid w:val="00E22309"/>
    <w:rsid w:val="00E22683"/>
    <w:rsid w:val="00E227F3"/>
    <w:rsid w:val="00E22959"/>
    <w:rsid w:val="00E22A35"/>
    <w:rsid w:val="00E22B4B"/>
    <w:rsid w:val="00E22BF6"/>
    <w:rsid w:val="00E22C42"/>
    <w:rsid w:val="00E22E2A"/>
    <w:rsid w:val="00E22F9A"/>
    <w:rsid w:val="00E231CD"/>
    <w:rsid w:val="00E2320F"/>
    <w:rsid w:val="00E23277"/>
    <w:rsid w:val="00E2341F"/>
    <w:rsid w:val="00E239AC"/>
    <w:rsid w:val="00E23A6B"/>
    <w:rsid w:val="00E23BC5"/>
    <w:rsid w:val="00E23D76"/>
    <w:rsid w:val="00E23DDF"/>
    <w:rsid w:val="00E23E13"/>
    <w:rsid w:val="00E23F68"/>
    <w:rsid w:val="00E240DE"/>
    <w:rsid w:val="00E24317"/>
    <w:rsid w:val="00E243FC"/>
    <w:rsid w:val="00E244D0"/>
    <w:rsid w:val="00E245A5"/>
    <w:rsid w:val="00E24611"/>
    <w:rsid w:val="00E24818"/>
    <w:rsid w:val="00E24BF7"/>
    <w:rsid w:val="00E24DB4"/>
    <w:rsid w:val="00E24FE7"/>
    <w:rsid w:val="00E2511D"/>
    <w:rsid w:val="00E25315"/>
    <w:rsid w:val="00E256EE"/>
    <w:rsid w:val="00E25712"/>
    <w:rsid w:val="00E25A1D"/>
    <w:rsid w:val="00E25A99"/>
    <w:rsid w:val="00E25C29"/>
    <w:rsid w:val="00E25C46"/>
    <w:rsid w:val="00E25CBD"/>
    <w:rsid w:val="00E25ED1"/>
    <w:rsid w:val="00E26080"/>
    <w:rsid w:val="00E26384"/>
    <w:rsid w:val="00E26673"/>
    <w:rsid w:val="00E26736"/>
    <w:rsid w:val="00E267CA"/>
    <w:rsid w:val="00E26A2C"/>
    <w:rsid w:val="00E26A66"/>
    <w:rsid w:val="00E26D96"/>
    <w:rsid w:val="00E26FAA"/>
    <w:rsid w:val="00E27015"/>
    <w:rsid w:val="00E27017"/>
    <w:rsid w:val="00E272F3"/>
    <w:rsid w:val="00E2737D"/>
    <w:rsid w:val="00E2738D"/>
    <w:rsid w:val="00E273E5"/>
    <w:rsid w:val="00E2791D"/>
    <w:rsid w:val="00E27A0D"/>
    <w:rsid w:val="00E27A25"/>
    <w:rsid w:val="00E27BFC"/>
    <w:rsid w:val="00E27E11"/>
    <w:rsid w:val="00E27EA0"/>
    <w:rsid w:val="00E30069"/>
    <w:rsid w:val="00E30135"/>
    <w:rsid w:val="00E3025A"/>
    <w:rsid w:val="00E302B8"/>
    <w:rsid w:val="00E303F1"/>
    <w:rsid w:val="00E30449"/>
    <w:rsid w:val="00E30948"/>
    <w:rsid w:val="00E3097C"/>
    <w:rsid w:val="00E30A1B"/>
    <w:rsid w:val="00E30DE5"/>
    <w:rsid w:val="00E30E84"/>
    <w:rsid w:val="00E30F4C"/>
    <w:rsid w:val="00E30F69"/>
    <w:rsid w:val="00E30F9B"/>
    <w:rsid w:val="00E31042"/>
    <w:rsid w:val="00E310E2"/>
    <w:rsid w:val="00E31131"/>
    <w:rsid w:val="00E31382"/>
    <w:rsid w:val="00E31507"/>
    <w:rsid w:val="00E315AD"/>
    <w:rsid w:val="00E318A3"/>
    <w:rsid w:val="00E318E0"/>
    <w:rsid w:val="00E31A09"/>
    <w:rsid w:val="00E31B45"/>
    <w:rsid w:val="00E31BF9"/>
    <w:rsid w:val="00E31CE7"/>
    <w:rsid w:val="00E31DB1"/>
    <w:rsid w:val="00E31EEC"/>
    <w:rsid w:val="00E31FE7"/>
    <w:rsid w:val="00E32055"/>
    <w:rsid w:val="00E3224F"/>
    <w:rsid w:val="00E32838"/>
    <w:rsid w:val="00E32A93"/>
    <w:rsid w:val="00E32AD9"/>
    <w:rsid w:val="00E32C28"/>
    <w:rsid w:val="00E32CCD"/>
    <w:rsid w:val="00E32FAD"/>
    <w:rsid w:val="00E3316E"/>
    <w:rsid w:val="00E33177"/>
    <w:rsid w:val="00E333D8"/>
    <w:rsid w:val="00E33C2B"/>
    <w:rsid w:val="00E340D8"/>
    <w:rsid w:val="00E34284"/>
    <w:rsid w:val="00E343E0"/>
    <w:rsid w:val="00E34468"/>
    <w:rsid w:val="00E345CB"/>
    <w:rsid w:val="00E346D5"/>
    <w:rsid w:val="00E3473C"/>
    <w:rsid w:val="00E349B7"/>
    <w:rsid w:val="00E34A16"/>
    <w:rsid w:val="00E35072"/>
    <w:rsid w:val="00E351A5"/>
    <w:rsid w:val="00E35307"/>
    <w:rsid w:val="00E3546A"/>
    <w:rsid w:val="00E354D3"/>
    <w:rsid w:val="00E355F5"/>
    <w:rsid w:val="00E35991"/>
    <w:rsid w:val="00E35C12"/>
    <w:rsid w:val="00E36053"/>
    <w:rsid w:val="00E36155"/>
    <w:rsid w:val="00E3616E"/>
    <w:rsid w:val="00E3638B"/>
    <w:rsid w:val="00E36554"/>
    <w:rsid w:val="00E366CA"/>
    <w:rsid w:val="00E3670C"/>
    <w:rsid w:val="00E36CAC"/>
    <w:rsid w:val="00E36DF6"/>
    <w:rsid w:val="00E36E15"/>
    <w:rsid w:val="00E37015"/>
    <w:rsid w:val="00E37128"/>
    <w:rsid w:val="00E3712A"/>
    <w:rsid w:val="00E37316"/>
    <w:rsid w:val="00E374C0"/>
    <w:rsid w:val="00E3755A"/>
    <w:rsid w:val="00E37578"/>
    <w:rsid w:val="00E376B6"/>
    <w:rsid w:val="00E376C9"/>
    <w:rsid w:val="00E37847"/>
    <w:rsid w:val="00E3793D"/>
    <w:rsid w:val="00E37BF9"/>
    <w:rsid w:val="00E37C5E"/>
    <w:rsid w:val="00E37E0F"/>
    <w:rsid w:val="00E37EBC"/>
    <w:rsid w:val="00E37F50"/>
    <w:rsid w:val="00E40345"/>
    <w:rsid w:val="00E40381"/>
    <w:rsid w:val="00E40482"/>
    <w:rsid w:val="00E404C4"/>
    <w:rsid w:val="00E405EE"/>
    <w:rsid w:val="00E40B80"/>
    <w:rsid w:val="00E40C37"/>
    <w:rsid w:val="00E40CB7"/>
    <w:rsid w:val="00E40D4A"/>
    <w:rsid w:val="00E40E5E"/>
    <w:rsid w:val="00E40F2B"/>
    <w:rsid w:val="00E41132"/>
    <w:rsid w:val="00E411EF"/>
    <w:rsid w:val="00E415B9"/>
    <w:rsid w:val="00E4178B"/>
    <w:rsid w:val="00E4191A"/>
    <w:rsid w:val="00E41A0C"/>
    <w:rsid w:val="00E41CE6"/>
    <w:rsid w:val="00E41E26"/>
    <w:rsid w:val="00E41E47"/>
    <w:rsid w:val="00E41E79"/>
    <w:rsid w:val="00E41ED8"/>
    <w:rsid w:val="00E420C5"/>
    <w:rsid w:val="00E421E3"/>
    <w:rsid w:val="00E42258"/>
    <w:rsid w:val="00E42330"/>
    <w:rsid w:val="00E42497"/>
    <w:rsid w:val="00E428BD"/>
    <w:rsid w:val="00E428E5"/>
    <w:rsid w:val="00E42A14"/>
    <w:rsid w:val="00E42B0C"/>
    <w:rsid w:val="00E42B0D"/>
    <w:rsid w:val="00E42D86"/>
    <w:rsid w:val="00E42E5C"/>
    <w:rsid w:val="00E42FE4"/>
    <w:rsid w:val="00E4331D"/>
    <w:rsid w:val="00E43576"/>
    <w:rsid w:val="00E436CF"/>
    <w:rsid w:val="00E43988"/>
    <w:rsid w:val="00E439D6"/>
    <w:rsid w:val="00E43A29"/>
    <w:rsid w:val="00E43C32"/>
    <w:rsid w:val="00E43DDA"/>
    <w:rsid w:val="00E43DDD"/>
    <w:rsid w:val="00E43DFB"/>
    <w:rsid w:val="00E43EB6"/>
    <w:rsid w:val="00E44165"/>
    <w:rsid w:val="00E4443A"/>
    <w:rsid w:val="00E444CE"/>
    <w:rsid w:val="00E446E6"/>
    <w:rsid w:val="00E44746"/>
    <w:rsid w:val="00E448A0"/>
    <w:rsid w:val="00E44933"/>
    <w:rsid w:val="00E44A5A"/>
    <w:rsid w:val="00E44C06"/>
    <w:rsid w:val="00E44E45"/>
    <w:rsid w:val="00E44F48"/>
    <w:rsid w:val="00E44FBE"/>
    <w:rsid w:val="00E45060"/>
    <w:rsid w:val="00E45186"/>
    <w:rsid w:val="00E453CA"/>
    <w:rsid w:val="00E4565D"/>
    <w:rsid w:val="00E459C5"/>
    <w:rsid w:val="00E45AC3"/>
    <w:rsid w:val="00E45CA5"/>
    <w:rsid w:val="00E45D5B"/>
    <w:rsid w:val="00E45DC1"/>
    <w:rsid w:val="00E461D0"/>
    <w:rsid w:val="00E462E1"/>
    <w:rsid w:val="00E46315"/>
    <w:rsid w:val="00E463A9"/>
    <w:rsid w:val="00E46512"/>
    <w:rsid w:val="00E468A1"/>
    <w:rsid w:val="00E468A5"/>
    <w:rsid w:val="00E46A5F"/>
    <w:rsid w:val="00E46B10"/>
    <w:rsid w:val="00E46B4A"/>
    <w:rsid w:val="00E46B6F"/>
    <w:rsid w:val="00E46F07"/>
    <w:rsid w:val="00E46F3C"/>
    <w:rsid w:val="00E470EA"/>
    <w:rsid w:val="00E470F5"/>
    <w:rsid w:val="00E471EA"/>
    <w:rsid w:val="00E4727E"/>
    <w:rsid w:val="00E4749D"/>
    <w:rsid w:val="00E4765F"/>
    <w:rsid w:val="00E476DF"/>
    <w:rsid w:val="00E47985"/>
    <w:rsid w:val="00E47B67"/>
    <w:rsid w:val="00E47C54"/>
    <w:rsid w:val="00E47D9C"/>
    <w:rsid w:val="00E5007F"/>
    <w:rsid w:val="00E500A5"/>
    <w:rsid w:val="00E500F0"/>
    <w:rsid w:val="00E5040A"/>
    <w:rsid w:val="00E50597"/>
    <w:rsid w:val="00E5062D"/>
    <w:rsid w:val="00E50835"/>
    <w:rsid w:val="00E50873"/>
    <w:rsid w:val="00E508C1"/>
    <w:rsid w:val="00E50B23"/>
    <w:rsid w:val="00E50BD0"/>
    <w:rsid w:val="00E50BED"/>
    <w:rsid w:val="00E50F2F"/>
    <w:rsid w:val="00E51047"/>
    <w:rsid w:val="00E51247"/>
    <w:rsid w:val="00E51372"/>
    <w:rsid w:val="00E51405"/>
    <w:rsid w:val="00E51427"/>
    <w:rsid w:val="00E514E3"/>
    <w:rsid w:val="00E51822"/>
    <w:rsid w:val="00E51B09"/>
    <w:rsid w:val="00E51DB0"/>
    <w:rsid w:val="00E51EC4"/>
    <w:rsid w:val="00E524C5"/>
    <w:rsid w:val="00E52788"/>
    <w:rsid w:val="00E5278A"/>
    <w:rsid w:val="00E527C4"/>
    <w:rsid w:val="00E52ABB"/>
    <w:rsid w:val="00E52BBD"/>
    <w:rsid w:val="00E52C70"/>
    <w:rsid w:val="00E52C82"/>
    <w:rsid w:val="00E52CAF"/>
    <w:rsid w:val="00E52D54"/>
    <w:rsid w:val="00E52DE6"/>
    <w:rsid w:val="00E52F6E"/>
    <w:rsid w:val="00E52FC3"/>
    <w:rsid w:val="00E53178"/>
    <w:rsid w:val="00E535E2"/>
    <w:rsid w:val="00E53626"/>
    <w:rsid w:val="00E5366F"/>
    <w:rsid w:val="00E5368E"/>
    <w:rsid w:val="00E5371A"/>
    <w:rsid w:val="00E53FCC"/>
    <w:rsid w:val="00E54035"/>
    <w:rsid w:val="00E5411A"/>
    <w:rsid w:val="00E54132"/>
    <w:rsid w:val="00E545D5"/>
    <w:rsid w:val="00E5479F"/>
    <w:rsid w:val="00E54A9F"/>
    <w:rsid w:val="00E551E6"/>
    <w:rsid w:val="00E553A9"/>
    <w:rsid w:val="00E55534"/>
    <w:rsid w:val="00E55633"/>
    <w:rsid w:val="00E55635"/>
    <w:rsid w:val="00E557EB"/>
    <w:rsid w:val="00E55B7E"/>
    <w:rsid w:val="00E55DB6"/>
    <w:rsid w:val="00E55EA6"/>
    <w:rsid w:val="00E55F02"/>
    <w:rsid w:val="00E5603B"/>
    <w:rsid w:val="00E562DE"/>
    <w:rsid w:val="00E568A0"/>
    <w:rsid w:val="00E56D56"/>
    <w:rsid w:val="00E56E34"/>
    <w:rsid w:val="00E56FDA"/>
    <w:rsid w:val="00E570C8"/>
    <w:rsid w:val="00E572D9"/>
    <w:rsid w:val="00E57395"/>
    <w:rsid w:val="00E574E2"/>
    <w:rsid w:val="00E5764D"/>
    <w:rsid w:val="00E577FA"/>
    <w:rsid w:val="00E57952"/>
    <w:rsid w:val="00E579EF"/>
    <w:rsid w:val="00E579FF"/>
    <w:rsid w:val="00E57A07"/>
    <w:rsid w:val="00E57EBF"/>
    <w:rsid w:val="00E6014D"/>
    <w:rsid w:val="00E601CA"/>
    <w:rsid w:val="00E60238"/>
    <w:rsid w:val="00E603CA"/>
    <w:rsid w:val="00E604B5"/>
    <w:rsid w:val="00E605AB"/>
    <w:rsid w:val="00E60684"/>
    <w:rsid w:val="00E608C8"/>
    <w:rsid w:val="00E608E2"/>
    <w:rsid w:val="00E60971"/>
    <w:rsid w:val="00E60993"/>
    <w:rsid w:val="00E61229"/>
    <w:rsid w:val="00E612D0"/>
    <w:rsid w:val="00E6159E"/>
    <w:rsid w:val="00E615D8"/>
    <w:rsid w:val="00E617E1"/>
    <w:rsid w:val="00E61A79"/>
    <w:rsid w:val="00E61B3D"/>
    <w:rsid w:val="00E61BD7"/>
    <w:rsid w:val="00E61C4C"/>
    <w:rsid w:val="00E61D91"/>
    <w:rsid w:val="00E620C4"/>
    <w:rsid w:val="00E621E9"/>
    <w:rsid w:val="00E6259E"/>
    <w:rsid w:val="00E62915"/>
    <w:rsid w:val="00E62BAA"/>
    <w:rsid w:val="00E62FB7"/>
    <w:rsid w:val="00E63451"/>
    <w:rsid w:val="00E63521"/>
    <w:rsid w:val="00E63546"/>
    <w:rsid w:val="00E6354A"/>
    <w:rsid w:val="00E63559"/>
    <w:rsid w:val="00E63AB7"/>
    <w:rsid w:val="00E63B65"/>
    <w:rsid w:val="00E63CAD"/>
    <w:rsid w:val="00E63D6B"/>
    <w:rsid w:val="00E63E02"/>
    <w:rsid w:val="00E63E80"/>
    <w:rsid w:val="00E641FB"/>
    <w:rsid w:val="00E64378"/>
    <w:rsid w:val="00E6443E"/>
    <w:rsid w:val="00E6448A"/>
    <w:rsid w:val="00E645B8"/>
    <w:rsid w:val="00E64629"/>
    <w:rsid w:val="00E64808"/>
    <w:rsid w:val="00E64B69"/>
    <w:rsid w:val="00E64D32"/>
    <w:rsid w:val="00E64FCC"/>
    <w:rsid w:val="00E651D3"/>
    <w:rsid w:val="00E652D4"/>
    <w:rsid w:val="00E65522"/>
    <w:rsid w:val="00E657B6"/>
    <w:rsid w:val="00E6597D"/>
    <w:rsid w:val="00E65A36"/>
    <w:rsid w:val="00E65D57"/>
    <w:rsid w:val="00E65E60"/>
    <w:rsid w:val="00E65E86"/>
    <w:rsid w:val="00E65F0D"/>
    <w:rsid w:val="00E65F4F"/>
    <w:rsid w:val="00E65F96"/>
    <w:rsid w:val="00E662BE"/>
    <w:rsid w:val="00E6636D"/>
    <w:rsid w:val="00E664AE"/>
    <w:rsid w:val="00E6662D"/>
    <w:rsid w:val="00E667EC"/>
    <w:rsid w:val="00E66864"/>
    <w:rsid w:val="00E6698C"/>
    <w:rsid w:val="00E66A47"/>
    <w:rsid w:val="00E66B0C"/>
    <w:rsid w:val="00E66C23"/>
    <w:rsid w:val="00E66CA0"/>
    <w:rsid w:val="00E670EF"/>
    <w:rsid w:val="00E6719C"/>
    <w:rsid w:val="00E673D8"/>
    <w:rsid w:val="00E6740A"/>
    <w:rsid w:val="00E6746C"/>
    <w:rsid w:val="00E67539"/>
    <w:rsid w:val="00E675CE"/>
    <w:rsid w:val="00E676D5"/>
    <w:rsid w:val="00E67728"/>
    <w:rsid w:val="00E677BE"/>
    <w:rsid w:val="00E678FC"/>
    <w:rsid w:val="00E67C2C"/>
    <w:rsid w:val="00E67FF2"/>
    <w:rsid w:val="00E70056"/>
    <w:rsid w:val="00E700E0"/>
    <w:rsid w:val="00E703CB"/>
    <w:rsid w:val="00E70520"/>
    <w:rsid w:val="00E70841"/>
    <w:rsid w:val="00E70B9F"/>
    <w:rsid w:val="00E70E6E"/>
    <w:rsid w:val="00E70EB5"/>
    <w:rsid w:val="00E70ECA"/>
    <w:rsid w:val="00E710B5"/>
    <w:rsid w:val="00E710D0"/>
    <w:rsid w:val="00E7149B"/>
    <w:rsid w:val="00E717E0"/>
    <w:rsid w:val="00E718D2"/>
    <w:rsid w:val="00E71977"/>
    <w:rsid w:val="00E719F5"/>
    <w:rsid w:val="00E71B2D"/>
    <w:rsid w:val="00E722F0"/>
    <w:rsid w:val="00E72725"/>
    <w:rsid w:val="00E72927"/>
    <w:rsid w:val="00E72E50"/>
    <w:rsid w:val="00E72F0A"/>
    <w:rsid w:val="00E73167"/>
    <w:rsid w:val="00E7317B"/>
    <w:rsid w:val="00E73463"/>
    <w:rsid w:val="00E7346C"/>
    <w:rsid w:val="00E73571"/>
    <w:rsid w:val="00E73659"/>
    <w:rsid w:val="00E736D3"/>
    <w:rsid w:val="00E737B8"/>
    <w:rsid w:val="00E7382D"/>
    <w:rsid w:val="00E73C62"/>
    <w:rsid w:val="00E73D5B"/>
    <w:rsid w:val="00E73DD6"/>
    <w:rsid w:val="00E73E6E"/>
    <w:rsid w:val="00E73E90"/>
    <w:rsid w:val="00E74270"/>
    <w:rsid w:val="00E74285"/>
    <w:rsid w:val="00E7460D"/>
    <w:rsid w:val="00E74636"/>
    <w:rsid w:val="00E7466A"/>
    <w:rsid w:val="00E748A6"/>
    <w:rsid w:val="00E748E9"/>
    <w:rsid w:val="00E74997"/>
    <w:rsid w:val="00E74BD8"/>
    <w:rsid w:val="00E74CF1"/>
    <w:rsid w:val="00E74D5D"/>
    <w:rsid w:val="00E74E16"/>
    <w:rsid w:val="00E75179"/>
    <w:rsid w:val="00E756CD"/>
    <w:rsid w:val="00E7572A"/>
    <w:rsid w:val="00E759AA"/>
    <w:rsid w:val="00E75A88"/>
    <w:rsid w:val="00E75FAC"/>
    <w:rsid w:val="00E76301"/>
    <w:rsid w:val="00E76325"/>
    <w:rsid w:val="00E76508"/>
    <w:rsid w:val="00E7667D"/>
    <w:rsid w:val="00E766C8"/>
    <w:rsid w:val="00E76E98"/>
    <w:rsid w:val="00E76F92"/>
    <w:rsid w:val="00E77357"/>
    <w:rsid w:val="00E77389"/>
    <w:rsid w:val="00E7738D"/>
    <w:rsid w:val="00E774A0"/>
    <w:rsid w:val="00E775CF"/>
    <w:rsid w:val="00E77646"/>
    <w:rsid w:val="00E776CA"/>
    <w:rsid w:val="00E77777"/>
    <w:rsid w:val="00E7782D"/>
    <w:rsid w:val="00E778B6"/>
    <w:rsid w:val="00E779C2"/>
    <w:rsid w:val="00E779C3"/>
    <w:rsid w:val="00E77C22"/>
    <w:rsid w:val="00E77E0F"/>
    <w:rsid w:val="00E77E98"/>
    <w:rsid w:val="00E8014C"/>
    <w:rsid w:val="00E8032A"/>
    <w:rsid w:val="00E803EC"/>
    <w:rsid w:val="00E80872"/>
    <w:rsid w:val="00E809D0"/>
    <w:rsid w:val="00E80ADB"/>
    <w:rsid w:val="00E80E10"/>
    <w:rsid w:val="00E80E33"/>
    <w:rsid w:val="00E8109A"/>
    <w:rsid w:val="00E81152"/>
    <w:rsid w:val="00E8117B"/>
    <w:rsid w:val="00E813B6"/>
    <w:rsid w:val="00E815B2"/>
    <w:rsid w:val="00E8169F"/>
    <w:rsid w:val="00E819A2"/>
    <w:rsid w:val="00E81B8D"/>
    <w:rsid w:val="00E81CD8"/>
    <w:rsid w:val="00E8204F"/>
    <w:rsid w:val="00E823D3"/>
    <w:rsid w:val="00E824CE"/>
    <w:rsid w:val="00E82858"/>
    <w:rsid w:val="00E82DE1"/>
    <w:rsid w:val="00E82E49"/>
    <w:rsid w:val="00E82ECF"/>
    <w:rsid w:val="00E82FA4"/>
    <w:rsid w:val="00E8314D"/>
    <w:rsid w:val="00E83237"/>
    <w:rsid w:val="00E8327B"/>
    <w:rsid w:val="00E832CD"/>
    <w:rsid w:val="00E83362"/>
    <w:rsid w:val="00E836A2"/>
    <w:rsid w:val="00E83735"/>
    <w:rsid w:val="00E8378A"/>
    <w:rsid w:val="00E838F4"/>
    <w:rsid w:val="00E83BD6"/>
    <w:rsid w:val="00E83C04"/>
    <w:rsid w:val="00E84051"/>
    <w:rsid w:val="00E84069"/>
    <w:rsid w:val="00E844B0"/>
    <w:rsid w:val="00E844C4"/>
    <w:rsid w:val="00E84737"/>
    <w:rsid w:val="00E847C6"/>
    <w:rsid w:val="00E8483F"/>
    <w:rsid w:val="00E848A1"/>
    <w:rsid w:val="00E84CAC"/>
    <w:rsid w:val="00E84E94"/>
    <w:rsid w:val="00E8503B"/>
    <w:rsid w:val="00E854F3"/>
    <w:rsid w:val="00E85556"/>
    <w:rsid w:val="00E85D15"/>
    <w:rsid w:val="00E85DC0"/>
    <w:rsid w:val="00E85F4B"/>
    <w:rsid w:val="00E86013"/>
    <w:rsid w:val="00E8630B"/>
    <w:rsid w:val="00E863EA"/>
    <w:rsid w:val="00E8649D"/>
    <w:rsid w:val="00E86588"/>
    <w:rsid w:val="00E8661A"/>
    <w:rsid w:val="00E866B3"/>
    <w:rsid w:val="00E869C9"/>
    <w:rsid w:val="00E869E5"/>
    <w:rsid w:val="00E86A03"/>
    <w:rsid w:val="00E86A5A"/>
    <w:rsid w:val="00E86AC6"/>
    <w:rsid w:val="00E86B4D"/>
    <w:rsid w:val="00E86C2F"/>
    <w:rsid w:val="00E86C8D"/>
    <w:rsid w:val="00E86DC3"/>
    <w:rsid w:val="00E87153"/>
    <w:rsid w:val="00E8718B"/>
    <w:rsid w:val="00E87271"/>
    <w:rsid w:val="00E8740D"/>
    <w:rsid w:val="00E874E8"/>
    <w:rsid w:val="00E87778"/>
    <w:rsid w:val="00E877B5"/>
    <w:rsid w:val="00E8781D"/>
    <w:rsid w:val="00E87978"/>
    <w:rsid w:val="00E87A7E"/>
    <w:rsid w:val="00E87BA8"/>
    <w:rsid w:val="00E87D64"/>
    <w:rsid w:val="00E87FB2"/>
    <w:rsid w:val="00E902AA"/>
    <w:rsid w:val="00E903A0"/>
    <w:rsid w:val="00E904A5"/>
    <w:rsid w:val="00E90565"/>
    <w:rsid w:val="00E90571"/>
    <w:rsid w:val="00E906F1"/>
    <w:rsid w:val="00E906FD"/>
    <w:rsid w:val="00E90A5C"/>
    <w:rsid w:val="00E90A85"/>
    <w:rsid w:val="00E90C9F"/>
    <w:rsid w:val="00E90DFC"/>
    <w:rsid w:val="00E9110F"/>
    <w:rsid w:val="00E9114F"/>
    <w:rsid w:val="00E913D8"/>
    <w:rsid w:val="00E9147E"/>
    <w:rsid w:val="00E914A8"/>
    <w:rsid w:val="00E915A2"/>
    <w:rsid w:val="00E915C1"/>
    <w:rsid w:val="00E91859"/>
    <w:rsid w:val="00E9187A"/>
    <w:rsid w:val="00E91940"/>
    <w:rsid w:val="00E9194D"/>
    <w:rsid w:val="00E91C02"/>
    <w:rsid w:val="00E91F97"/>
    <w:rsid w:val="00E91FD0"/>
    <w:rsid w:val="00E9201F"/>
    <w:rsid w:val="00E9227C"/>
    <w:rsid w:val="00E922B2"/>
    <w:rsid w:val="00E92389"/>
    <w:rsid w:val="00E926A7"/>
    <w:rsid w:val="00E92B08"/>
    <w:rsid w:val="00E92D2A"/>
    <w:rsid w:val="00E92F19"/>
    <w:rsid w:val="00E92F9B"/>
    <w:rsid w:val="00E92FE9"/>
    <w:rsid w:val="00E930CD"/>
    <w:rsid w:val="00E93283"/>
    <w:rsid w:val="00E93366"/>
    <w:rsid w:val="00E93417"/>
    <w:rsid w:val="00E937C4"/>
    <w:rsid w:val="00E93928"/>
    <w:rsid w:val="00E93931"/>
    <w:rsid w:val="00E93BDC"/>
    <w:rsid w:val="00E93D20"/>
    <w:rsid w:val="00E93E99"/>
    <w:rsid w:val="00E93ECD"/>
    <w:rsid w:val="00E93EF0"/>
    <w:rsid w:val="00E93F67"/>
    <w:rsid w:val="00E9401B"/>
    <w:rsid w:val="00E9408F"/>
    <w:rsid w:val="00E94451"/>
    <w:rsid w:val="00E94691"/>
    <w:rsid w:val="00E94765"/>
    <w:rsid w:val="00E9479B"/>
    <w:rsid w:val="00E94A33"/>
    <w:rsid w:val="00E94AC5"/>
    <w:rsid w:val="00E94AD2"/>
    <w:rsid w:val="00E94B56"/>
    <w:rsid w:val="00E94D26"/>
    <w:rsid w:val="00E94FA4"/>
    <w:rsid w:val="00E950E4"/>
    <w:rsid w:val="00E95567"/>
    <w:rsid w:val="00E95657"/>
    <w:rsid w:val="00E957D2"/>
    <w:rsid w:val="00E95A58"/>
    <w:rsid w:val="00E95AC2"/>
    <w:rsid w:val="00E95C24"/>
    <w:rsid w:val="00E95DE7"/>
    <w:rsid w:val="00E95E79"/>
    <w:rsid w:val="00E96405"/>
    <w:rsid w:val="00E964BF"/>
    <w:rsid w:val="00E964E6"/>
    <w:rsid w:val="00E96507"/>
    <w:rsid w:val="00E96640"/>
    <w:rsid w:val="00E966BC"/>
    <w:rsid w:val="00E966E6"/>
    <w:rsid w:val="00E96866"/>
    <w:rsid w:val="00E968F6"/>
    <w:rsid w:val="00E96BC5"/>
    <w:rsid w:val="00E96BDE"/>
    <w:rsid w:val="00E96E0D"/>
    <w:rsid w:val="00E96F1B"/>
    <w:rsid w:val="00E96F41"/>
    <w:rsid w:val="00E96F62"/>
    <w:rsid w:val="00E96FE2"/>
    <w:rsid w:val="00E971EE"/>
    <w:rsid w:val="00E97200"/>
    <w:rsid w:val="00E972BD"/>
    <w:rsid w:val="00E977E0"/>
    <w:rsid w:val="00E9780D"/>
    <w:rsid w:val="00E97903"/>
    <w:rsid w:val="00E97978"/>
    <w:rsid w:val="00E97ED0"/>
    <w:rsid w:val="00EA003B"/>
    <w:rsid w:val="00EA00BD"/>
    <w:rsid w:val="00EA024A"/>
    <w:rsid w:val="00EA042E"/>
    <w:rsid w:val="00EA04D8"/>
    <w:rsid w:val="00EA0700"/>
    <w:rsid w:val="00EA0760"/>
    <w:rsid w:val="00EA0839"/>
    <w:rsid w:val="00EA0DF5"/>
    <w:rsid w:val="00EA1236"/>
    <w:rsid w:val="00EA13F9"/>
    <w:rsid w:val="00EA1660"/>
    <w:rsid w:val="00EA17A9"/>
    <w:rsid w:val="00EA18EF"/>
    <w:rsid w:val="00EA19E3"/>
    <w:rsid w:val="00EA1A2D"/>
    <w:rsid w:val="00EA1A4C"/>
    <w:rsid w:val="00EA1C28"/>
    <w:rsid w:val="00EA1FD9"/>
    <w:rsid w:val="00EA231A"/>
    <w:rsid w:val="00EA23A2"/>
    <w:rsid w:val="00EA241F"/>
    <w:rsid w:val="00EA2599"/>
    <w:rsid w:val="00EA2752"/>
    <w:rsid w:val="00EA293A"/>
    <w:rsid w:val="00EA2C03"/>
    <w:rsid w:val="00EA2D2D"/>
    <w:rsid w:val="00EA2EFF"/>
    <w:rsid w:val="00EA2F29"/>
    <w:rsid w:val="00EA3032"/>
    <w:rsid w:val="00EA3083"/>
    <w:rsid w:val="00EA32E4"/>
    <w:rsid w:val="00EA3331"/>
    <w:rsid w:val="00EA352D"/>
    <w:rsid w:val="00EA3570"/>
    <w:rsid w:val="00EA3687"/>
    <w:rsid w:val="00EA392B"/>
    <w:rsid w:val="00EA39A8"/>
    <w:rsid w:val="00EA39D2"/>
    <w:rsid w:val="00EA3A68"/>
    <w:rsid w:val="00EA3B2E"/>
    <w:rsid w:val="00EA3FDD"/>
    <w:rsid w:val="00EA42A2"/>
    <w:rsid w:val="00EA45F4"/>
    <w:rsid w:val="00EA4617"/>
    <w:rsid w:val="00EA47DC"/>
    <w:rsid w:val="00EA4999"/>
    <w:rsid w:val="00EA4A28"/>
    <w:rsid w:val="00EA4AFD"/>
    <w:rsid w:val="00EA4C11"/>
    <w:rsid w:val="00EA4C1E"/>
    <w:rsid w:val="00EA4CC5"/>
    <w:rsid w:val="00EA4ECF"/>
    <w:rsid w:val="00EA4FB1"/>
    <w:rsid w:val="00EA5033"/>
    <w:rsid w:val="00EA504C"/>
    <w:rsid w:val="00EA5576"/>
    <w:rsid w:val="00EA5803"/>
    <w:rsid w:val="00EA580E"/>
    <w:rsid w:val="00EA5B5E"/>
    <w:rsid w:val="00EA5CFA"/>
    <w:rsid w:val="00EA5D4F"/>
    <w:rsid w:val="00EA5F2D"/>
    <w:rsid w:val="00EA5FF6"/>
    <w:rsid w:val="00EA61CD"/>
    <w:rsid w:val="00EA6961"/>
    <w:rsid w:val="00EA698A"/>
    <w:rsid w:val="00EA6B83"/>
    <w:rsid w:val="00EA70E2"/>
    <w:rsid w:val="00EA710B"/>
    <w:rsid w:val="00EA716F"/>
    <w:rsid w:val="00EA718B"/>
    <w:rsid w:val="00EA74F8"/>
    <w:rsid w:val="00EA7518"/>
    <w:rsid w:val="00EA751B"/>
    <w:rsid w:val="00EA76EF"/>
    <w:rsid w:val="00EA7932"/>
    <w:rsid w:val="00EA79C9"/>
    <w:rsid w:val="00EA79F0"/>
    <w:rsid w:val="00EA7A41"/>
    <w:rsid w:val="00EA7A85"/>
    <w:rsid w:val="00EA7BAA"/>
    <w:rsid w:val="00EA7D98"/>
    <w:rsid w:val="00EA7E6F"/>
    <w:rsid w:val="00EB00B3"/>
    <w:rsid w:val="00EB0161"/>
    <w:rsid w:val="00EB022D"/>
    <w:rsid w:val="00EB0650"/>
    <w:rsid w:val="00EB066F"/>
    <w:rsid w:val="00EB06D3"/>
    <w:rsid w:val="00EB08C0"/>
    <w:rsid w:val="00EB08D7"/>
    <w:rsid w:val="00EB09E4"/>
    <w:rsid w:val="00EB0C00"/>
    <w:rsid w:val="00EB0D11"/>
    <w:rsid w:val="00EB0F36"/>
    <w:rsid w:val="00EB0F6A"/>
    <w:rsid w:val="00EB116E"/>
    <w:rsid w:val="00EB135A"/>
    <w:rsid w:val="00EB152D"/>
    <w:rsid w:val="00EB162F"/>
    <w:rsid w:val="00EB18A2"/>
    <w:rsid w:val="00EB1A70"/>
    <w:rsid w:val="00EB1A80"/>
    <w:rsid w:val="00EB1BB5"/>
    <w:rsid w:val="00EB1E4A"/>
    <w:rsid w:val="00EB21E5"/>
    <w:rsid w:val="00EB2429"/>
    <w:rsid w:val="00EB2482"/>
    <w:rsid w:val="00EB24E8"/>
    <w:rsid w:val="00EB2A9A"/>
    <w:rsid w:val="00EB2AB6"/>
    <w:rsid w:val="00EB2EF3"/>
    <w:rsid w:val="00EB3030"/>
    <w:rsid w:val="00EB30D2"/>
    <w:rsid w:val="00EB3144"/>
    <w:rsid w:val="00EB324C"/>
    <w:rsid w:val="00EB3315"/>
    <w:rsid w:val="00EB3640"/>
    <w:rsid w:val="00EB370A"/>
    <w:rsid w:val="00EB3922"/>
    <w:rsid w:val="00EB3BA3"/>
    <w:rsid w:val="00EB3C35"/>
    <w:rsid w:val="00EB3E2D"/>
    <w:rsid w:val="00EB3FA3"/>
    <w:rsid w:val="00EB3FDF"/>
    <w:rsid w:val="00EB3FE8"/>
    <w:rsid w:val="00EB42EC"/>
    <w:rsid w:val="00EB43A8"/>
    <w:rsid w:val="00EB446A"/>
    <w:rsid w:val="00EB4551"/>
    <w:rsid w:val="00EB4602"/>
    <w:rsid w:val="00EB4747"/>
    <w:rsid w:val="00EB4852"/>
    <w:rsid w:val="00EB4B0E"/>
    <w:rsid w:val="00EB4B33"/>
    <w:rsid w:val="00EB4B37"/>
    <w:rsid w:val="00EB4B84"/>
    <w:rsid w:val="00EB4CC9"/>
    <w:rsid w:val="00EB4EDB"/>
    <w:rsid w:val="00EB4FF8"/>
    <w:rsid w:val="00EB5100"/>
    <w:rsid w:val="00EB51CB"/>
    <w:rsid w:val="00EB5237"/>
    <w:rsid w:val="00EB5421"/>
    <w:rsid w:val="00EB5524"/>
    <w:rsid w:val="00EB55F2"/>
    <w:rsid w:val="00EB567B"/>
    <w:rsid w:val="00EB56F3"/>
    <w:rsid w:val="00EB591E"/>
    <w:rsid w:val="00EB5B9F"/>
    <w:rsid w:val="00EB5E83"/>
    <w:rsid w:val="00EB61B3"/>
    <w:rsid w:val="00EB6497"/>
    <w:rsid w:val="00EB65B4"/>
    <w:rsid w:val="00EB67FC"/>
    <w:rsid w:val="00EB697C"/>
    <w:rsid w:val="00EB6BD7"/>
    <w:rsid w:val="00EB6DCE"/>
    <w:rsid w:val="00EB6E11"/>
    <w:rsid w:val="00EB7251"/>
    <w:rsid w:val="00EB7478"/>
    <w:rsid w:val="00EB74EC"/>
    <w:rsid w:val="00EB75E7"/>
    <w:rsid w:val="00EB7987"/>
    <w:rsid w:val="00EB7C14"/>
    <w:rsid w:val="00EB7D0B"/>
    <w:rsid w:val="00EC00AA"/>
    <w:rsid w:val="00EC00EC"/>
    <w:rsid w:val="00EC079B"/>
    <w:rsid w:val="00EC0909"/>
    <w:rsid w:val="00EC096F"/>
    <w:rsid w:val="00EC0A2E"/>
    <w:rsid w:val="00EC0BF9"/>
    <w:rsid w:val="00EC0CA9"/>
    <w:rsid w:val="00EC107E"/>
    <w:rsid w:val="00EC1591"/>
    <w:rsid w:val="00EC1651"/>
    <w:rsid w:val="00EC1720"/>
    <w:rsid w:val="00EC1725"/>
    <w:rsid w:val="00EC19B5"/>
    <w:rsid w:val="00EC1B1C"/>
    <w:rsid w:val="00EC1C19"/>
    <w:rsid w:val="00EC1D7B"/>
    <w:rsid w:val="00EC1DD0"/>
    <w:rsid w:val="00EC20C7"/>
    <w:rsid w:val="00EC20F8"/>
    <w:rsid w:val="00EC2361"/>
    <w:rsid w:val="00EC2369"/>
    <w:rsid w:val="00EC23A4"/>
    <w:rsid w:val="00EC2478"/>
    <w:rsid w:val="00EC24FE"/>
    <w:rsid w:val="00EC270B"/>
    <w:rsid w:val="00EC29B9"/>
    <w:rsid w:val="00EC30A2"/>
    <w:rsid w:val="00EC334A"/>
    <w:rsid w:val="00EC33AA"/>
    <w:rsid w:val="00EC37B3"/>
    <w:rsid w:val="00EC3851"/>
    <w:rsid w:val="00EC3882"/>
    <w:rsid w:val="00EC38A2"/>
    <w:rsid w:val="00EC3AFD"/>
    <w:rsid w:val="00EC3F16"/>
    <w:rsid w:val="00EC4292"/>
    <w:rsid w:val="00EC43D7"/>
    <w:rsid w:val="00EC456B"/>
    <w:rsid w:val="00EC4854"/>
    <w:rsid w:val="00EC4CE5"/>
    <w:rsid w:val="00EC4DD1"/>
    <w:rsid w:val="00EC531A"/>
    <w:rsid w:val="00EC5411"/>
    <w:rsid w:val="00EC5624"/>
    <w:rsid w:val="00EC5A9A"/>
    <w:rsid w:val="00EC634B"/>
    <w:rsid w:val="00EC634C"/>
    <w:rsid w:val="00EC648F"/>
    <w:rsid w:val="00EC6605"/>
    <w:rsid w:val="00EC6653"/>
    <w:rsid w:val="00EC6A52"/>
    <w:rsid w:val="00EC6B3B"/>
    <w:rsid w:val="00EC6BD0"/>
    <w:rsid w:val="00EC6C62"/>
    <w:rsid w:val="00EC6E0D"/>
    <w:rsid w:val="00EC6E69"/>
    <w:rsid w:val="00EC6FD7"/>
    <w:rsid w:val="00EC708A"/>
    <w:rsid w:val="00EC70BA"/>
    <w:rsid w:val="00EC70E7"/>
    <w:rsid w:val="00EC78E6"/>
    <w:rsid w:val="00EC7A0E"/>
    <w:rsid w:val="00EC7B91"/>
    <w:rsid w:val="00EC7E08"/>
    <w:rsid w:val="00EC7E0A"/>
    <w:rsid w:val="00ED015C"/>
    <w:rsid w:val="00ED0807"/>
    <w:rsid w:val="00ED08D9"/>
    <w:rsid w:val="00ED08F3"/>
    <w:rsid w:val="00ED0C4C"/>
    <w:rsid w:val="00ED0CF4"/>
    <w:rsid w:val="00ED0D01"/>
    <w:rsid w:val="00ED0D34"/>
    <w:rsid w:val="00ED12F5"/>
    <w:rsid w:val="00ED136B"/>
    <w:rsid w:val="00ED14A9"/>
    <w:rsid w:val="00ED1603"/>
    <w:rsid w:val="00ED1642"/>
    <w:rsid w:val="00ED1684"/>
    <w:rsid w:val="00ED16DF"/>
    <w:rsid w:val="00ED1709"/>
    <w:rsid w:val="00ED182A"/>
    <w:rsid w:val="00ED221C"/>
    <w:rsid w:val="00ED2248"/>
    <w:rsid w:val="00ED2394"/>
    <w:rsid w:val="00ED25D7"/>
    <w:rsid w:val="00ED2664"/>
    <w:rsid w:val="00ED298C"/>
    <w:rsid w:val="00ED2A1C"/>
    <w:rsid w:val="00ED2A3B"/>
    <w:rsid w:val="00ED2BD8"/>
    <w:rsid w:val="00ED2C07"/>
    <w:rsid w:val="00ED2CD3"/>
    <w:rsid w:val="00ED2D35"/>
    <w:rsid w:val="00ED2DFC"/>
    <w:rsid w:val="00ED2E1C"/>
    <w:rsid w:val="00ED3058"/>
    <w:rsid w:val="00ED30D6"/>
    <w:rsid w:val="00ED31A2"/>
    <w:rsid w:val="00ED3210"/>
    <w:rsid w:val="00ED32CB"/>
    <w:rsid w:val="00ED34DC"/>
    <w:rsid w:val="00ED36F6"/>
    <w:rsid w:val="00ED37DC"/>
    <w:rsid w:val="00ED38FC"/>
    <w:rsid w:val="00ED39CD"/>
    <w:rsid w:val="00ED3C0A"/>
    <w:rsid w:val="00ED42BB"/>
    <w:rsid w:val="00ED460A"/>
    <w:rsid w:val="00ED4959"/>
    <w:rsid w:val="00ED4A02"/>
    <w:rsid w:val="00ED4A2D"/>
    <w:rsid w:val="00ED4A8A"/>
    <w:rsid w:val="00ED4BF7"/>
    <w:rsid w:val="00ED4CC1"/>
    <w:rsid w:val="00ED4ECA"/>
    <w:rsid w:val="00ED4FB3"/>
    <w:rsid w:val="00ED51DA"/>
    <w:rsid w:val="00ED5215"/>
    <w:rsid w:val="00ED5241"/>
    <w:rsid w:val="00ED5294"/>
    <w:rsid w:val="00ED52E5"/>
    <w:rsid w:val="00ED537A"/>
    <w:rsid w:val="00ED53EF"/>
    <w:rsid w:val="00ED5527"/>
    <w:rsid w:val="00ED55E6"/>
    <w:rsid w:val="00ED567E"/>
    <w:rsid w:val="00ED56A6"/>
    <w:rsid w:val="00ED578A"/>
    <w:rsid w:val="00ED57B7"/>
    <w:rsid w:val="00ED5908"/>
    <w:rsid w:val="00ED5953"/>
    <w:rsid w:val="00ED5AB3"/>
    <w:rsid w:val="00ED5B95"/>
    <w:rsid w:val="00ED5BAD"/>
    <w:rsid w:val="00ED5DC9"/>
    <w:rsid w:val="00ED5EB4"/>
    <w:rsid w:val="00ED5F0E"/>
    <w:rsid w:val="00ED6167"/>
    <w:rsid w:val="00ED63CD"/>
    <w:rsid w:val="00ED65BE"/>
    <w:rsid w:val="00ED69D5"/>
    <w:rsid w:val="00ED6AC5"/>
    <w:rsid w:val="00ED6B9C"/>
    <w:rsid w:val="00ED6F6E"/>
    <w:rsid w:val="00ED6F74"/>
    <w:rsid w:val="00ED7222"/>
    <w:rsid w:val="00ED7270"/>
    <w:rsid w:val="00ED727A"/>
    <w:rsid w:val="00ED757C"/>
    <w:rsid w:val="00ED75F1"/>
    <w:rsid w:val="00ED7609"/>
    <w:rsid w:val="00ED79C8"/>
    <w:rsid w:val="00ED7DB7"/>
    <w:rsid w:val="00ED7F07"/>
    <w:rsid w:val="00ED7F55"/>
    <w:rsid w:val="00ED7F62"/>
    <w:rsid w:val="00EE0075"/>
    <w:rsid w:val="00EE03F4"/>
    <w:rsid w:val="00EE043E"/>
    <w:rsid w:val="00EE056A"/>
    <w:rsid w:val="00EE0B2C"/>
    <w:rsid w:val="00EE0B3B"/>
    <w:rsid w:val="00EE10BB"/>
    <w:rsid w:val="00EE11F0"/>
    <w:rsid w:val="00EE1229"/>
    <w:rsid w:val="00EE12E1"/>
    <w:rsid w:val="00EE13B3"/>
    <w:rsid w:val="00EE13BE"/>
    <w:rsid w:val="00EE1523"/>
    <w:rsid w:val="00EE157C"/>
    <w:rsid w:val="00EE1718"/>
    <w:rsid w:val="00EE171D"/>
    <w:rsid w:val="00EE179A"/>
    <w:rsid w:val="00EE1852"/>
    <w:rsid w:val="00EE1936"/>
    <w:rsid w:val="00EE1D72"/>
    <w:rsid w:val="00EE1F14"/>
    <w:rsid w:val="00EE210F"/>
    <w:rsid w:val="00EE22BA"/>
    <w:rsid w:val="00EE2827"/>
    <w:rsid w:val="00EE29FE"/>
    <w:rsid w:val="00EE2AB9"/>
    <w:rsid w:val="00EE3184"/>
    <w:rsid w:val="00EE31DB"/>
    <w:rsid w:val="00EE333A"/>
    <w:rsid w:val="00EE33DF"/>
    <w:rsid w:val="00EE346C"/>
    <w:rsid w:val="00EE3887"/>
    <w:rsid w:val="00EE39E2"/>
    <w:rsid w:val="00EE3BCD"/>
    <w:rsid w:val="00EE3CAA"/>
    <w:rsid w:val="00EE3D58"/>
    <w:rsid w:val="00EE3D94"/>
    <w:rsid w:val="00EE3ED5"/>
    <w:rsid w:val="00EE4032"/>
    <w:rsid w:val="00EE406F"/>
    <w:rsid w:val="00EE440E"/>
    <w:rsid w:val="00EE448E"/>
    <w:rsid w:val="00EE459C"/>
    <w:rsid w:val="00EE4612"/>
    <w:rsid w:val="00EE4676"/>
    <w:rsid w:val="00EE46BC"/>
    <w:rsid w:val="00EE4813"/>
    <w:rsid w:val="00EE4948"/>
    <w:rsid w:val="00EE494A"/>
    <w:rsid w:val="00EE49D8"/>
    <w:rsid w:val="00EE4D29"/>
    <w:rsid w:val="00EE4E8D"/>
    <w:rsid w:val="00EE4F98"/>
    <w:rsid w:val="00EE5135"/>
    <w:rsid w:val="00EE5210"/>
    <w:rsid w:val="00EE539D"/>
    <w:rsid w:val="00EE57C6"/>
    <w:rsid w:val="00EE57E9"/>
    <w:rsid w:val="00EE5921"/>
    <w:rsid w:val="00EE5ADD"/>
    <w:rsid w:val="00EE5CBB"/>
    <w:rsid w:val="00EE5D44"/>
    <w:rsid w:val="00EE5EDA"/>
    <w:rsid w:val="00EE5F87"/>
    <w:rsid w:val="00EE5FF8"/>
    <w:rsid w:val="00EE6272"/>
    <w:rsid w:val="00EE632E"/>
    <w:rsid w:val="00EE646C"/>
    <w:rsid w:val="00EE655E"/>
    <w:rsid w:val="00EE65C2"/>
    <w:rsid w:val="00EE66D1"/>
    <w:rsid w:val="00EE66EE"/>
    <w:rsid w:val="00EE6D75"/>
    <w:rsid w:val="00EE6DE1"/>
    <w:rsid w:val="00EE6DE6"/>
    <w:rsid w:val="00EE6E95"/>
    <w:rsid w:val="00EE6EBD"/>
    <w:rsid w:val="00EE6EDB"/>
    <w:rsid w:val="00EE6F51"/>
    <w:rsid w:val="00EE6F67"/>
    <w:rsid w:val="00EE70FC"/>
    <w:rsid w:val="00EE719D"/>
    <w:rsid w:val="00EE725C"/>
    <w:rsid w:val="00EE72F4"/>
    <w:rsid w:val="00EE7335"/>
    <w:rsid w:val="00EE7483"/>
    <w:rsid w:val="00EE7593"/>
    <w:rsid w:val="00EE75C3"/>
    <w:rsid w:val="00EE7786"/>
    <w:rsid w:val="00EE77B9"/>
    <w:rsid w:val="00EE77DA"/>
    <w:rsid w:val="00EE786F"/>
    <w:rsid w:val="00EE7893"/>
    <w:rsid w:val="00EE79D7"/>
    <w:rsid w:val="00EE7B21"/>
    <w:rsid w:val="00EE7B6D"/>
    <w:rsid w:val="00EE7CA6"/>
    <w:rsid w:val="00EE7CC3"/>
    <w:rsid w:val="00EE7D3C"/>
    <w:rsid w:val="00EF02C4"/>
    <w:rsid w:val="00EF02F0"/>
    <w:rsid w:val="00EF0340"/>
    <w:rsid w:val="00EF05E3"/>
    <w:rsid w:val="00EF07A3"/>
    <w:rsid w:val="00EF07EA"/>
    <w:rsid w:val="00EF0B0D"/>
    <w:rsid w:val="00EF0C4D"/>
    <w:rsid w:val="00EF0C9D"/>
    <w:rsid w:val="00EF0CAC"/>
    <w:rsid w:val="00EF0D41"/>
    <w:rsid w:val="00EF10F9"/>
    <w:rsid w:val="00EF110F"/>
    <w:rsid w:val="00EF1231"/>
    <w:rsid w:val="00EF12D7"/>
    <w:rsid w:val="00EF134C"/>
    <w:rsid w:val="00EF1364"/>
    <w:rsid w:val="00EF13AB"/>
    <w:rsid w:val="00EF1463"/>
    <w:rsid w:val="00EF16F5"/>
    <w:rsid w:val="00EF178D"/>
    <w:rsid w:val="00EF1967"/>
    <w:rsid w:val="00EF1D3B"/>
    <w:rsid w:val="00EF1DCB"/>
    <w:rsid w:val="00EF1ED7"/>
    <w:rsid w:val="00EF1EE4"/>
    <w:rsid w:val="00EF1F06"/>
    <w:rsid w:val="00EF1F72"/>
    <w:rsid w:val="00EF1F78"/>
    <w:rsid w:val="00EF207D"/>
    <w:rsid w:val="00EF20E4"/>
    <w:rsid w:val="00EF2215"/>
    <w:rsid w:val="00EF2741"/>
    <w:rsid w:val="00EF27EF"/>
    <w:rsid w:val="00EF285B"/>
    <w:rsid w:val="00EF2B59"/>
    <w:rsid w:val="00EF2B81"/>
    <w:rsid w:val="00EF2D5D"/>
    <w:rsid w:val="00EF2D7B"/>
    <w:rsid w:val="00EF2FD1"/>
    <w:rsid w:val="00EF3183"/>
    <w:rsid w:val="00EF3210"/>
    <w:rsid w:val="00EF32AC"/>
    <w:rsid w:val="00EF3601"/>
    <w:rsid w:val="00EF3683"/>
    <w:rsid w:val="00EF3808"/>
    <w:rsid w:val="00EF38EB"/>
    <w:rsid w:val="00EF3948"/>
    <w:rsid w:val="00EF3AB5"/>
    <w:rsid w:val="00EF3AFF"/>
    <w:rsid w:val="00EF3B4F"/>
    <w:rsid w:val="00EF3DBB"/>
    <w:rsid w:val="00EF40EE"/>
    <w:rsid w:val="00EF4150"/>
    <w:rsid w:val="00EF4178"/>
    <w:rsid w:val="00EF4409"/>
    <w:rsid w:val="00EF4567"/>
    <w:rsid w:val="00EF48BA"/>
    <w:rsid w:val="00EF497E"/>
    <w:rsid w:val="00EF4992"/>
    <w:rsid w:val="00EF4A67"/>
    <w:rsid w:val="00EF4D52"/>
    <w:rsid w:val="00EF519E"/>
    <w:rsid w:val="00EF51C7"/>
    <w:rsid w:val="00EF52B5"/>
    <w:rsid w:val="00EF5432"/>
    <w:rsid w:val="00EF5601"/>
    <w:rsid w:val="00EF5706"/>
    <w:rsid w:val="00EF5A88"/>
    <w:rsid w:val="00EF5B8D"/>
    <w:rsid w:val="00EF5C9D"/>
    <w:rsid w:val="00EF5CB5"/>
    <w:rsid w:val="00EF5D8D"/>
    <w:rsid w:val="00EF5D98"/>
    <w:rsid w:val="00EF5EF1"/>
    <w:rsid w:val="00EF5FC6"/>
    <w:rsid w:val="00EF613B"/>
    <w:rsid w:val="00EF6365"/>
    <w:rsid w:val="00EF63BE"/>
    <w:rsid w:val="00EF6566"/>
    <w:rsid w:val="00EF6631"/>
    <w:rsid w:val="00EF66BF"/>
    <w:rsid w:val="00EF691F"/>
    <w:rsid w:val="00EF6993"/>
    <w:rsid w:val="00EF6ABA"/>
    <w:rsid w:val="00EF6C6B"/>
    <w:rsid w:val="00EF6F14"/>
    <w:rsid w:val="00EF7112"/>
    <w:rsid w:val="00EF718F"/>
    <w:rsid w:val="00EF7301"/>
    <w:rsid w:val="00EF7329"/>
    <w:rsid w:val="00EF7481"/>
    <w:rsid w:val="00EF7550"/>
    <w:rsid w:val="00EF7585"/>
    <w:rsid w:val="00EF7589"/>
    <w:rsid w:val="00EF793D"/>
    <w:rsid w:val="00EF7D26"/>
    <w:rsid w:val="00EF7DCB"/>
    <w:rsid w:val="00F00215"/>
    <w:rsid w:val="00F003E1"/>
    <w:rsid w:val="00F0053E"/>
    <w:rsid w:val="00F005E2"/>
    <w:rsid w:val="00F00637"/>
    <w:rsid w:val="00F007D3"/>
    <w:rsid w:val="00F009CD"/>
    <w:rsid w:val="00F00C30"/>
    <w:rsid w:val="00F00C69"/>
    <w:rsid w:val="00F00F9A"/>
    <w:rsid w:val="00F01122"/>
    <w:rsid w:val="00F0145C"/>
    <w:rsid w:val="00F0170F"/>
    <w:rsid w:val="00F017A1"/>
    <w:rsid w:val="00F01B2D"/>
    <w:rsid w:val="00F01C52"/>
    <w:rsid w:val="00F01C77"/>
    <w:rsid w:val="00F01D0A"/>
    <w:rsid w:val="00F01E41"/>
    <w:rsid w:val="00F02324"/>
    <w:rsid w:val="00F0240C"/>
    <w:rsid w:val="00F0269F"/>
    <w:rsid w:val="00F0287F"/>
    <w:rsid w:val="00F02C04"/>
    <w:rsid w:val="00F02CA9"/>
    <w:rsid w:val="00F02F5E"/>
    <w:rsid w:val="00F0310B"/>
    <w:rsid w:val="00F032C2"/>
    <w:rsid w:val="00F032E7"/>
    <w:rsid w:val="00F035AB"/>
    <w:rsid w:val="00F03732"/>
    <w:rsid w:val="00F03822"/>
    <w:rsid w:val="00F03A45"/>
    <w:rsid w:val="00F03F8A"/>
    <w:rsid w:val="00F03FC6"/>
    <w:rsid w:val="00F04071"/>
    <w:rsid w:val="00F04356"/>
    <w:rsid w:val="00F044D3"/>
    <w:rsid w:val="00F04551"/>
    <w:rsid w:val="00F048BB"/>
    <w:rsid w:val="00F04961"/>
    <w:rsid w:val="00F04985"/>
    <w:rsid w:val="00F04B2B"/>
    <w:rsid w:val="00F04CB0"/>
    <w:rsid w:val="00F04D0F"/>
    <w:rsid w:val="00F04F0D"/>
    <w:rsid w:val="00F05209"/>
    <w:rsid w:val="00F0537D"/>
    <w:rsid w:val="00F05546"/>
    <w:rsid w:val="00F055A2"/>
    <w:rsid w:val="00F05942"/>
    <w:rsid w:val="00F05AA6"/>
    <w:rsid w:val="00F05ADA"/>
    <w:rsid w:val="00F05C74"/>
    <w:rsid w:val="00F0603E"/>
    <w:rsid w:val="00F0616C"/>
    <w:rsid w:val="00F0618B"/>
    <w:rsid w:val="00F061A8"/>
    <w:rsid w:val="00F06255"/>
    <w:rsid w:val="00F064A4"/>
    <w:rsid w:val="00F064C1"/>
    <w:rsid w:val="00F066C5"/>
    <w:rsid w:val="00F06976"/>
    <w:rsid w:val="00F06C3D"/>
    <w:rsid w:val="00F06C72"/>
    <w:rsid w:val="00F06DE2"/>
    <w:rsid w:val="00F06EFE"/>
    <w:rsid w:val="00F06FD5"/>
    <w:rsid w:val="00F06FE2"/>
    <w:rsid w:val="00F07093"/>
    <w:rsid w:val="00F070D6"/>
    <w:rsid w:val="00F07429"/>
    <w:rsid w:val="00F074BD"/>
    <w:rsid w:val="00F0760C"/>
    <w:rsid w:val="00F0762D"/>
    <w:rsid w:val="00F07643"/>
    <w:rsid w:val="00F07A2B"/>
    <w:rsid w:val="00F07B34"/>
    <w:rsid w:val="00F07C1D"/>
    <w:rsid w:val="00F07CDC"/>
    <w:rsid w:val="00F07D45"/>
    <w:rsid w:val="00F07E1A"/>
    <w:rsid w:val="00F07EA5"/>
    <w:rsid w:val="00F07EF3"/>
    <w:rsid w:val="00F07F76"/>
    <w:rsid w:val="00F1049D"/>
    <w:rsid w:val="00F104A2"/>
    <w:rsid w:val="00F105D5"/>
    <w:rsid w:val="00F106C0"/>
    <w:rsid w:val="00F106CA"/>
    <w:rsid w:val="00F10726"/>
    <w:rsid w:val="00F10854"/>
    <w:rsid w:val="00F108E2"/>
    <w:rsid w:val="00F10905"/>
    <w:rsid w:val="00F10B1D"/>
    <w:rsid w:val="00F10CC8"/>
    <w:rsid w:val="00F10D9F"/>
    <w:rsid w:val="00F10DE9"/>
    <w:rsid w:val="00F1100F"/>
    <w:rsid w:val="00F110D1"/>
    <w:rsid w:val="00F1112E"/>
    <w:rsid w:val="00F111F6"/>
    <w:rsid w:val="00F11381"/>
    <w:rsid w:val="00F11444"/>
    <w:rsid w:val="00F1149C"/>
    <w:rsid w:val="00F117F1"/>
    <w:rsid w:val="00F11957"/>
    <w:rsid w:val="00F11BA0"/>
    <w:rsid w:val="00F11CF4"/>
    <w:rsid w:val="00F11EE2"/>
    <w:rsid w:val="00F11FBB"/>
    <w:rsid w:val="00F1242B"/>
    <w:rsid w:val="00F12B92"/>
    <w:rsid w:val="00F12BAE"/>
    <w:rsid w:val="00F12D39"/>
    <w:rsid w:val="00F12E36"/>
    <w:rsid w:val="00F12EAB"/>
    <w:rsid w:val="00F13153"/>
    <w:rsid w:val="00F133A3"/>
    <w:rsid w:val="00F13423"/>
    <w:rsid w:val="00F1380E"/>
    <w:rsid w:val="00F13D94"/>
    <w:rsid w:val="00F141BE"/>
    <w:rsid w:val="00F142EA"/>
    <w:rsid w:val="00F14381"/>
    <w:rsid w:val="00F14546"/>
    <w:rsid w:val="00F14639"/>
    <w:rsid w:val="00F14881"/>
    <w:rsid w:val="00F14A21"/>
    <w:rsid w:val="00F14E61"/>
    <w:rsid w:val="00F14E72"/>
    <w:rsid w:val="00F1540F"/>
    <w:rsid w:val="00F154AE"/>
    <w:rsid w:val="00F154D8"/>
    <w:rsid w:val="00F15634"/>
    <w:rsid w:val="00F1568A"/>
    <w:rsid w:val="00F156FD"/>
    <w:rsid w:val="00F15A51"/>
    <w:rsid w:val="00F15A9B"/>
    <w:rsid w:val="00F15B2B"/>
    <w:rsid w:val="00F15C91"/>
    <w:rsid w:val="00F15FA5"/>
    <w:rsid w:val="00F1602E"/>
    <w:rsid w:val="00F16289"/>
    <w:rsid w:val="00F16529"/>
    <w:rsid w:val="00F1666E"/>
    <w:rsid w:val="00F16681"/>
    <w:rsid w:val="00F17016"/>
    <w:rsid w:val="00F170CE"/>
    <w:rsid w:val="00F172E3"/>
    <w:rsid w:val="00F17456"/>
    <w:rsid w:val="00F1758E"/>
    <w:rsid w:val="00F178B4"/>
    <w:rsid w:val="00F17C85"/>
    <w:rsid w:val="00F17F55"/>
    <w:rsid w:val="00F17F76"/>
    <w:rsid w:val="00F2023D"/>
    <w:rsid w:val="00F20329"/>
    <w:rsid w:val="00F20392"/>
    <w:rsid w:val="00F20833"/>
    <w:rsid w:val="00F2083C"/>
    <w:rsid w:val="00F20904"/>
    <w:rsid w:val="00F20A14"/>
    <w:rsid w:val="00F20F26"/>
    <w:rsid w:val="00F20F31"/>
    <w:rsid w:val="00F20FEC"/>
    <w:rsid w:val="00F21046"/>
    <w:rsid w:val="00F21195"/>
    <w:rsid w:val="00F2125F"/>
    <w:rsid w:val="00F2147D"/>
    <w:rsid w:val="00F21554"/>
    <w:rsid w:val="00F21595"/>
    <w:rsid w:val="00F2159D"/>
    <w:rsid w:val="00F2170F"/>
    <w:rsid w:val="00F21D2A"/>
    <w:rsid w:val="00F21DB5"/>
    <w:rsid w:val="00F220D0"/>
    <w:rsid w:val="00F22521"/>
    <w:rsid w:val="00F2253D"/>
    <w:rsid w:val="00F22584"/>
    <w:rsid w:val="00F22935"/>
    <w:rsid w:val="00F22BD5"/>
    <w:rsid w:val="00F2306E"/>
    <w:rsid w:val="00F231AE"/>
    <w:rsid w:val="00F23222"/>
    <w:rsid w:val="00F234D8"/>
    <w:rsid w:val="00F238CC"/>
    <w:rsid w:val="00F23956"/>
    <w:rsid w:val="00F23A85"/>
    <w:rsid w:val="00F23C1F"/>
    <w:rsid w:val="00F23D4B"/>
    <w:rsid w:val="00F23F1B"/>
    <w:rsid w:val="00F24108"/>
    <w:rsid w:val="00F241D7"/>
    <w:rsid w:val="00F24219"/>
    <w:rsid w:val="00F242E0"/>
    <w:rsid w:val="00F24612"/>
    <w:rsid w:val="00F24718"/>
    <w:rsid w:val="00F2473C"/>
    <w:rsid w:val="00F24765"/>
    <w:rsid w:val="00F24812"/>
    <w:rsid w:val="00F24A15"/>
    <w:rsid w:val="00F24B60"/>
    <w:rsid w:val="00F24CFF"/>
    <w:rsid w:val="00F250F9"/>
    <w:rsid w:val="00F25234"/>
    <w:rsid w:val="00F253CF"/>
    <w:rsid w:val="00F255B7"/>
    <w:rsid w:val="00F259ED"/>
    <w:rsid w:val="00F25A47"/>
    <w:rsid w:val="00F25C58"/>
    <w:rsid w:val="00F25CC6"/>
    <w:rsid w:val="00F25EDC"/>
    <w:rsid w:val="00F25F38"/>
    <w:rsid w:val="00F26009"/>
    <w:rsid w:val="00F26166"/>
    <w:rsid w:val="00F26237"/>
    <w:rsid w:val="00F26268"/>
    <w:rsid w:val="00F264A2"/>
    <w:rsid w:val="00F26590"/>
    <w:rsid w:val="00F26616"/>
    <w:rsid w:val="00F26859"/>
    <w:rsid w:val="00F26865"/>
    <w:rsid w:val="00F2697D"/>
    <w:rsid w:val="00F26AF1"/>
    <w:rsid w:val="00F26EF2"/>
    <w:rsid w:val="00F271B3"/>
    <w:rsid w:val="00F27202"/>
    <w:rsid w:val="00F27512"/>
    <w:rsid w:val="00F2797E"/>
    <w:rsid w:val="00F279AA"/>
    <w:rsid w:val="00F27A6E"/>
    <w:rsid w:val="00F27AA1"/>
    <w:rsid w:val="00F27C26"/>
    <w:rsid w:val="00F27D8A"/>
    <w:rsid w:val="00F300E1"/>
    <w:rsid w:val="00F30554"/>
    <w:rsid w:val="00F30598"/>
    <w:rsid w:val="00F30623"/>
    <w:rsid w:val="00F306B4"/>
    <w:rsid w:val="00F30A10"/>
    <w:rsid w:val="00F30B0E"/>
    <w:rsid w:val="00F30B2D"/>
    <w:rsid w:val="00F30ECC"/>
    <w:rsid w:val="00F30F17"/>
    <w:rsid w:val="00F31124"/>
    <w:rsid w:val="00F31440"/>
    <w:rsid w:val="00F31AB2"/>
    <w:rsid w:val="00F31E45"/>
    <w:rsid w:val="00F32106"/>
    <w:rsid w:val="00F32119"/>
    <w:rsid w:val="00F32211"/>
    <w:rsid w:val="00F3223B"/>
    <w:rsid w:val="00F32465"/>
    <w:rsid w:val="00F325DE"/>
    <w:rsid w:val="00F327D3"/>
    <w:rsid w:val="00F32C79"/>
    <w:rsid w:val="00F32D22"/>
    <w:rsid w:val="00F32DBA"/>
    <w:rsid w:val="00F32F47"/>
    <w:rsid w:val="00F32F58"/>
    <w:rsid w:val="00F32FFB"/>
    <w:rsid w:val="00F33004"/>
    <w:rsid w:val="00F33073"/>
    <w:rsid w:val="00F3344A"/>
    <w:rsid w:val="00F3381E"/>
    <w:rsid w:val="00F33825"/>
    <w:rsid w:val="00F33ABD"/>
    <w:rsid w:val="00F33B1A"/>
    <w:rsid w:val="00F34199"/>
    <w:rsid w:val="00F3432A"/>
    <w:rsid w:val="00F34338"/>
    <w:rsid w:val="00F34387"/>
    <w:rsid w:val="00F346BC"/>
    <w:rsid w:val="00F34A00"/>
    <w:rsid w:val="00F34C49"/>
    <w:rsid w:val="00F34D4A"/>
    <w:rsid w:val="00F34E84"/>
    <w:rsid w:val="00F34F3E"/>
    <w:rsid w:val="00F3510C"/>
    <w:rsid w:val="00F3517B"/>
    <w:rsid w:val="00F351E3"/>
    <w:rsid w:val="00F355C4"/>
    <w:rsid w:val="00F35F27"/>
    <w:rsid w:val="00F36B72"/>
    <w:rsid w:val="00F36B9B"/>
    <w:rsid w:val="00F36CC6"/>
    <w:rsid w:val="00F37671"/>
    <w:rsid w:val="00F377B1"/>
    <w:rsid w:val="00F37800"/>
    <w:rsid w:val="00F3793F"/>
    <w:rsid w:val="00F37B49"/>
    <w:rsid w:val="00F37B9B"/>
    <w:rsid w:val="00F37D25"/>
    <w:rsid w:val="00F37D63"/>
    <w:rsid w:val="00F37F33"/>
    <w:rsid w:val="00F4042F"/>
    <w:rsid w:val="00F40737"/>
    <w:rsid w:val="00F40759"/>
    <w:rsid w:val="00F40C64"/>
    <w:rsid w:val="00F40E49"/>
    <w:rsid w:val="00F40F2C"/>
    <w:rsid w:val="00F40FEA"/>
    <w:rsid w:val="00F416E7"/>
    <w:rsid w:val="00F41847"/>
    <w:rsid w:val="00F41904"/>
    <w:rsid w:val="00F4194D"/>
    <w:rsid w:val="00F41B59"/>
    <w:rsid w:val="00F41B91"/>
    <w:rsid w:val="00F41F62"/>
    <w:rsid w:val="00F41F8D"/>
    <w:rsid w:val="00F41FAB"/>
    <w:rsid w:val="00F4215E"/>
    <w:rsid w:val="00F4225A"/>
    <w:rsid w:val="00F422BB"/>
    <w:rsid w:val="00F42441"/>
    <w:rsid w:val="00F42444"/>
    <w:rsid w:val="00F425E2"/>
    <w:rsid w:val="00F42982"/>
    <w:rsid w:val="00F42A69"/>
    <w:rsid w:val="00F42B93"/>
    <w:rsid w:val="00F42BE6"/>
    <w:rsid w:val="00F43285"/>
    <w:rsid w:val="00F43361"/>
    <w:rsid w:val="00F436E6"/>
    <w:rsid w:val="00F43883"/>
    <w:rsid w:val="00F43A75"/>
    <w:rsid w:val="00F43C07"/>
    <w:rsid w:val="00F43D9F"/>
    <w:rsid w:val="00F44143"/>
    <w:rsid w:val="00F44168"/>
    <w:rsid w:val="00F4429B"/>
    <w:rsid w:val="00F4433F"/>
    <w:rsid w:val="00F44410"/>
    <w:rsid w:val="00F44590"/>
    <w:rsid w:val="00F4466D"/>
    <w:rsid w:val="00F446FC"/>
    <w:rsid w:val="00F4497B"/>
    <w:rsid w:val="00F44A9E"/>
    <w:rsid w:val="00F44D12"/>
    <w:rsid w:val="00F44D94"/>
    <w:rsid w:val="00F4517B"/>
    <w:rsid w:val="00F4519E"/>
    <w:rsid w:val="00F453F0"/>
    <w:rsid w:val="00F4555F"/>
    <w:rsid w:val="00F45680"/>
    <w:rsid w:val="00F457DF"/>
    <w:rsid w:val="00F45938"/>
    <w:rsid w:val="00F45A38"/>
    <w:rsid w:val="00F45DF3"/>
    <w:rsid w:val="00F45E14"/>
    <w:rsid w:val="00F45EA0"/>
    <w:rsid w:val="00F460E0"/>
    <w:rsid w:val="00F46191"/>
    <w:rsid w:val="00F4624B"/>
    <w:rsid w:val="00F462F2"/>
    <w:rsid w:val="00F46480"/>
    <w:rsid w:val="00F467E4"/>
    <w:rsid w:val="00F46C85"/>
    <w:rsid w:val="00F46E44"/>
    <w:rsid w:val="00F46F4D"/>
    <w:rsid w:val="00F46FE1"/>
    <w:rsid w:val="00F47290"/>
    <w:rsid w:val="00F472BC"/>
    <w:rsid w:val="00F47322"/>
    <w:rsid w:val="00F47499"/>
    <w:rsid w:val="00F47533"/>
    <w:rsid w:val="00F47624"/>
    <w:rsid w:val="00F47653"/>
    <w:rsid w:val="00F47664"/>
    <w:rsid w:val="00F476DB"/>
    <w:rsid w:val="00F4780E"/>
    <w:rsid w:val="00F4786B"/>
    <w:rsid w:val="00F47D18"/>
    <w:rsid w:val="00F47E42"/>
    <w:rsid w:val="00F47EB8"/>
    <w:rsid w:val="00F47F0A"/>
    <w:rsid w:val="00F50121"/>
    <w:rsid w:val="00F501E3"/>
    <w:rsid w:val="00F5021F"/>
    <w:rsid w:val="00F50260"/>
    <w:rsid w:val="00F5033F"/>
    <w:rsid w:val="00F50541"/>
    <w:rsid w:val="00F50590"/>
    <w:rsid w:val="00F508A1"/>
    <w:rsid w:val="00F50974"/>
    <w:rsid w:val="00F509A8"/>
    <w:rsid w:val="00F50D3A"/>
    <w:rsid w:val="00F50DB8"/>
    <w:rsid w:val="00F50E94"/>
    <w:rsid w:val="00F5118B"/>
    <w:rsid w:val="00F51292"/>
    <w:rsid w:val="00F51464"/>
    <w:rsid w:val="00F515CF"/>
    <w:rsid w:val="00F5164D"/>
    <w:rsid w:val="00F516B5"/>
    <w:rsid w:val="00F5183B"/>
    <w:rsid w:val="00F51FC9"/>
    <w:rsid w:val="00F5201C"/>
    <w:rsid w:val="00F5238E"/>
    <w:rsid w:val="00F52ACD"/>
    <w:rsid w:val="00F52E6F"/>
    <w:rsid w:val="00F52E80"/>
    <w:rsid w:val="00F52FA0"/>
    <w:rsid w:val="00F5310E"/>
    <w:rsid w:val="00F5315B"/>
    <w:rsid w:val="00F531B5"/>
    <w:rsid w:val="00F531F2"/>
    <w:rsid w:val="00F53A5E"/>
    <w:rsid w:val="00F53B24"/>
    <w:rsid w:val="00F53CE8"/>
    <w:rsid w:val="00F53EE9"/>
    <w:rsid w:val="00F53F34"/>
    <w:rsid w:val="00F53F91"/>
    <w:rsid w:val="00F543B2"/>
    <w:rsid w:val="00F5455A"/>
    <w:rsid w:val="00F5472D"/>
    <w:rsid w:val="00F5512B"/>
    <w:rsid w:val="00F5520F"/>
    <w:rsid w:val="00F55474"/>
    <w:rsid w:val="00F5554C"/>
    <w:rsid w:val="00F555B1"/>
    <w:rsid w:val="00F557D9"/>
    <w:rsid w:val="00F559A7"/>
    <w:rsid w:val="00F55AD0"/>
    <w:rsid w:val="00F55B78"/>
    <w:rsid w:val="00F55BB7"/>
    <w:rsid w:val="00F55DC2"/>
    <w:rsid w:val="00F55E2F"/>
    <w:rsid w:val="00F55E88"/>
    <w:rsid w:val="00F562FA"/>
    <w:rsid w:val="00F56306"/>
    <w:rsid w:val="00F56566"/>
    <w:rsid w:val="00F566F4"/>
    <w:rsid w:val="00F56726"/>
    <w:rsid w:val="00F56764"/>
    <w:rsid w:val="00F56978"/>
    <w:rsid w:val="00F569DC"/>
    <w:rsid w:val="00F56C5F"/>
    <w:rsid w:val="00F56E42"/>
    <w:rsid w:val="00F56F91"/>
    <w:rsid w:val="00F56F94"/>
    <w:rsid w:val="00F57033"/>
    <w:rsid w:val="00F573C0"/>
    <w:rsid w:val="00F574BF"/>
    <w:rsid w:val="00F57A13"/>
    <w:rsid w:val="00F57AAE"/>
    <w:rsid w:val="00F57CF4"/>
    <w:rsid w:val="00F57D0C"/>
    <w:rsid w:val="00F57D0D"/>
    <w:rsid w:val="00F57D37"/>
    <w:rsid w:val="00F6009B"/>
    <w:rsid w:val="00F602B3"/>
    <w:rsid w:val="00F6046E"/>
    <w:rsid w:val="00F606DD"/>
    <w:rsid w:val="00F60A29"/>
    <w:rsid w:val="00F60BA0"/>
    <w:rsid w:val="00F60D13"/>
    <w:rsid w:val="00F60E34"/>
    <w:rsid w:val="00F60EA0"/>
    <w:rsid w:val="00F6106D"/>
    <w:rsid w:val="00F61191"/>
    <w:rsid w:val="00F61332"/>
    <w:rsid w:val="00F6141B"/>
    <w:rsid w:val="00F61440"/>
    <w:rsid w:val="00F61446"/>
    <w:rsid w:val="00F614D2"/>
    <w:rsid w:val="00F61543"/>
    <w:rsid w:val="00F615FF"/>
    <w:rsid w:val="00F616A8"/>
    <w:rsid w:val="00F6188E"/>
    <w:rsid w:val="00F61A42"/>
    <w:rsid w:val="00F61AB6"/>
    <w:rsid w:val="00F61B62"/>
    <w:rsid w:val="00F61CD5"/>
    <w:rsid w:val="00F61D86"/>
    <w:rsid w:val="00F62106"/>
    <w:rsid w:val="00F62211"/>
    <w:rsid w:val="00F623B9"/>
    <w:rsid w:val="00F6276E"/>
    <w:rsid w:val="00F62885"/>
    <w:rsid w:val="00F6288D"/>
    <w:rsid w:val="00F62C04"/>
    <w:rsid w:val="00F62DB0"/>
    <w:rsid w:val="00F62E03"/>
    <w:rsid w:val="00F6304B"/>
    <w:rsid w:val="00F631EB"/>
    <w:rsid w:val="00F63346"/>
    <w:rsid w:val="00F633CD"/>
    <w:rsid w:val="00F63467"/>
    <w:rsid w:val="00F634F6"/>
    <w:rsid w:val="00F6364A"/>
    <w:rsid w:val="00F636FA"/>
    <w:rsid w:val="00F63746"/>
    <w:rsid w:val="00F63879"/>
    <w:rsid w:val="00F63932"/>
    <w:rsid w:val="00F63A0C"/>
    <w:rsid w:val="00F63B27"/>
    <w:rsid w:val="00F63E53"/>
    <w:rsid w:val="00F63F98"/>
    <w:rsid w:val="00F641AA"/>
    <w:rsid w:val="00F642C4"/>
    <w:rsid w:val="00F64404"/>
    <w:rsid w:val="00F644E0"/>
    <w:rsid w:val="00F644E1"/>
    <w:rsid w:val="00F645FD"/>
    <w:rsid w:val="00F64617"/>
    <w:rsid w:val="00F649DD"/>
    <w:rsid w:val="00F64AF4"/>
    <w:rsid w:val="00F64B75"/>
    <w:rsid w:val="00F64C5C"/>
    <w:rsid w:val="00F64CF2"/>
    <w:rsid w:val="00F64D7C"/>
    <w:rsid w:val="00F64EE4"/>
    <w:rsid w:val="00F64FF9"/>
    <w:rsid w:val="00F650FF"/>
    <w:rsid w:val="00F65134"/>
    <w:rsid w:val="00F6540A"/>
    <w:rsid w:val="00F65800"/>
    <w:rsid w:val="00F6590A"/>
    <w:rsid w:val="00F65980"/>
    <w:rsid w:val="00F65A34"/>
    <w:rsid w:val="00F65C9A"/>
    <w:rsid w:val="00F66164"/>
    <w:rsid w:val="00F662A0"/>
    <w:rsid w:val="00F663B2"/>
    <w:rsid w:val="00F663C6"/>
    <w:rsid w:val="00F664E2"/>
    <w:rsid w:val="00F6660D"/>
    <w:rsid w:val="00F666C0"/>
    <w:rsid w:val="00F666C3"/>
    <w:rsid w:val="00F666E4"/>
    <w:rsid w:val="00F6677B"/>
    <w:rsid w:val="00F66CC2"/>
    <w:rsid w:val="00F66D1B"/>
    <w:rsid w:val="00F671B0"/>
    <w:rsid w:val="00F672D9"/>
    <w:rsid w:val="00F674B7"/>
    <w:rsid w:val="00F67533"/>
    <w:rsid w:val="00F675D5"/>
    <w:rsid w:val="00F676C3"/>
    <w:rsid w:val="00F679F6"/>
    <w:rsid w:val="00F67B82"/>
    <w:rsid w:val="00F67FBA"/>
    <w:rsid w:val="00F70132"/>
    <w:rsid w:val="00F7025F"/>
    <w:rsid w:val="00F702C3"/>
    <w:rsid w:val="00F704AE"/>
    <w:rsid w:val="00F705D9"/>
    <w:rsid w:val="00F705F7"/>
    <w:rsid w:val="00F70749"/>
    <w:rsid w:val="00F70828"/>
    <w:rsid w:val="00F70A9D"/>
    <w:rsid w:val="00F70B00"/>
    <w:rsid w:val="00F70CBB"/>
    <w:rsid w:val="00F70DBF"/>
    <w:rsid w:val="00F70EDD"/>
    <w:rsid w:val="00F7107F"/>
    <w:rsid w:val="00F71223"/>
    <w:rsid w:val="00F71745"/>
    <w:rsid w:val="00F71877"/>
    <w:rsid w:val="00F71BBE"/>
    <w:rsid w:val="00F71C0B"/>
    <w:rsid w:val="00F71C5A"/>
    <w:rsid w:val="00F71CA4"/>
    <w:rsid w:val="00F71E05"/>
    <w:rsid w:val="00F71EC0"/>
    <w:rsid w:val="00F71F51"/>
    <w:rsid w:val="00F72130"/>
    <w:rsid w:val="00F72257"/>
    <w:rsid w:val="00F72408"/>
    <w:rsid w:val="00F7288A"/>
    <w:rsid w:val="00F72896"/>
    <w:rsid w:val="00F72978"/>
    <w:rsid w:val="00F72A8E"/>
    <w:rsid w:val="00F72BFC"/>
    <w:rsid w:val="00F72E0A"/>
    <w:rsid w:val="00F72FA9"/>
    <w:rsid w:val="00F73181"/>
    <w:rsid w:val="00F731F1"/>
    <w:rsid w:val="00F73241"/>
    <w:rsid w:val="00F7330C"/>
    <w:rsid w:val="00F7341C"/>
    <w:rsid w:val="00F73854"/>
    <w:rsid w:val="00F73903"/>
    <w:rsid w:val="00F73B54"/>
    <w:rsid w:val="00F73F67"/>
    <w:rsid w:val="00F743D8"/>
    <w:rsid w:val="00F74516"/>
    <w:rsid w:val="00F745AD"/>
    <w:rsid w:val="00F745BD"/>
    <w:rsid w:val="00F74726"/>
    <w:rsid w:val="00F748BE"/>
    <w:rsid w:val="00F748E8"/>
    <w:rsid w:val="00F7496A"/>
    <w:rsid w:val="00F74B59"/>
    <w:rsid w:val="00F74F37"/>
    <w:rsid w:val="00F74F8F"/>
    <w:rsid w:val="00F74FB1"/>
    <w:rsid w:val="00F75110"/>
    <w:rsid w:val="00F75147"/>
    <w:rsid w:val="00F7526A"/>
    <w:rsid w:val="00F756AE"/>
    <w:rsid w:val="00F757D1"/>
    <w:rsid w:val="00F757EF"/>
    <w:rsid w:val="00F759F8"/>
    <w:rsid w:val="00F760A4"/>
    <w:rsid w:val="00F76666"/>
    <w:rsid w:val="00F76984"/>
    <w:rsid w:val="00F769CF"/>
    <w:rsid w:val="00F76EDB"/>
    <w:rsid w:val="00F76EE1"/>
    <w:rsid w:val="00F76EF9"/>
    <w:rsid w:val="00F76F94"/>
    <w:rsid w:val="00F76FD2"/>
    <w:rsid w:val="00F7731B"/>
    <w:rsid w:val="00F774CB"/>
    <w:rsid w:val="00F7756E"/>
    <w:rsid w:val="00F777BB"/>
    <w:rsid w:val="00F77841"/>
    <w:rsid w:val="00F77988"/>
    <w:rsid w:val="00F77C4D"/>
    <w:rsid w:val="00F77CCE"/>
    <w:rsid w:val="00F8020C"/>
    <w:rsid w:val="00F8035A"/>
    <w:rsid w:val="00F80377"/>
    <w:rsid w:val="00F80447"/>
    <w:rsid w:val="00F805F8"/>
    <w:rsid w:val="00F806AE"/>
    <w:rsid w:val="00F80A21"/>
    <w:rsid w:val="00F8100B"/>
    <w:rsid w:val="00F81011"/>
    <w:rsid w:val="00F8110F"/>
    <w:rsid w:val="00F81195"/>
    <w:rsid w:val="00F81233"/>
    <w:rsid w:val="00F81820"/>
    <w:rsid w:val="00F818B4"/>
    <w:rsid w:val="00F8192E"/>
    <w:rsid w:val="00F819F4"/>
    <w:rsid w:val="00F81BAB"/>
    <w:rsid w:val="00F81F34"/>
    <w:rsid w:val="00F8241E"/>
    <w:rsid w:val="00F82678"/>
    <w:rsid w:val="00F82A03"/>
    <w:rsid w:val="00F82AAB"/>
    <w:rsid w:val="00F82B57"/>
    <w:rsid w:val="00F82C7D"/>
    <w:rsid w:val="00F82C9D"/>
    <w:rsid w:val="00F83068"/>
    <w:rsid w:val="00F830B4"/>
    <w:rsid w:val="00F83115"/>
    <w:rsid w:val="00F83226"/>
    <w:rsid w:val="00F833E2"/>
    <w:rsid w:val="00F83453"/>
    <w:rsid w:val="00F83485"/>
    <w:rsid w:val="00F836FD"/>
    <w:rsid w:val="00F837B5"/>
    <w:rsid w:val="00F838D1"/>
    <w:rsid w:val="00F839C5"/>
    <w:rsid w:val="00F83AB7"/>
    <w:rsid w:val="00F83E7E"/>
    <w:rsid w:val="00F8400C"/>
    <w:rsid w:val="00F8422B"/>
    <w:rsid w:val="00F84597"/>
    <w:rsid w:val="00F84742"/>
    <w:rsid w:val="00F84807"/>
    <w:rsid w:val="00F84FF8"/>
    <w:rsid w:val="00F853C6"/>
    <w:rsid w:val="00F85543"/>
    <w:rsid w:val="00F855E1"/>
    <w:rsid w:val="00F85661"/>
    <w:rsid w:val="00F85770"/>
    <w:rsid w:val="00F85836"/>
    <w:rsid w:val="00F8588C"/>
    <w:rsid w:val="00F85948"/>
    <w:rsid w:val="00F85B76"/>
    <w:rsid w:val="00F85C07"/>
    <w:rsid w:val="00F85C71"/>
    <w:rsid w:val="00F85F37"/>
    <w:rsid w:val="00F85F7E"/>
    <w:rsid w:val="00F86255"/>
    <w:rsid w:val="00F862A9"/>
    <w:rsid w:val="00F863A6"/>
    <w:rsid w:val="00F8680A"/>
    <w:rsid w:val="00F86A1A"/>
    <w:rsid w:val="00F86B29"/>
    <w:rsid w:val="00F86D3D"/>
    <w:rsid w:val="00F86EB5"/>
    <w:rsid w:val="00F86F2D"/>
    <w:rsid w:val="00F86F4A"/>
    <w:rsid w:val="00F86FFA"/>
    <w:rsid w:val="00F871FA"/>
    <w:rsid w:val="00F87200"/>
    <w:rsid w:val="00F87393"/>
    <w:rsid w:val="00F876B9"/>
    <w:rsid w:val="00F8794A"/>
    <w:rsid w:val="00F87A32"/>
    <w:rsid w:val="00F87C6D"/>
    <w:rsid w:val="00F87DB1"/>
    <w:rsid w:val="00F87E2A"/>
    <w:rsid w:val="00F87E82"/>
    <w:rsid w:val="00F900E6"/>
    <w:rsid w:val="00F901C8"/>
    <w:rsid w:val="00F901E2"/>
    <w:rsid w:val="00F90205"/>
    <w:rsid w:val="00F905A0"/>
    <w:rsid w:val="00F90885"/>
    <w:rsid w:val="00F908F2"/>
    <w:rsid w:val="00F90925"/>
    <w:rsid w:val="00F90968"/>
    <w:rsid w:val="00F90B60"/>
    <w:rsid w:val="00F90BDC"/>
    <w:rsid w:val="00F90D0E"/>
    <w:rsid w:val="00F91087"/>
    <w:rsid w:val="00F911CC"/>
    <w:rsid w:val="00F91350"/>
    <w:rsid w:val="00F917D1"/>
    <w:rsid w:val="00F917E8"/>
    <w:rsid w:val="00F917FD"/>
    <w:rsid w:val="00F91929"/>
    <w:rsid w:val="00F91AD3"/>
    <w:rsid w:val="00F91AEC"/>
    <w:rsid w:val="00F91C77"/>
    <w:rsid w:val="00F91CB7"/>
    <w:rsid w:val="00F91F90"/>
    <w:rsid w:val="00F92081"/>
    <w:rsid w:val="00F921C1"/>
    <w:rsid w:val="00F92371"/>
    <w:rsid w:val="00F923A3"/>
    <w:rsid w:val="00F923FC"/>
    <w:rsid w:val="00F92742"/>
    <w:rsid w:val="00F92771"/>
    <w:rsid w:val="00F92956"/>
    <w:rsid w:val="00F92BB4"/>
    <w:rsid w:val="00F92C1D"/>
    <w:rsid w:val="00F92D1D"/>
    <w:rsid w:val="00F93392"/>
    <w:rsid w:val="00F935B3"/>
    <w:rsid w:val="00F936C6"/>
    <w:rsid w:val="00F938A4"/>
    <w:rsid w:val="00F939F1"/>
    <w:rsid w:val="00F93A73"/>
    <w:rsid w:val="00F93BAD"/>
    <w:rsid w:val="00F94100"/>
    <w:rsid w:val="00F94221"/>
    <w:rsid w:val="00F9435D"/>
    <w:rsid w:val="00F9482A"/>
    <w:rsid w:val="00F94C9A"/>
    <w:rsid w:val="00F94D2E"/>
    <w:rsid w:val="00F95031"/>
    <w:rsid w:val="00F951DC"/>
    <w:rsid w:val="00F9535A"/>
    <w:rsid w:val="00F9546D"/>
    <w:rsid w:val="00F95807"/>
    <w:rsid w:val="00F95951"/>
    <w:rsid w:val="00F95BC2"/>
    <w:rsid w:val="00F95D88"/>
    <w:rsid w:val="00F95DC8"/>
    <w:rsid w:val="00F960E8"/>
    <w:rsid w:val="00F9637D"/>
    <w:rsid w:val="00F9643C"/>
    <w:rsid w:val="00F96662"/>
    <w:rsid w:val="00F9683E"/>
    <w:rsid w:val="00F9698A"/>
    <w:rsid w:val="00F969BF"/>
    <w:rsid w:val="00F96D4A"/>
    <w:rsid w:val="00F97230"/>
    <w:rsid w:val="00F973CB"/>
    <w:rsid w:val="00F97404"/>
    <w:rsid w:val="00F97497"/>
    <w:rsid w:val="00F97596"/>
    <w:rsid w:val="00F975C5"/>
    <w:rsid w:val="00F97683"/>
    <w:rsid w:val="00F976DA"/>
    <w:rsid w:val="00F97744"/>
    <w:rsid w:val="00F977C5"/>
    <w:rsid w:val="00F9784A"/>
    <w:rsid w:val="00FA0166"/>
    <w:rsid w:val="00FA016D"/>
    <w:rsid w:val="00FA0180"/>
    <w:rsid w:val="00FA02AA"/>
    <w:rsid w:val="00FA0795"/>
    <w:rsid w:val="00FA0873"/>
    <w:rsid w:val="00FA0A8B"/>
    <w:rsid w:val="00FA0B29"/>
    <w:rsid w:val="00FA0BA2"/>
    <w:rsid w:val="00FA0D4C"/>
    <w:rsid w:val="00FA0DB3"/>
    <w:rsid w:val="00FA119B"/>
    <w:rsid w:val="00FA1D1E"/>
    <w:rsid w:val="00FA1EFC"/>
    <w:rsid w:val="00FA211F"/>
    <w:rsid w:val="00FA21BB"/>
    <w:rsid w:val="00FA21EA"/>
    <w:rsid w:val="00FA23FF"/>
    <w:rsid w:val="00FA25A7"/>
    <w:rsid w:val="00FA2EBF"/>
    <w:rsid w:val="00FA2EF3"/>
    <w:rsid w:val="00FA2EF9"/>
    <w:rsid w:val="00FA3005"/>
    <w:rsid w:val="00FA301F"/>
    <w:rsid w:val="00FA32B6"/>
    <w:rsid w:val="00FA3321"/>
    <w:rsid w:val="00FA3460"/>
    <w:rsid w:val="00FA3858"/>
    <w:rsid w:val="00FA3CA4"/>
    <w:rsid w:val="00FA3E96"/>
    <w:rsid w:val="00FA3FA4"/>
    <w:rsid w:val="00FA419A"/>
    <w:rsid w:val="00FA42BF"/>
    <w:rsid w:val="00FA44D0"/>
    <w:rsid w:val="00FA48D8"/>
    <w:rsid w:val="00FA4C5A"/>
    <w:rsid w:val="00FA4DE7"/>
    <w:rsid w:val="00FA50F4"/>
    <w:rsid w:val="00FA5114"/>
    <w:rsid w:val="00FA5209"/>
    <w:rsid w:val="00FA530F"/>
    <w:rsid w:val="00FA54C2"/>
    <w:rsid w:val="00FA5517"/>
    <w:rsid w:val="00FA5748"/>
    <w:rsid w:val="00FA5750"/>
    <w:rsid w:val="00FA5782"/>
    <w:rsid w:val="00FA58D9"/>
    <w:rsid w:val="00FA5A56"/>
    <w:rsid w:val="00FA5BC1"/>
    <w:rsid w:val="00FA5CB7"/>
    <w:rsid w:val="00FA6095"/>
    <w:rsid w:val="00FA60D0"/>
    <w:rsid w:val="00FA626A"/>
    <w:rsid w:val="00FA674A"/>
    <w:rsid w:val="00FA67E3"/>
    <w:rsid w:val="00FA6CA7"/>
    <w:rsid w:val="00FA6FEE"/>
    <w:rsid w:val="00FA7194"/>
    <w:rsid w:val="00FA7308"/>
    <w:rsid w:val="00FA7565"/>
    <w:rsid w:val="00FA762F"/>
    <w:rsid w:val="00FA7661"/>
    <w:rsid w:val="00FA76A2"/>
    <w:rsid w:val="00FA77A9"/>
    <w:rsid w:val="00FA78B8"/>
    <w:rsid w:val="00FA7C84"/>
    <w:rsid w:val="00FA7C8F"/>
    <w:rsid w:val="00FA7E71"/>
    <w:rsid w:val="00FB0097"/>
    <w:rsid w:val="00FB0513"/>
    <w:rsid w:val="00FB084A"/>
    <w:rsid w:val="00FB08D2"/>
    <w:rsid w:val="00FB0E40"/>
    <w:rsid w:val="00FB0F54"/>
    <w:rsid w:val="00FB12FB"/>
    <w:rsid w:val="00FB1476"/>
    <w:rsid w:val="00FB150F"/>
    <w:rsid w:val="00FB165B"/>
    <w:rsid w:val="00FB16D7"/>
    <w:rsid w:val="00FB1D69"/>
    <w:rsid w:val="00FB1DE6"/>
    <w:rsid w:val="00FB1E32"/>
    <w:rsid w:val="00FB1EE0"/>
    <w:rsid w:val="00FB1EEE"/>
    <w:rsid w:val="00FB1F2E"/>
    <w:rsid w:val="00FB220C"/>
    <w:rsid w:val="00FB2329"/>
    <w:rsid w:val="00FB24E4"/>
    <w:rsid w:val="00FB290B"/>
    <w:rsid w:val="00FB295C"/>
    <w:rsid w:val="00FB29B7"/>
    <w:rsid w:val="00FB2A30"/>
    <w:rsid w:val="00FB2AD5"/>
    <w:rsid w:val="00FB2C40"/>
    <w:rsid w:val="00FB2D37"/>
    <w:rsid w:val="00FB2E2F"/>
    <w:rsid w:val="00FB2EBB"/>
    <w:rsid w:val="00FB337F"/>
    <w:rsid w:val="00FB3412"/>
    <w:rsid w:val="00FB3414"/>
    <w:rsid w:val="00FB35AD"/>
    <w:rsid w:val="00FB37F0"/>
    <w:rsid w:val="00FB38EA"/>
    <w:rsid w:val="00FB3AC7"/>
    <w:rsid w:val="00FB3D14"/>
    <w:rsid w:val="00FB3D49"/>
    <w:rsid w:val="00FB3D51"/>
    <w:rsid w:val="00FB3D89"/>
    <w:rsid w:val="00FB412D"/>
    <w:rsid w:val="00FB416B"/>
    <w:rsid w:val="00FB4276"/>
    <w:rsid w:val="00FB45C0"/>
    <w:rsid w:val="00FB48AB"/>
    <w:rsid w:val="00FB4917"/>
    <w:rsid w:val="00FB4E62"/>
    <w:rsid w:val="00FB4F6E"/>
    <w:rsid w:val="00FB4FF9"/>
    <w:rsid w:val="00FB521B"/>
    <w:rsid w:val="00FB5476"/>
    <w:rsid w:val="00FB55A9"/>
    <w:rsid w:val="00FB57C8"/>
    <w:rsid w:val="00FB58EE"/>
    <w:rsid w:val="00FB5AC6"/>
    <w:rsid w:val="00FB5BAA"/>
    <w:rsid w:val="00FB631A"/>
    <w:rsid w:val="00FB65EF"/>
    <w:rsid w:val="00FB67A2"/>
    <w:rsid w:val="00FB67D0"/>
    <w:rsid w:val="00FB6AFD"/>
    <w:rsid w:val="00FB6BE5"/>
    <w:rsid w:val="00FB6C68"/>
    <w:rsid w:val="00FB6DAA"/>
    <w:rsid w:val="00FB6DEF"/>
    <w:rsid w:val="00FB7126"/>
    <w:rsid w:val="00FB7306"/>
    <w:rsid w:val="00FB73E6"/>
    <w:rsid w:val="00FB73F9"/>
    <w:rsid w:val="00FB7797"/>
    <w:rsid w:val="00FB782E"/>
    <w:rsid w:val="00FB78E8"/>
    <w:rsid w:val="00FB7FD9"/>
    <w:rsid w:val="00FC00FD"/>
    <w:rsid w:val="00FC02A2"/>
    <w:rsid w:val="00FC0492"/>
    <w:rsid w:val="00FC06FC"/>
    <w:rsid w:val="00FC0984"/>
    <w:rsid w:val="00FC0B0D"/>
    <w:rsid w:val="00FC0C9A"/>
    <w:rsid w:val="00FC0D69"/>
    <w:rsid w:val="00FC116B"/>
    <w:rsid w:val="00FC11DC"/>
    <w:rsid w:val="00FC12D6"/>
    <w:rsid w:val="00FC136C"/>
    <w:rsid w:val="00FC15C5"/>
    <w:rsid w:val="00FC1724"/>
    <w:rsid w:val="00FC1791"/>
    <w:rsid w:val="00FC17A9"/>
    <w:rsid w:val="00FC17FE"/>
    <w:rsid w:val="00FC192B"/>
    <w:rsid w:val="00FC1A5A"/>
    <w:rsid w:val="00FC1BAE"/>
    <w:rsid w:val="00FC1BFA"/>
    <w:rsid w:val="00FC223E"/>
    <w:rsid w:val="00FC226E"/>
    <w:rsid w:val="00FC2351"/>
    <w:rsid w:val="00FC24A3"/>
    <w:rsid w:val="00FC2599"/>
    <w:rsid w:val="00FC2771"/>
    <w:rsid w:val="00FC2AAC"/>
    <w:rsid w:val="00FC2CA7"/>
    <w:rsid w:val="00FC2EE8"/>
    <w:rsid w:val="00FC3258"/>
    <w:rsid w:val="00FC3622"/>
    <w:rsid w:val="00FC3676"/>
    <w:rsid w:val="00FC3723"/>
    <w:rsid w:val="00FC3815"/>
    <w:rsid w:val="00FC3822"/>
    <w:rsid w:val="00FC3866"/>
    <w:rsid w:val="00FC3996"/>
    <w:rsid w:val="00FC3AB0"/>
    <w:rsid w:val="00FC3B66"/>
    <w:rsid w:val="00FC3C48"/>
    <w:rsid w:val="00FC3C9A"/>
    <w:rsid w:val="00FC3D38"/>
    <w:rsid w:val="00FC3D8A"/>
    <w:rsid w:val="00FC3E2E"/>
    <w:rsid w:val="00FC3F25"/>
    <w:rsid w:val="00FC41BA"/>
    <w:rsid w:val="00FC42F8"/>
    <w:rsid w:val="00FC4540"/>
    <w:rsid w:val="00FC465C"/>
    <w:rsid w:val="00FC470E"/>
    <w:rsid w:val="00FC47E7"/>
    <w:rsid w:val="00FC4915"/>
    <w:rsid w:val="00FC4959"/>
    <w:rsid w:val="00FC49BE"/>
    <w:rsid w:val="00FC4A61"/>
    <w:rsid w:val="00FC4AEB"/>
    <w:rsid w:val="00FC4EA5"/>
    <w:rsid w:val="00FC4F0B"/>
    <w:rsid w:val="00FC5262"/>
    <w:rsid w:val="00FC5479"/>
    <w:rsid w:val="00FC54AB"/>
    <w:rsid w:val="00FC557D"/>
    <w:rsid w:val="00FC578F"/>
    <w:rsid w:val="00FC5824"/>
    <w:rsid w:val="00FC59D5"/>
    <w:rsid w:val="00FC5D95"/>
    <w:rsid w:val="00FC5E48"/>
    <w:rsid w:val="00FC5E63"/>
    <w:rsid w:val="00FC6407"/>
    <w:rsid w:val="00FC6591"/>
    <w:rsid w:val="00FC6B40"/>
    <w:rsid w:val="00FC6E4A"/>
    <w:rsid w:val="00FC6ED7"/>
    <w:rsid w:val="00FC6F12"/>
    <w:rsid w:val="00FC6FF9"/>
    <w:rsid w:val="00FC7070"/>
    <w:rsid w:val="00FC72A6"/>
    <w:rsid w:val="00FC72F7"/>
    <w:rsid w:val="00FC74D4"/>
    <w:rsid w:val="00FC7AF9"/>
    <w:rsid w:val="00FC7C4E"/>
    <w:rsid w:val="00FC7C5D"/>
    <w:rsid w:val="00FC7CC0"/>
    <w:rsid w:val="00FD033B"/>
    <w:rsid w:val="00FD0681"/>
    <w:rsid w:val="00FD0773"/>
    <w:rsid w:val="00FD0A02"/>
    <w:rsid w:val="00FD0B19"/>
    <w:rsid w:val="00FD0E4C"/>
    <w:rsid w:val="00FD0F66"/>
    <w:rsid w:val="00FD106F"/>
    <w:rsid w:val="00FD12B8"/>
    <w:rsid w:val="00FD13E8"/>
    <w:rsid w:val="00FD15D4"/>
    <w:rsid w:val="00FD1925"/>
    <w:rsid w:val="00FD1C5F"/>
    <w:rsid w:val="00FD1CAC"/>
    <w:rsid w:val="00FD1DD9"/>
    <w:rsid w:val="00FD1F6C"/>
    <w:rsid w:val="00FD1F7C"/>
    <w:rsid w:val="00FD2038"/>
    <w:rsid w:val="00FD2223"/>
    <w:rsid w:val="00FD2748"/>
    <w:rsid w:val="00FD2A82"/>
    <w:rsid w:val="00FD2B1C"/>
    <w:rsid w:val="00FD2B84"/>
    <w:rsid w:val="00FD2B97"/>
    <w:rsid w:val="00FD2D63"/>
    <w:rsid w:val="00FD2E67"/>
    <w:rsid w:val="00FD2EAF"/>
    <w:rsid w:val="00FD301A"/>
    <w:rsid w:val="00FD32E0"/>
    <w:rsid w:val="00FD3692"/>
    <w:rsid w:val="00FD3815"/>
    <w:rsid w:val="00FD3840"/>
    <w:rsid w:val="00FD3896"/>
    <w:rsid w:val="00FD38E4"/>
    <w:rsid w:val="00FD3902"/>
    <w:rsid w:val="00FD3A6F"/>
    <w:rsid w:val="00FD3AAD"/>
    <w:rsid w:val="00FD3C18"/>
    <w:rsid w:val="00FD3D4A"/>
    <w:rsid w:val="00FD3D4F"/>
    <w:rsid w:val="00FD3F22"/>
    <w:rsid w:val="00FD3FD9"/>
    <w:rsid w:val="00FD4178"/>
    <w:rsid w:val="00FD41F9"/>
    <w:rsid w:val="00FD42E9"/>
    <w:rsid w:val="00FD4769"/>
    <w:rsid w:val="00FD47DC"/>
    <w:rsid w:val="00FD49F6"/>
    <w:rsid w:val="00FD4BDD"/>
    <w:rsid w:val="00FD4C24"/>
    <w:rsid w:val="00FD4CCE"/>
    <w:rsid w:val="00FD4E6D"/>
    <w:rsid w:val="00FD4FD1"/>
    <w:rsid w:val="00FD525B"/>
    <w:rsid w:val="00FD53B0"/>
    <w:rsid w:val="00FD54A7"/>
    <w:rsid w:val="00FD56BF"/>
    <w:rsid w:val="00FD5AAC"/>
    <w:rsid w:val="00FD5ACE"/>
    <w:rsid w:val="00FD5BA6"/>
    <w:rsid w:val="00FD5C07"/>
    <w:rsid w:val="00FD5CAD"/>
    <w:rsid w:val="00FD5E69"/>
    <w:rsid w:val="00FD5FDE"/>
    <w:rsid w:val="00FD6020"/>
    <w:rsid w:val="00FD6066"/>
    <w:rsid w:val="00FD6138"/>
    <w:rsid w:val="00FD617F"/>
    <w:rsid w:val="00FD628D"/>
    <w:rsid w:val="00FD628E"/>
    <w:rsid w:val="00FD62E0"/>
    <w:rsid w:val="00FD65E9"/>
    <w:rsid w:val="00FD6693"/>
    <w:rsid w:val="00FD66F2"/>
    <w:rsid w:val="00FD6761"/>
    <w:rsid w:val="00FD6ABF"/>
    <w:rsid w:val="00FD6B19"/>
    <w:rsid w:val="00FD6BBE"/>
    <w:rsid w:val="00FD6D0E"/>
    <w:rsid w:val="00FD6E51"/>
    <w:rsid w:val="00FD6F20"/>
    <w:rsid w:val="00FD7002"/>
    <w:rsid w:val="00FD7096"/>
    <w:rsid w:val="00FD70B9"/>
    <w:rsid w:val="00FD72DB"/>
    <w:rsid w:val="00FD78A8"/>
    <w:rsid w:val="00FD78B4"/>
    <w:rsid w:val="00FD7E63"/>
    <w:rsid w:val="00FE036D"/>
    <w:rsid w:val="00FE0387"/>
    <w:rsid w:val="00FE0880"/>
    <w:rsid w:val="00FE0A88"/>
    <w:rsid w:val="00FE0B1B"/>
    <w:rsid w:val="00FE0BE3"/>
    <w:rsid w:val="00FE0C52"/>
    <w:rsid w:val="00FE0CDF"/>
    <w:rsid w:val="00FE0CED"/>
    <w:rsid w:val="00FE0E2B"/>
    <w:rsid w:val="00FE14F6"/>
    <w:rsid w:val="00FE150F"/>
    <w:rsid w:val="00FE15CB"/>
    <w:rsid w:val="00FE1663"/>
    <w:rsid w:val="00FE1C1D"/>
    <w:rsid w:val="00FE1E5E"/>
    <w:rsid w:val="00FE1ED4"/>
    <w:rsid w:val="00FE2085"/>
    <w:rsid w:val="00FE20AD"/>
    <w:rsid w:val="00FE21A4"/>
    <w:rsid w:val="00FE24B1"/>
    <w:rsid w:val="00FE25F0"/>
    <w:rsid w:val="00FE2686"/>
    <w:rsid w:val="00FE26BF"/>
    <w:rsid w:val="00FE273C"/>
    <w:rsid w:val="00FE29FB"/>
    <w:rsid w:val="00FE2BE9"/>
    <w:rsid w:val="00FE2CA0"/>
    <w:rsid w:val="00FE2E0A"/>
    <w:rsid w:val="00FE37DB"/>
    <w:rsid w:val="00FE38A5"/>
    <w:rsid w:val="00FE3939"/>
    <w:rsid w:val="00FE3D93"/>
    <w:rsid w:val="00FE3EA0"/>
    <w:rsid w:val="00FE3ECA"/>
    <w:rsid w:val="00FE3F20"/>
    <w:rsid w:val="00FE3F8D"/>
    <w:rsid w:val="00FE3FB5"/>
    <w:rsid w:val="00FE41A5"/>
    <w:rsid w:val="00FE433A"/>
    <w:rsid w:val="00FE4424"/>
    <w:rsid w:val="00FE45E2"/>
    <w:rsid w:val="00FE4640"/>
    <w:rsid w:val="00FE46F4"/>
    <w:rsid w:val="00FE4A0A"/>
    <w:rsid w:val="00FE4A70"/>
    <w:rsid w:val="00FE4BDB"/>
    <w:rsid w:val="00FE4EBF"/>
    <w:rsid w:val="00FE4ED8"/>
    <w:rsid w:val="00FE4FC9"/>
    <w:rsid w:val="00FE528B"/>
    <w:rsid w:val="00FE52AF"/>
    <w:rsid w:val="00FE5321"/>
    <w:rsid w:val="00FE548F"/>
    <w:rsid w:val="00FE5682"/>
    <w:rsid w:val="00FE576E"/>
    <w:rsid w:val="00FE589B"/>
    <w:rsid w:val="00FE5D1A"/>
    <w:rsid w:val="00FE5F3C"/>
    <w:rsid w:val="00FE5FAA"/>
    <w:rsid w:val="00FE6025"/>
    <w:rsid w:val="00FE6570"/>
    <w:rsid w:val="00FE6611"/>
    <w:rsid w:val="00FE69ED"/>
    <w:rsid w:val="00FE6BDE"/>
    <w:rsid w:val="00FE6C5A"/>
    <w:rsid w:val="00FE6DEA"/>
    <w:rsid w:val="00FE6F7B"/>
    <w:rsid w:val="00FE703F"/>
    <w:rsid w:val="00FE7041"/>
    <w:rsid w:val="00FE75CE"/>
    <w:rsid w:val="00FE76DF"/>
    <w:rsid w:val="00FE7AA1"/>
    <w:rsid w:val="00FE7B72"/>
    <w:rsid w:val="00FE7BEC"/>
    <w:rsid w:val="00FE7C40"/>
    <w:rsid w:val="00FE7EC8"/>
    <w:rsid w:val="00FF0186"/>
    <w:rsid w:val="00FF01C8"/>
    <w:rsid w:val="00FF02B8"/>
    <w:rsid w:val="00FF03BB"/>
    <w:rsid w:val="00FF0426"/>
    <w:rsid w:val="00FF0581"/>
    <w:rsid w:val="00FF058E"/>
    <w:rsid w:val="00FF0617"/>
    <w:rsid w:val="00FF0943"/>
    <w:rsid w:val="00FF0E45"/>
    <w:rsid w:val="00FF0FFB"/>
    <w:rsid w:val="00FF1074"/>
    <w:rsid w:val="00FF1175"/>
    <w:rsid w:val="00FF127E"/>
    <w:rsid w:val="00FF140F"/>
    <w:rsid w:val="00FF1475"/>
    <w:rsid w:val="00FF150F"/>
    <w:rsid w:val="00FF15A0"/>
    <w:rsid w:val="00FF1694"/>
    <w:rsid w:val="00FF1777"/>
    <w:rsid w:val="00FF19AE"/>
    <w:rsid w:val="00FF1CFA"/>
    <w:rsid w:val="00FF1D29"/>
    <w:rsid w:val="00FF1E63"/>
    <w:rsid w:val="00FF1F52"/>
    <w:rsid w:val="00FF24DB"/>
    <w:rsid w:val="00FF283D"/>
    <w:rsid w:val="00FF28BC"/>
    <w:rsid w:val="00FF2B87"/>
    <w:rsid w:val="00FF2C45"/>
    <w:rsid w:val="00FF2EC6"/>
    <w:rsid w:val="00FF2FF8"/>
    <w:rsid w:val="00FF3104"/>
    <w:rsid w:val="00FF3106"/>
    <w:rsid w:val="00FF3497"/>
    <w:rsid w:val="00FF34A4"/>
    <w:rsid w:val="00FF3B00"/>
    <w:rsid w:val="00FF3BDC"/>
    <w:rsid w:val="00FF3DA2"/>
    <w:rsid w:val="00FF4054"/>
    <w:rsid w:val="00FF43C5"/>
    <w:rsid w:val="00FF44F1"/>
    <w:rsid w:val="00FF45E6"/>
    <w:rsid w:val="00FF4726"/>
    <w:rsid w:val="00FF4760"/>
    <w:rsid w:val="00FF484F"/>
    <w:rsid w:val="00FF4AFE"/>
    <w:rsid w:val="00FF4B1B"/>
    <w:rsid w:val="00FF4C06"/>
    <w:rsid w:val="00FF4C21"/>
    <w:rsid w:val="00FF4CF2"/>
    <w:rsid w:val="00FF4D8C"/>
    <w:rsid w:val="00FF4E9D"/>
    <w:rsid w:val="00FF524F"/>
    <w:rsid w:val="00FF5282"/>
    <w:rsid w:val="00FF530C"/>
    <w:rsid w:val="00FF55A5"/>
    <w:rsid w:val="00FF57FA"/>
    <w:rsid w:val="00FF59A8"/>
    <w:rsid w:val="00FF59B7"/>
    <w:rsid w:val="00FF5A01"/>
    <w:rsid w:val="00FF5B5C"/>
    <w:rsid w:val="00FF5BCC"/>
    <w:rsid w:val="00FF5BD0"/>
    <w:rsid w:val="00FF5EDF"/>
    <w:rsid w:val="00FF60F4"/>
    <w:rsid w:val="00FF619B"/>
    <w:rsid w:val="00FF62E6"/>
    <w:rsid w:val="00FF63E1"/>
    <w:rsid w:val="00FF6427"/>
    <w:rsid w:val="00FF662F"/>
    <w:rsid w:val="00FF6689"/>
    <w:rsid w:val="00FF669C"/>
    <w:rsid w:val="00FF67EB"/>
    <w:rsid w:val="00FF6842"/>
    <w:rsid w:val="00FF6A8F"/>
    <w:rsid w:val="00FF6ACE"/>
    <w:rsid w:val="00FF6BBB"/>
    <w:rsid w:val="00FF6BD9"/>
    <w:rsid w:val="00FF6D73"/>
    <w:rsid w:val="00FF6E45"/>
    <w:rsid w:val="00FF6F45"/>
    <w:rsid w:val="00FF6F9F"/>
    <w:rsid w:val="00FF7038"/>
    <w:rsid w:val="00FF717C"/>
    <w:rsid w:val="00FF71C3"/>
    <w:rsid w:val="00FF7362"/>
    <w:rsid w:val="00FF76EC"/>
    <w:rsid w:val="00FF779D"/>
    <w:rsid w:val="00FF7ABE"/>
    <w:rsid w:val="00FF7D31"/>
  </w:rsids>
  <m:mathPr>
    <m:mathFont m:val="Cambria Math"/>
    <m:brkBin m:val="before"/>
    <m:brkBinSub m:val="--"/>
    <m:smallFrac m:val="off"/>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1137"/>
    <o:shapelayout v:ext="edit">
      <o:idmap v:ext="edit" data="1"/>
      <o:rules v:ext="edit">
        <o:r id="V:Rule3" type="callout" idref="#_x0000_s1136"/>
        <o:r id="V:Rule4" type="callout" idref="#_x0000_s1134"/>
        <o:r id="V:Rule5" type="callout" idref="#_x0000_s1133"/>
        <o:r id="V:Rule6" type="callout" idref="#_x0000_s1129"/>
        <o:r id="V:Rule7" type="callout" idref="#_x0000_s1132"/>
        <o:r id="V:Rule8" type="callout" idref="#_x0000_s1128"/>
        <o:r id="V:Rule9" type="callout" idref="#_x0000_s1131"/>
        <o:r id="V:Rule10" type="callout" idref="#_x0000_s1127"/>
        <o:r id="V:Rule11" type="callout" idref="#_x0000_s1135"/>
        <o:r id="V:Rule12" type="callout" idref="#_x0000_s1130"/>
        <o:r id="V:Rule13" type="connector" idref="#_x0000_s1144"/>
        <o:r id="V:Rule14" type="connector" idref="#_x0000_s114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caption" w:qFormat="1"/>
    <w:lsdException w:name="table of figures" w:uiPriority="99"/>
    <w:lsdException w:name="footnote reference" w:uiPriority="99"/>
    <w:lsdException w:name="Title" w:qFormat="1"/>
    <w:lsdException w:name="Body Text" w:uiPriority="99"/>
    <w:lsdException w:name="Subtitle" w:qFormat="1"/>
    <w:lsdException w:name="Hyperlink" w:uiPriority="99"/>
    <w:lsdException w:name="Strong" w:uiPriority="22"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y">
    <w:name w:val="Normal"/>
    <w:qFormat/>
    <w:rsid w:val="007F1C63"/>
    <w:rPr>
      <w:sz w:val="24"/>
      <w:szCs w:val="24"/>
    </w:rPr>
  </w:style>
  <w:style w:type="paragraph" w:styleId="Nadpis1">
    <w:name w:val="heading 1"/>
    <w:aliases w:val="01_Heading 1"/>
    <w:basedOn w:val="Normlny"/>
    <w:next w:val="Normlny"/>
    <w:link w:val="Nadpis1Char"/>
    <w:uiPriority w:val="9"/>
    <w:qFormat/>
    <w:rsid w:val="00C1088B"/>
    <w:pPr>
      <w:keepNext/>
      <w:numPr>
        <w:numId w:val="1"/>
      </w:numPr>
      <w:pBdr>
        <w:bottom w:val="single" w:sz="4" w:space="1" w:color="1F497D" w:themeColor="text2"/>
      </w:pBdr>
      <w:tabs>
        <w:tab w:val="clear" w:pos="851"/>
        <w:tab w:val="left" w:pos="709"/>
      </w:tabs>
      <w:spacing w:after="240"/>
      <w:ind w:left="709" w:hanging="709"/>
      <w:outlineLvl w:val="0"/>
    </w:pPr>
    <w:rPr>
      <w:rFonts w:ascii="Arial Narrow" w:hAnsi="Arial Narrow" w:cs="Arial"/>
      <w:b/>
      <w:bCs/>
      <w:color w:val="1F497D" w:themeColor="text2"/>
      <w:kern w:val="32"/>
      <w:sz w:val="26"/>
      <w:szCs w:val="32"/>
    </w:rPr>
  </w:style>
  <w:style w:type="paragraph" w:styleId="Nadpis2">
    <w:name w:val="heading 2"/>
    <w:aliases w:val="02_Heading 2"/>
    <w:basedOn w:val="Normlny"/>
    <w:next w:val="Normlny"/>
    <w:link w:val="Nadpis2Char"/>
    <w:qFormat/>
    <w:rsid w:val="00765DFA"/>
    <w:pPr>
      <w:keepNext/>
      <w:numPr>
        <w:ilvl w:val="1"/>
        <w:numId w:val="1"/>
      </w:numPr>
      <w:tabs>
        <w:tab w:val="clear" w:pos="851"/>
        <w:tab w:val="left" w:pos="709"/>
      </w:tabs>
      <w:spacing w:after="180"/>
      <w:ind w:left="709" w:hanging="709"/>
      <w:outlineLvl w:val="1"/>
    </w:pPr>
    <w:rPr>
      <w:rFonts w:ascii="Arial Narrow" w:hAnsi="Arial Narrow" w:cs="Arial"/>
      <w:b/>
      <w:bCs/>
      <w:iCs/>
      <w:color w:val="4F81BD" w:themeColor="accent1"/>
      <w:sz w:val="23"/>
      <w:szCs w:val="28"/>
    </w:rPr>
  </w:style>
  <w:style w:type="paragraph" w:styleId="Nadpis3">
    <w:name w:val="heading 3"/>
    <w:aliases w:val="03_Heading 3"/>
    <w:basedOn w:val="Normlny"/>
    <w:next w:val="Normlny"/>
    <w:link w:val="Nadpis3Char"/>
    <w:qFormat/>
    <w:rsid w:val="00031E1D"/>
    <w:pPr>
      <w:keepNext/>
      <w:numPr>
        <w:ilvl w:val="2"/>
        <w:numId w:val="1"/>
      </w:numPr>
      <w:tabs>
        <w:tab w:val="left" w:pos="709"/>
      </w:tabs>
      <w:spacing w:before="180" w:after="120"/>
      <w:ind w:left="709" w:hanging="709"/>
      <w:outlineLvl w:val="2"/>
    </w:pPr>
    <w:rPr>
      <w:rFonts w:ascii="Arial Narrow" w:hAnsi="Arial Narrow" w:cs="Arial"/>
      <w:b/>
      <w:bCs/>
      <w:color w:val="1F497D" w:themeColor="text2"/>
      <w:sz w:val="22"/>
      <w:szCs w:val="26"/>
    </w:rPr>
  </w:style>
  <w:style w:type="paragraph" w:styleId="Nadpis4">
    <w:name w:val="heading 4"/>
    <w:basedOn w:val="Normlny"/>
    <w:next w:val="Normlny"/>
    <w:link w:val="Nadpis4Char"/>
    <w:qFormat/>
    <w:rsid w:val="00740654"/>
    <w:pPr>
      <w:keepNext/>
      <w:numPr>
        <w:ilvl w:val="3"/>
        <w:numId w:val="18"/>
      </w:numPr>
      <w:tabs>
        <w:tab w:val="left" w:pos="709"/>
      </w:tabs>
      <w:spacing w:before="180" w:after="120"/>
      <w:outlineLvl w:val="3"/>
    </w:pPr>
    <w:rPr>
      <w:rFonts w:ascii="Arial Narrow" w:hAnsi="Arial Narrow"/>
      <w:b/>
      <w:bCs/>
      <w:i/>
      <w:color w:val="548DD4" w:themeColor="text2" w:themeTint="99"/>
      <w:sz w:val="22"/>
      <w:szCs w:val="28"/>
    </w:rPr>
  </w:style>
  <w:style w:type="paragraph" w:styleId="Nadpis5">
    <w:name w:val="heading 5"/>
    <w:aliases w:val="05_Heading 5"/>
    <w:basedOn w:val="Normlny"/>
    <w:next w:val="Normlny"/>
    <w:qFormat/>
    <w:rsid w:val="008B0901"/>
    <w:pPr>
      <w:numPr>
        <w:ilvl w:val="4"/>
        <w:numId w:val="1"/>
      </w:numPr>
      <w:spacing w:before="240" w:after="60"/>
      <w:outlineLvl w:val="4"/>
    </w:pPr>
    <w:rPr>
      <w:b/>
      <w:bCs/>
      <w:i/>
      <w:iCs/>
      <w:sz w:val="26"/>
      <w:szCs w:val="26"/>
    </w:rPr>
  </w:style>
  <w:style w:type="paragraph" w:styleId="Nadpis6">
    <w:name w:val="heading 6"/>
    <w:basedOn w:val="Normlny"/>
    <w:next w:val="Normlny"/>
    <w:link w:val="Nadpis6Char"/>
    <w:uiPriority w:val="9"/>
    <w:qFormat/>
    <w:rsid w:val="008B0901"/>
    <w:pPr>
      <w:numPr>
        <w:ilvl w:val="5"/>
        <w:numId w:val="1"/>
      </w:numPr>
      <w:spacing w:before="240" w:after="60"/>
      <w:outlineLvl w:val="5"/>
    </w:pPr>
    <w:rPr>
      <w:b/>
      <w:bCs/>
      <w:sz w:val="22"/>
      <w:szCs w:val="22"/>
    </w:rPr>
  </w:style>
  <w:style w:type="paragraph" w:styleId="Nadpis7">
    <w:name w:val="heading 7"/>
    <w:basedOn w:val="Normlny"/>
    <w:next w:val="Normlny"/>
    <w:link w:val="Nadpis7Char"/>
    <w:uiPriority w:val="9"/>
    <w:qFormat/>
    <w:rsid w:val="008B0901"/>
    <w:pPr>
      <w:numPr>
        <w:ilvl w:val="6"/>
        <w:numId w:val="1"/>
      </w:numPr>
      <w:spacing w:before="240" w:after="60"/>
      <w:outlineLvl w:val="6"/>
    </w:pPr>
  </w:style>
  <w:style w:type="paragraph" w:styleId="Nadpis8">
    <w:name w:val="heading 8"/>
    <w:basedOn w:val="Normlny"/>
    <w:next w:val="Normlny"/>
    <w:uiPriority w:val="9"/>
    <w:qFormat/>
    <w:rsid w:val="008B0901"/>
    <w:pPr>
      <w:numPr>
        <w:ilvl w:val="7"/>
        <w:numId w:val="1"/>
      </w:numPr>
      <w:spacing w:before="240" w:after="60"/>
      <w:outlineLvl w:val="7"/>
    </w:pPr>
    <w:rPr>
      <w:i/>
      <w:iCs/>
    </w:rPr>
  </w:style>
  <w:style w:type="paragraph" w:styleId="Nadpis9">
    <w:name w:val="heading 9"/>
    <w:basedOn w:val="Normlny"/>
    <w:next w:val="Normlny"/>
    <w:uiPriority w:val="9"/>
    <w:qFormat/>
    <w:rsid w:val="008B0901"/>
    <w:pPr>
      <w:numPr>
        <w:ilvl w:val="8"/>
        <w:numId w:val="1"/>
      </w:numPr>
      <w:spacing w:before="240" w:after="60"/>
      <w:outlineLvl w:val="8"/>
    </w:pPr>
    <w:rPr>
      <w:rFonts w:ascii="Arial" w:hAnsi="Arial" w:cs="Arial"/>
      <w:sz w:val="22"/>
      <w:szCs w:val="2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qFormat/>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01_Heading 1 Char"/>
    <w:basedOn w:val="Predvolenpsmoodseku"/>
    <w:link w:val="Nadpis1"/>
    <w:uiPriority w:val="9"/>
    <w:rsid w:val="00C1088B"/>
    <w:rPr>
      <w:rFonts w:ascii="Arial Narrow" w:hAnsi="Arial Narrow" w:cs="Arial"/>
      <w:b/>
      <w:bCs/>
      <w:color w:val="1F497D" w:themeColor="text2"/>
      <w:kern w:val="32"/>
      <w:sz w:val="26"/>
      <w:szCs w:val="32"/>
    </w:rPr>
  </w:style>
  <w:style w:type="paragraph" w:styleId="Obsah1">
    <w:name w:val="toc 1"/>
    <w:aliases w:val="Uroven_1"/>
    <w:basedOn w:val="Normlny"/>
    <w:next w:val="Normlny"/>
    <w:autoRedefine/>
    <w:uiPriority w:val="39"/>
    <w:qFormat/>
    <w:rsid w:val="00C1088B"/>
    <w:pPr>
      <w:pBdr>
        <w:bottom w:val="single" w:sz="2" w:space="0" w:color="auto"/>
      </w:pBdr>
      <w:tabs>
        <w:tab w:val="left" w:pos="567"/>
        <w:tab w:val="left" w:pos="9072"/>
      </w:tabs>
      <w:spacing w:before="240" w:after="180"/>
      <w:ind w:left="567" w:hanging="567"/>
    </w:pPr>
    <w:rPr>
      <w:rFonts w:cs="Arial"/>
      <w:b/>
      <w:bCs/>
      <w:caps/>
      <w:noProof/>
      <w:sz w:val="22"/>
    </w:rPr>
  </w:style>
  <w:style w:type="paragraph" w:styleId="Obsah2">
    <w:name w:val="toc 2"/>
    <w:basedOn w:val="Normlny"/>
    <w:next w:val="Normlny"/>
    <w:autoRedefine/>
    <w:uiPriority w:val="39"/>
    <w:qFormat/>
    <w:rsid w:val="00C1088B"/>
    <w:pPr>
      <w:tabs>
        <w:tab w:val="left" w:pos="567"/>
        <w:tab w:val="left" w:pos="9072"/>
      </w:tabs>
      <w:spacing w:before="180" w:after="120"/>
      <w:ind w:left="567" w:hanging="567"/>
    </w:pPr>
    <w:rPr>
      <w:b/>
      <w:bCs/>
      <w:sz w:val="23"/>
      <w:szCs w:val="20"/>
    </w:rPr>
  </w:style>
  <w:style w:type="paragraph" w:styleId="Obsah3">
    <w:name w:val="toc 3"/>
    <w:basedOn w:val="Normlny"/>
    <w:next w:val="Normlny"/>
    <w:autoRedefine/>
    <w:uiPriority w:val="39"/>
    <w:qFormat/>
    <w:rsid w:val="00C1088B"/>
    <w:pPr>
      <w:tabs>
        <w:tab w:val="left" w:pos="1418"/>
        <w:tab w:val="left" w:pos="9072"/>
      </w:tabs>
      <w:ind w:left="1134" w:hanging="567"/>
    </w:pPr>
    <w:rPr>
      <w:noProof/>
      <w:sz w:val="22"/>
      <w:szCs w:val="20"/>
    </w:rPr>
  </w:style>
  <w:style w:type="paragraph" w:styleId="Pta">
    <w:name w:val="footer"/>
    <w:basedOn w:val="Normlny"/>
    <w:rsid w:val="00EE33DF"/>
    <w:pPr>
      <w:tabs>
        <w:tab w:val="center" w:pos="4536"/>
        <w:tab w:val="right" w:pos="9072"/>
      </w:tabs>
    </w:pPr>
  </w:style>
  <w:style w:type="paragraph" w:styleId="Zkladntext2">
    <w:name w:val="Body Text 2"/>
    <w:basedOn w:val="Normlny"/>
    <w:semiHidden/>
    <w:rsid w:val="00D72824"/>
    <w:pPr>
      <w:jc w:val="both"/>
    </w:pPr>
  </w:style>
  <w:style w:type="paragraph" w:styleId="Zkladntext">
    <w:name w:val="Body Text"/>
    <w:basedOn w:val="Normlny"/>
    <w:link w:val="ZkladntextChar"/>
    <w:uiPriority w:val="99"/>
    <w:rsid w:val="00D72824"/>
    <w:pPr>
      <w:spacing w:after="120"/>
    </w:pPr>
  </w:style>
  <w:style w:type="paragraph" w:styleId="Hlavika">
    <w:name w:val="header"/>
    <w:basedOn w:val="Normlny"/>
    <w:link w:val="HlavikaChar"/>
    <w:uiPriority w:val="99"/>
    <w:rsid w:val="00710F2E"/>
    <w:pPr>
      <w:tabs>
        <w:tab w:val="center" w:pos="4536"/>
        <w:tab w:val="right" w:pos="9072"/>
      </w:tabs>
    </w:pPr>
  </w:style>
  <w:style w:type="paragraph" w:styleId="Textbubliny">
    <w:name w:val="Balloon Text"/>
    <w:basedOn w:val="Normlny"/>
    <w:autoRedefine/>
    <w:semiHidden/>
    <w:rsid w:val="00C37958"/>
    <w:rPr>
      <w:rFonts w:ascii="Tahoma" w:hAnsi="Tahoma" w:cs="Tahoma"/>
      <w:sz w:val="28"/>
      <w:szCs w:val="16"/>
    </w:rPr>
  </w:style>
  <w:style w:type="paragraph" w:customStyle="1" w:styleId="Styl1">
    <w:name w:val="Styl1"/>
    <w:basedOn w:val="Normlny"/>
    <w:semiHidden/>
    <w:rsid w:val="00C37958"/>
    <w:pPr>
      <w:widowControl w:val="0"/>
      <w:tabs>
        <w:tab w:val="left" w:pos="1792"/>
      </w:tabs>
      <w:adjustRightInd w:val="0"/>
      <w:ind w:left="1418" w:hanging="1418"/>
      <w:jc w:val="both"/>
      <w:textAlignment w:val="baseline"/>
    </w:pPr>
    <w:rPr>
      <w:b/>
      <w:sz w:val="28"/>
      <w:szCs w:val="28"/>
    </w:rPr>
  </w:style>
  <w:style w:type="paragraph" w:customStyle="1" w:styleId="Styl2">
    <w:name w:val="Styl2"/>
    <w:basedOn w:val="Normlny"/>
    <w:semiHidden/>
    <w:rsid w:val="00C37958"/>
    <w:pPr>
      <w:pageBreakBefore/>
      <w:widowControl w:val="0"/>
      <w:tabs>
        <w:tab w:val="left" w:pos="1792"/>
      </w:tabs>
      <w:adjustRightInd w:val="0"/>
      <w:ind w:left="1418" w:hanging="1418"/>
      <w:jc w:val="both"/>
      <w:textAlignment w:val="baseline"/>
    </w:pPr>
    <w:rPr>
      <w:b/>
      <w:sz w:val="28"/>
      <w:szCs w:val="28"/>
    </w:rPr>
  </w:style>
  <w:style w:type="paragraph" w:customStyle="1" w:styleId="Styl4">
    <w:name w:val="Styl4"/>
    <w:basedOn w:val="Nadpis1"/>
    <w:semiHidden/>
    <w:rsid w:val="00C37958"/>
    <w:pPr>
      <w:pageBreakBefore/>
      <w:widowControl w:val="0"/>
      <w:numPr>
        <w:numId w:val="0"/>
      </w:numPr>
      <w:tabs>
        <w:tab w:val="left" w:pos="851"/>
        <w:tab w:val="left" w:pos="3600"/>
      </w:tabs>
      <w:adjustRightInd w:val="0"/>
      <w:spacing w:after="0"/>
      <w:ind w:left="3600" w:hanging="3600"/>
      <w:jc w:val="both"/>
      <w:textAlignment w:val="baseline"/>
    </w:pPr>
    <w:rPr>
      <w:rFonts w:cs="Times New Roman"/>
      <w:kern w:val="0"/>
      <w:szCs w:val="28"/>
      <w:lang w:eastAsia="cs-CZ"/>
    </w:rPr>
  </w:style>
  <w:style w:type="paragraph" w:customStyle="1" w:styleId="uvod">
    <w:name w:val="uvod"/>
    <w:basedOn w:val="Normlny"/>
    <w:semiHidden/>
    <w:rsid w:val="00C37958"/>
    <w:pPr>
      <w:widowControl w:val="0"/>
      <w:tabs>
        <w:tab w:val="left" w:pos="1792"/>
      </w:tabs>
      <w:adjustRightInd w:val="0"/>
      <w:ind w:left="1418" w:hanging="1418"/>
      <w:jc w:val="both"/>
      <w:textAlignment w:val="baseline"/>
    </w:pPr>
    <w:rPr>
      <w:b/>
      <w:sz w:val="28"/>
      <w:szCs w:val="28"/>
    </w:rPr>
  </w:style>
  <w:style w:type="paragraph" w:customStyle="1" w:styleId="Styl5">
    <w:name w:val="Styl5"/>
    <w:basedOn w:val="Nadpis1"/>
    <w:semiHidden/>
    <w:rsid w:val="00C37958"/>
    <w:pPr>
      <w:pageBreakBefore/>
      <w:widowControl w:val="0"/>
      <w:numPr>
        <w:numId w:val="0"/>
      </w:numPr>
      <w:tabs>
        <w:tab w:val="left" w:pos="851"/>
        <w:tab w:val="left" w:pos="3600"/>
      </w:tabs>
      <w:adjustRightInd w:val="0"/>
      <w:spacing w:after="0"/>
      <w:ind w:left="3600" w:hanging="3600"/>
      <w:jc w:val="both"/>
      <w:textAlignment w:val="baseline"/>
    </w:pPr>
    <w:rPr>
      <w:rFonts w:cs="Times New Roman"/>
      <w:kern w:val="0"/>
      <w:szCs w:val="28"/>
      <w:lang w:eastAsia="cs-CZ"/>
    </w:rPr>
  </w:style>
  <w:style w:type="paragraph" w:customStyle="1" w:styleId="Specificky">
    <w:name w:val="Specificky"/>
    <w:basedOn w:val="Nadpis1"/>
    <w:semiHidden/>
    <w:rsid w:val="00C37958"/>
    <w:pPr>
      <w:pageBreakBefore/>
      <w:widowControl w:val="0"/>
      <w:numPr>
        <w:numId w:val="0"/>
      </w:numPr>
      <w:tabs>
        <w:tab w:val="left" w:pos="851"/>
        <w:tab w:val="left" w:pos="3600"/>
      </w:tabs>
      <w:adjustRightInd w:val="0"/>
      <w:spacing w:after="0"/>
      <w:ind w:left="3600" w:hanging="3600"/>
      <w:jc w:val="both"/>
      <w:textAlignment w:val="baseline"/>
    </w:pPr>
    <w:rPr>
      <w:rFonts w:cs="Times New Roman"/>
      <w:kern w:val="0"/>
      <w:szCs w:val="28"/>
      <w:lang w:eastAsia="cs-CZ"/>
    </w:rPr>
  </w:style>
  <w:style w:type="paragraph" w:styleId="Obsah4">
    <w:name w:val="toc 4"/>
    <w:basedOn w:val="Normlny"/>
    <w:next w:val="Normlny"/>
    <w:autoRedefine/>
    <w:uiPriority w:val="39"/>
    <w:rsid w:val="00486EB9"/>
    <w:pPr>
      <w:tabs>
        <w:tab w:val="left" w:pos="567"/>
        <w:tab w:val="left" w:pos="9072"/>
      </w:tabs>
      <w:ind w:left="1134" w:hanging="567"/>
    </w:pPr>
    <w:rPr>
      <w:sz w:val="22"/>
      <w:szCs w:val="20"/>
    </w:rPr>
  </w:style>
  <w:style w:type="table" w:styleId="Mriekatabuky">
    <w:name w:val="Table Grid"/>
    <w:aliases w:val="Deloitte table 3"/>
    <w:basedOn w:val="Normlnatabuka"/>
    <w:rsid w:val="00C37958"/>
    <w:pPr>
      <w:ind w:left="108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mkypodiarou">
    <w:name w:val="footnote text"/>
    <w:aliases w:val="Text poznámky pod čiarou 007,_Poznámka pod čiarou,Text poznámky pod èiarou 007,Stinking Styles2,Tekst przypisu- dokt,Char Char Char,Char Char Char Char Char Char Char Char Char,Char Char Ch,Car"/>
    <w:basedOn w:val="Normlny"/>
    <w:link w:val="TextpoznmkypodiarouChar"/>
    <w:uiPriority w:val="99"/>
    <w:rsid w:val="00C37958"/>
    <w:rPr>
      <w:sz w:val="20"/>
      <w:szCs w:val="20"/>
    </w:rPr>
  </w:style>
  <w:style w:type="paragraph" w:customStyle="1" w:styleId="TableText">
    <w:name w:val="Table Text"/>
    <w:basedOn w:val="Normlny"/>
    <w:semiHidden/>
    <w:rsid w:val="00C37958"/>
    <w:pPr>
      <w:spacing w:before="60"/>
    </w:pPr>
    <w:rPr>
      <w:rFonts w:ascii="Arial" w:hAnsi="Arial"/>
      <w:spacing w:val="-5"/>
      <w:sz w:val="16"/>
      <w:szCs w:val="20"/>
      <w:lang w:val="en-US" w:eastAsia="en-US"/>
    </w:rPr>
  </w:style>
  <w:style w:type="paragraph" w:styleId="Popis">
    <w:name w:val="caption"/>
    <w:basedOn w:val="Normlny"/>
    <w:next w:val="Zkladntext"/>
    <w:qFormat/>
    <w:rsid w:val="00C37958"/>
    <w:pPr>
      <w:keepNext/>
      <w:spacing w:before="60" w:after="240" w:line="220" w:lineRule="atLeast"/>
      <w:ind w:left="1134"/>
    </w:pPr>
    <w:rPr>
      <w:rFonts w:ascii="Arial Narrow" w:hAnsi="Arial Narrow"/>
      <w:sz w:val="18"/>
      <w:szCs w:val="20"/>
      <w:lang w:val="en-GB" w:eastAsia="en-US"/>
    </w:rPr>
  </w:style>
  <w:style w:type="paragraph" w:customStyle="1" w:styleId="Odrka1">
    <w:name w:val="Odráka 1"/>
    <w:basedOn w:val="Normlny"/>
    <w:semiHidden/>
    <w:rsid w:val="00C37958"/>
    <w:pPr>
      <w:widowControl w:val="0"/>
      <w:spacing w:before="60" w:line="240" w:lineRule="atLeast"/>
      <w:ind w:left="284" w:hanging="284"/>
      <w:jc w:val="both"/>
    </w:pPr>
    <w:rPr>
      <w:rFonts w:ascii="Arial" w:hAnsi="Arial"/>
      <w:szCs w:val="20"/>
      <w:lang w:eastAsia="cs-CZ"/>
    </w:rPr>
  </w:style>
  <w:style w:type="paragraph" w:styleId="Textkomentra">
    <w:name w:val="annotation text"/>
    <w:basedOn w:val="Normlny"/>
    <w:link w:val="TextkomentraChar"/>
    <w:uiPriority w:val="99"/>
    <w:rsid w:val="00C37958"/>
    <w:rPr>
      <w:sz w:val="20"/>
      <w:szCs w:val="20"/>
    </w:rPr>
  </w:style>
  <w:style w:type="paragraph" w:styleId="Predmetkomentra">
    <w:name w:val="annotation subject"/>
    <w:basedOn w:val="Textkomentra"/>
    <w:next w:val="Textkomentra"/>
    <w:semiHidden/>
    <w:rsid w:val="00C37958"/>
    <w:rPr>
      <w:b/>
      <w:bCs/>
    </w:rPr>
  </w:style>
  <w:style w:type="paragraph" w:styleId="Obsah5">
    <w:name w:val="toc 5"/>
    <w:basedOn w:val="Normlny"/>
    <w:next w:val="Normlny"/>
    <w:autoRedefine/>
    <w:uiPriority w:val="39"/>
    <w:rsid w:val="007F1F71"/>
    <w:pPr>
      <w:tabs>
        <w:tab w:val="left" w:pos="567"/>
        <w:tab w:val="left" w:pos="9072"/>
      </w:tabs>
      <w:ind w:left="567"/>
    </w:pPr>
    <w:rPr>
      <w:b/>
      <w:sz w:val="23"/>
      <w:szCs w:val="20"/>
    </w:rPr>
  </w:style>
  <w:style w:type="paragraph" w:styleId="Obsah6">
    <w:name w:val="toc 6"/>
    <w:basedOn w:val="Normlny"/>
    <w:next w:val="Normlny"/>
    <w:autoRedefine/>
    <w:uiPriority w:val="39"/>
    <w:rsid w:val="00C37958"/>
    <w:pPr>
      <w:ind w:left="960"/>
    </w:pPr>
    <w:rPr>
      <w:sz w:val="20"/>
      <w:szCs w:val="20"/>
    </w:rPr>
  </w:style>
  <w:style w:type="paragraph" w:styleId="Obsah7">
    <w:name w:val="toc 7"/>
    <w:basedOn w:val="Normlny"/>
    <w:next w:val="Normlny"/>
    <w:autoRedefine/>
    <w:uiPriority w:val="39"/>
    <w:rsid w:val="00C37958"/>
    <w:pPr>
      <w:ind w:left="1200"/>
    </w:pPr>
    <w:rPr>
      <w:sz w:val="20"/>
      <w:szCs w:val="20"/>
    </w:rPr>
  </w:style>
  <w:style w:type="paragraph" w:styleId="Obsah8">
    <w:name w:val="toc 8"/>
    <w:basedOn w:val="Normlny"/>
    <w:next w:val="Normlny"/>
    <w:autoRedefine/>
    <w:uiPriority w:val="39"/>
    <w:rsid w:val="00C37958"/>
    <w:pPr>
      <w:ind w:left="1440"/>
    </w:pPr>
    <w:rPr>
      <w:sz w:val="20"/>
      <w:szCs w:val="20"/>
    </w:rPr>
  </w:style>
  <w:style w:type="paragraph" w:styleId="Obsah9">
    <w:name w:val="toc 9"/>
    <w:basedOn w:val="Normlny"/>
    <w:next w:val="Normlny"/>
    <w:autoRedefine/>
    <w:uiPriority w:val="39"/>
    <w:rsid w:val="00C37958"/>
    <w:pPr>
      <w:ind w:left="1680"/>
    </w:pPr>
    <w:rPr>
      <w:sz w:val="20"/>
      <w:szCs w:val="20"/>
    </w:rPr>
  </w:style>
  <w:style w:type="table" w:customStyle="1" w:styleId="Mkatabulky1">
    <w:name w:val="Mřížka tabulky1"/>
    <w:basedOn w:val="Normlnatabuka"/>
    <w:next w:val="Mriekatabuky"/>
    <w:semiHidden/>
    <w:rsid w:val="00C379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katabulky2">
    <w:name w:val="Mřížka tabulky2"/>
    <w:basedOn w:val="Normlnatabuka"/>
    <w:next w:val="Mriekatabuky"/>
    <w:semiHidden/>
    <w:rsid w:val="00C379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katabulky3">
    <w:name w:val="Mřížka tabulky3"/>
    <w:basedOn w:val="Normlnatabuka"/>
    <w:next w:val="Mriekatabuky"/>
    <w:semiHidden/>
    <w:rsid w:val="00C379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katabulky4">
    <w:name w:val="Mřížka tabulky4"/>
    <w:basedOn w:val="Normlnatabuka"/>
    <w:next w:val="Mriekatabuky"/>
    <w:semiHidden/>
    <w:rsid w:val="00C379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Profesionlnatabuka">
    <w:name w:val="Table Professional"/>
    <w:basedOn w:val="Normlnatabuka"/>
    <w:semiHidden/>
    <w:rsid w:val="00C37958"/>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Zarkazkladnhotextu">
    <w:name w:val="Body Text Indent"/>
    <w:basedOn w:val="Normlny"/>
    <w:semiHidden/>
    <w:rsid w:val="00C37958"/>
    <w:pPr>
      <w:spacing w:after="120"/>
      <w:ind w:left="283"/>
    </w:pPr>
  </w:style>
  <w:style w:type="table" w:customStyle="1" w:styleId="Mkatabulky5">
    <w:name w:val="Mřížka tabulky5"/>
    <w:basedOn w:val="Normlnatabuka"/>
    <w:next w:val="Mriekatabuky"/>
    <w:semiHidden/>
    <w:rsid w:val="00C379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katabulky6">
    <w:name w:val="Mřížka tabulky6"/>
    <w:basedOn w:val="Normlnatabuka"/>
    <w:next w:val="Mriekatabuky"/>
    <w:semiHidden/>
    <w:rsid w:val="00C379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text0">
    <w:name w:val="Table text"/>
    <w:basedOn w:val="Normlny"/>
    <w:semiHidden/>
    <w:rsid w:val="00C37958"/>
    <w:pPr>
      <w:jc w:val="both"/>
    </w:pPr>
    <w:rPr>
      <w:rFonts w:ascii="Arial" w:hAnsi="Arial"/>
      <w:spacing w:val="-5"/>
      <w:sz w:val="20"/>
      <w:szCs w:val="20"/>
      <w:lang w:val="en-GB" w:eastAsia="en-US"/>
    </w:rPr>
  </w:style>
  <w:style w:type="paragraph" w:customStyle="1" w:styleId="Odstav-neod">
    <w:name w:val="Odstav-neod"/>
    <w:basedOn w:val="Normlny"/>
    <w:semiHidden/>
    <w:rsid w:val="00C37958"/>
    <w:pPr>
      <w:jc w:val="both"/>
    </w:pPr>
    <w:rPr>
      <w:rFonts w:cs="Mangal"/>
      <w:lang w:eastAsia="cs-CZ" w:bidi="sa-IN"/>
    </w:rPr>
  </w:style>
  <w:style w:type="paragraph" w:customStyle="1" w:styleId="Odrky">
    <w:name w:val="Odrážky"/>
    <w:basedOn w:val="Normlny"/>
    <w:semiHidden/>
    <w:rsid w:val="00C37958"/>
    <w:pPr>
      <w:tabs>
        <w:tab w:val="left" w:pos="360"/>
        <w:tab w:val="num" w:pos="720"/>
      </w:tabs>
      <w:spacing w:before="120"/>
      <w:ind w:left="720" w:hanging="360"/>
      <w:jc w:val="both"/>
    </w:pPr>
    <w:rPr>
      <w:szCs w:val="20"/>
      <w:lang w:val="cs-CZ" w:eastAsia="cs-CZ"/>
    </w:rPr>
  </w:style>
  <w:style w:type="paragraph" w:customStyle="1" w:styleId="slnormal12">
    <w:name w:val="slnormal12"/>
    <w:basedOn w:val="Normlny"/>
    <w:semiHidden/>
    <w:rsid w:val="00C37958"/>
    <w:pPr>
      <w:widowControl w:val="0"/>
      <w:spacing w:before="120"/>
    </w:pPr>
    <w:rPr>
      <w:snapToGrid w:val="0"/>
      <w:szCs w:val="20"/>
      <w:lang w:eastAsia="en-US"/>
    </w:rPr>
  </w:style>
  <w:style w:type="paragraph" w:customStyle="1" w:styleId="tlRiadkovanie15riadka">
    <w:name w:val="Štýl Riadkovanie:  15 riadka"/>
    <w:basedOn w:val="Normlny"/>
    <w:semiHidden/>
    <w:rsid w:val="00C37958"/>
    <w:pPr>
      <w:spacing w:after="120" w:line="360" w:lineRule="auto"/>
      <w:jc w:val="both"/>
    </w:pPr>
    <w:rPr>
      <w:rFonts w:ascii="Arial" w:hAnsi="Arial"/>
      <w:sz w:val="22"/>
      <w:szCs w:val="20"/>
    </w:rPr>
  </w:style>
  <w:style w:type="paragraph" w:customStyle="1" w:styleId="tlArial11ptPodaokrajaRiadkovanie15riadka">
    <w:name w:val="Štýl Arial 11 pt Podľa okraja Riadkovanie:  15 riadka"/>
    <w:basedOn w:val="Normlny"/>
    <w:semiHidden/>
    <w:rsid w:val="00C37958"/>
    <w:pPr>
      <w:spacing w:after="120" w:line="360" w:lineRule="auto"/>
      <w:jc w:val="both"/>
    </w:pPr>
    <w:rPr>
      <w:rFonts w:ascii="Arial" w:hAnsi="Arial"/>
      <w:sz w:val="22"/>
      <w:szCs w:val="20"/>
    </w:rPr>
  </w:style>
  <w:style w:type="paragraph" w:customStyle="1" w:styleId="EntRefer">
    <w:name w:val="EntRefer"/>
    <w:basedOn w:val="Normlny"/>
    <w:semiHidden/>
    <w:rsid w:val="00C37958"/>
    <w:pPr>
      <w:widowControl w:val="0"/>
    </w:pPr>
    <w:rPr>
      <w:b/>
      <w:szCs w:val="20"/>
      <w:lang w:eastAsia="fr-BE"/>
    </w:rPr>
  </w:style>
  <w:style w:type="paragraph" w:customStyle="1" w:styleId="Point0">
    <w:name w:val="Point 0"/>
    <w:basedOn w:val="Normlny"/>
    <w:semiHidden/>
    <w:rsid w:val="00C37958"/>
    <w:pPr>
      <w:spacing w:before="120" w:after="120"/>
      <w:ind w:left="851" w:hanging="851"/>
      <w:jc w:val="both"/>
    </w:pPr>
    <w:rPr>
      <w:szCs w:val="20"/>
      <w:lang w:eastAsia="fr-BE"/>
    </w:rPr>
  </w:style>
  <w:style w:type="paragraph" w:customStyle="1" w:styleId="EntLogo">
    <w:name w:val="EntLogo"/>
    <w:basedOn w:val="Normlny"/>
    <w:next w:val="Normlny"/>
    <w:semiHidden/>
    <w:rsid w:val="00C37958"/>
    <w:pPr>
      <w:widowControl w:val="0"/>
      <w:spacing w:line="360" w:lineRule="auto"/>
    </w:pPr>
    <w:rPr>
      <w:b/>
      <w:szCs w:val="20"/>
      <w:lang w:eastAsia="fr-BE"/>
    </w:rPr>
  </w:style>
  <w:style w:type="paragraph" w:styleId="Zkladntext3">
    <w:name w:val="Body Text 3"/>
    <w:basedOn w:val="Normlny"/>
    <w:semiHidden/>
    <w:rsid w:val="00C37958"/>
    <w:pPr>
      <w:spacing w:after="120"/>
    </w:pPr>
    <w:rPr>
      <w:sz w:val="16"/>
      <w:szCs w:val="16"/>
      <w:lang w:eastAsia="cs-CZ"/>
    </w:rPr>
  </w:style>
  <w:style w:type="paragraph" w:customStyle="1" w:styleId="BodyText22">
    <w:name w:val="Body Text 22"/>
    <w:basedOn w:val="Normlny"/>
    <w:semiHidden/>
    <w:rsid w:val="00C37958"/>
    <w:pPr>
      <w:widowControl w:val="0"/>
      <w:jc w:val="both"/>
    </w:pPr>
    <w:rPr>
      <w:snapToGrid w:val="0"/>
      <w:szCs w:val="20"/>
      <w:lang w:eastAsia="cs-CZ"/>
    </w:rPr>
  </w:style>
  <w:style w:type="paragraph" w:customStyle="1" w:styleId="Zkladntextb">
    <w:name w:val="Základný text.b"/>
    <w:basedOn w:val="Normlny"/>
    <w:semiHidden/>
    <w:rsid w:val="00C37958"/>
    <w:pPr>
      <w:autoSpaceDE w:val="0"/>
      <w:autoSpaceDN w:val="0"/>
      <w:spacing w:after="240" w:line="240" w:lineRule="atLeast"/>
      <w:ind w:left="1134"/>
      <w:jc w:val="both"/>
    </w:pPr>
    <w:rPr>
      <w:rFonts w:ascii="Arial" w:hAnsi="Arial"/>
      <w:spacing w:val="-5"/>
      <w:sz w:val="20"/>
      <w:szCs w:val="20"/>
      <w:lang w:val="en-GB" w:eastAsia="en-US"/>
    </w:rPr>
  </w:style>
  <w:style w:type="paragraph" w:styleId="Zoznamsodrkami">
    <w:name w:val="List Bullet"/>
    <w:basedOn w:val="Zoznam"/>
    <w:autoRedefine/>
    <w:semiHidden/>
    <w:rsid w:val="00C37958"/>
    <w:pPr>
      <w:spacing w:after="120" w:line="240" w:lineRule="atLeast"/>
      <w:ind w:left="360" w:firstLine="0"/>
      <w:jc w:val="both"/>
    </w:pPr>
    <w:rPr>
      <w:b/>
      <w:spacing w:val="-5"/>
      <w:lang w:eastAsia="en-US"/>
    </w:rPr>
  </w:style>
  <w:style w:type="paragraph" w:styleId="Zoznam">
    <w:name w:val="List"/>
    <w:basedOn w:val="Normlny"/>
    <w:semiHidden/>
    <w:rsid w:val="00C37958"/>
    <w:pPr>
      <w:ind w:left="283" w:hanging="283"/>
    </w:pPr>
  </w:style>
  <w:style w:type="paragraph" w:styleId="Normlnywebov">
    <w:name w:val="Normal (Web)"/>
    <w:basedOn w:val="Normlny"/>
    <w:rsid w:val="00C37958"/>
    <w:pPr>
      <w:spacing w:before="100" w:beforeAutospacing="1" w:after="100" w:afterAutospacing="1"/>
    </w:pPr>
    <w:rPr>
      <w:rFonts w:ascii="Verdana" w:hAnsi="Verdana"/>
      <w:color w:val="000000"/>
      <w:sz w:val="17"/>
      <w:szCs w:val="17"/>
      <w:lang w:val="cs-CZ" w:eastAsia="cs-CZ"/>
    </w:rPr>
  </w:style>
  <w:style w:type="paragraph" w:customStyle="1" w:styleId="Odstavec">
    <w:name w:val="Odstavec"/>
    <w:basedOn w:val="Normlny"/>
    <w:semiHidden/>
    <w:rsid w:val="00C37958"/>
    <w:pPr>
      <w:spacing w:before="120" w:after="20" w:line="276" w:lineRule="auto"/>
      <w:ind w:firstLine="709"/>
      <w:jc w:val="both"/>
    </w:pPr>
    <w:rPr>
      <w:lang w:val="cs-CZ" w:eastAsia="cs-CZ"/>
    </w:rPr>
  </w:style>
  <w:style w:type="character" w:customStyle="1" w:styleId="bChar3">
    <w:name w:val="b Char3"/>
    <w:aliases w:val="Základní text1 Char2,b Char Char Char Char3,b2,Základní text1 Char Char Char4,b Char Char Char Char4"/>
    <w:basedOn w:val="Predvolenpsmoodseku"/>
    <w:semiHidden/>
    <w:rsid w:val="00C37958"/>
    <w:rPr>
      <w:rFonts w:ascii="Arial" w:hAnsi="Arial"/>
      <w:bCs/>
      <w:sz w:val="22"/>
      <w:szCs w:val="22"/>
      <w:lang w:val="en-GB" w:eastAsia="en-US" w:bidi="ar-SA"/>
    </w:rPr>
  </w:style>
  <w:style w:type="table" w:customStyle="1" w:styleId="Mkatabulky7">
    <w:name w:val="Mřížka tabulky7"/>
    <w:basedOn w:val="Normlnatabuka"/>
    <w:next w:val="Mriekatabuky"/>
    <w:semiHidden/>
    <w:rsid w:val="00C379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katabulky8">
    <w:name w:val="Mřížka tabulky8"/>
    <w:basedOn w:val="Normlnatabuka"/>
    <w:next w:val="Mriekatabuky"/>
    <w:semiHidden/>
    <w:rsid w:val="00C379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katabulky9">
    <w:name w:val="Mřížka tabulky9"/>
    <w:basedOn w:val="Normlnatabuka"/>
    <w:next w:val="Mriekatabuky"/>
    <w:semiHidden/>
    <w:rsid w:val="00C379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lnodstavec">
    <w:name w:val="Normální odstavec"/>
    <w:basedOn w:val="Normlny"/>
    <w:link w:val="NormlnodstavecChar"/>
    <w:semiHidden/>
    <w:rsid w:val="00C37958"/>
    <w:pPr>
      <w:widowControl w:val="0"/>
      <w:numPr>
        <w:ilvl w:val="12"/>
      </w:numPr>
      <w:adjustRightInd w:val="0"/>
      <w:spacing w:before="120" w:line="240" w:lineRule="atLeast"/>
      <w:ind w:firstLine="708"/>
      <w:jc w:val="both"/>
      <w:textAlignment w:val="baseline"/>
    </w:pPr>
    <w:rPr>
      <w:snapToGrid w:val="0"/>
      <w:szCs w:val="20"/>
      <w:lang w:eastAsia="cs-CZ"/>
    </w:rPr>
  </w:style>
  <w:style w:type="table" w:customStyle="1" w:styleId="TabulkaPalik">
    <w:name w:val="Tabulka_Palik"/>
    <w:basedOn w:val="Normlnatabuka"/>
    <w:semiHidden/>
    <w:rsid w:val="00C37958"/>
    <w:tblP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top w:w="0" w:type="dxa"/>
        <w:left w:w="108" w:type="dxa"/>
        <w:bottom w:w="0" w:type="dxa"/>
        <w:right w:w="108" w:type="dxa"/>
      </w:tblCellMar>
    </w:tblPr>
  </w:style>
  <w:style w:type="paragraph" w:styleId="truktradokumentu">
    <w:name w:val="Document Map"/>
    <w:basedOn w:val="Normlny"/>
    <w:semiHidden/>
    <w:rsid w:val="00C37958"/>
    <w:pPr>
      <w:shd w:val="clear" w:color="auto" w:fill="000080"/>
    </w:pPr>
    <w:rPr>
      <w:rFonts w:ascii="Tahoma" w:hAnsi="Tahoma" w:cs="Tahoma"/>
      <w:sz w:val="20"/>
      <w:szCs w:val="20"/>
    </w:rPr>
  </w:style>
  <w:style w:type="paragraph" w:styleId="Register1">
    <w:name w:val="index 1"/>
    <w:basedOn w:val="Normlny"/>
    <w:next w:val="Normlny"/>
    <w:autoRedefine/>
    <w:semiHidden/>
    <w:rsid w:val="00906DAF"/>
    <w:pPr>
      <w:ind w:left="240" w:hanging="240"/>
    </w:pPr>
  </w:style>
  <w:style w:type="character" w:styleId="slostrany">
    <w:name w:val="page number"/>
    <w:basedOn w:val="Predvolenpsmoodseku"/>
    <w:rsid w:val="007212D8"/>
  </w:style>
  <w:style w:type="character" w:styleId="Hypertextovprepojenie">
    <w:name w:val="Hyperlink"/>
    <w:basedOn w:val="Predvolenpsmoodseku"/>
    <w:uiPriority w:val="99"/>
    <w:rsid w:val="00906DAF"/>
    <w:rPr>
      <w:color w:val="0000FF"/>
      <w:u w:val="single"/>
    </w:rPr>
  </w:style>
  <w:style w:type="paragraph" w:customStyle="1" w:styleId="Normaltext">
    <w:name w:val="Normal text"/>
    <w:rsid w:val="00BE5915"/>
    <w:pPr>
      <w:spacing w:before="120" w:after="120"/>
      <w:jc w:val="both"/>
    </w:pPr>
    <w:rPr>
      <w:rFonts w:ascii="Arial" w:hAnsi="Arial"/>
      <w:szCs w:val="22"/>
      <w:lang w:eastAsia="en-US"/>
    </w:rPr>
  </w:style>
  <w:style w:type="character" w:styleId="Odkaznapoznmkupodiarou">
    <w:name w:val="footnote reference"/>
    <w:aliases w:val="Times 10 Point,Exposant 3 Point,Footnote symbol,Footnote number,Footnote Reference Number,Footnote reference number,Footnote Reference Superscript,EN Footnote Reference,note TESI,Voetnootverwijzing,fr,o,FR,FR1,Footnot,Ref"/>
    <w:basedOn w:val="Predvolenpsmoodseku"/>
    <w:uiPriority w:val="99"/>
    <w:rsid w:val="00274604"/>
    <w:rPr>
      <w:vertAlign w:val="superscript"/>
    </w:rPr>
  </w:style>
  <w:style w:type="paragraph" w:customStyle="1" w:styleId="NzovTabuky">
    <w:name w:val="Názov Tabuľky"/>
    <w:basedOn w:val="Normlnodstavec"/>
    <w:next w:val="Normaltext"/>
    <w:link w:val="NzovTabukyCharChar"/>
    <w:rsid w:val="00535F4D"/>
    <w:pPr>
      <w:numPr>
        <w:ilvl w:val="0"/>
        <w:numId w:val="2"/>
      </w:numPr>
      <w:tabs>
        <w:tab w:val="left" w:pos="342"/>
        <w:tab w:val="left" w:pos="851"/>
      </w:tabs>
      <w:spacing w:before="240" w:after="120" w:line="240" w:lineRule="auto"/>
    </w:pPr>
    <w:rPr>
      <w:sz w:val="23"/>
      <w:szCs w:val="23"/>
    </w:rPr>
  </w:style>
  <w:style w:type="paragraph" w:styleId="Zoznamobrzkov">
    <w:name w:val="table of figures"/>
    <w:basedOn w:val="Normlny"/>
    <w:next w:val="Normlny"/>
    <w:uiPriority w:val="99"/>
    <w:rsid w:val="00BB12B0"/>
    <w:pPr>
      <w:tabs>
        <w:tab w:val="left" w:pos="567"/>
        <w:tab w:val="left" w:leader="dot" w:pos="9356"/>
      </w:tabs>
      <w:ind w:left="851" w:hanging="851"/>
    </w:pPr>
    <w:rPr>
      <w:sz w:val="23"/>
    </w:rPr>
  </w:style>
  <w:style w:type="character" w:customStyle="1" w:styleId="NormlnodstavecChar">
    <w:name w:val="Normální odstavec Char"/>
    <w:basedOn w:val="Predvolenpsmoodseku"/>
    <w:link w:val="Normlnodstavec"/>
    <w:rsid w:val="006B6C74"/>
    <w:rPr>
      <w:snapToGrid w:val="0"/>
      <w:sz w:val="24"/>
      <w:lang w:val="sk-SK" w:eastAsia="cs-CZ" w:bidi="ar-SA"/>
    </w:rPr>
  </w:style>
  <w:style w:type="character" w:customStyle="1" w:styleId="NzovTabukyCharChar">
    <w:name w:val="Názov Tabuľky Char Char"/>
    <w:basedOn w:val="NormlnodstavecChar"/>
    <w:link w:val="NzovTabuky"/>
    <w:rsid w:val="00535F4D"/>
    <w:rPr>
      <w:snapToGrid w:val="0"/>
      <w:sz w:val="23"/>
      <w:szCs w:val="23"/>
      <w:lang w:val="sk-SK" w:eastAsia="cs-CZ" w:bidi="ar-SA"/>
    </w:rPr>
  </w:style>
  <w:style w:type="character" w:styleId="Odkaznakomentr">
    <w:name w:val="annotation reference"/>
    <w:basedOn w:val="Predvolenpsmoodseku"/>
    <w:rsid w:val="00512ACC"/>
    <w:rPr>
      <w:sz w:val="16"/>
      <w:szCs w:val="16"/>
    </w:rPr>
  </w:style>
  <w:style w:type="paragraph" w:styleId="Register9">
    <w:name w:val="index 9"/>
    <w:basedOn w:val="Normlny"/>
    <w:next w:val="Normlny"/>
    <w:autoRedefine/>
    <w:semiHidden/>
    <w:rsid w:val="00C221CD"/>
    <w:pPr>
      <w:ind w:left="2160" w:hanging="240"/>
    </w:pPr>
  </w:style>
  <w:style w:type="paragraph" w:customStyle="1" w:styleId="Char">
    <w:name w:val="Char"/>
    <w:basedOn w:val="Normlny"/>
    <w:rsid w:val="00E25C29"/>
    <w:pPr>
      <w:spacing w:after="160" w:line="240" w:lineRule="exact"/>
      <w:ind w:firstLine="720"/>
    </w:pPr>
    <w:rPr>
      <w:rFonts w:ascii="Tahoma" w:hAnsi="Tahoma"/>
      <w:sz w:val="20"/>
      <w:szCs w:val="20"/>
      <w:lang w:val="en-US" w:eastAsia="en-US"/>
    </w:rPr>
  </w:style>
  <w:style w:type="paragraph" w:customStyle="1" w:styleId="NzovObrzku">
    <w:name w:val="Názov Obrázku"/>
    <w:basedOn w:val="Normlnodstavec"/>
    <w:link w:val="NzovObrzkuChar"/>
    <w:rsid w:val="00A02463"/>
    <w:pPr>
      <w:numPr>
        <w:ilvl w:val="0"/>
        <w:numId w:val="3"/>
      </w:numPr>
      <w:tabs>
        <w:tab w:val="left" w:pos="0"/>
        <w:tab w:val="left" w:pos="342"/>
        <w:tab w:val="left" w:pos="851"/>
      </w:tabs>
      <w:spacing w:before="240" w:after="120" w:line="240" w:lineRule="auto"/>
    </w:pPr>
    <w:rPr>
      <w:sz w:val="23"/>
      <w:szCs w:val="23"/>
    </w:rPr>
  </w:style>
  <w:style w:type="paragraph" w:customStyle="1" w:styleId="tlZkladntextVavo">
    <w:name w:val="Štýl Základný text + Vľavo"/>
    <w:basedOn w:val="Normlny"/>
    <w:rsid w:val="00516FD2"/>
    <w:pPr>
      <w:numPr>
        <w:numId w:val="4"/>
      </w:numPr>
    </w:pPr>
  </w:style>
  <w:style w:type="paragraph" w:customStyle="1" w:styleId="CharCharCharChar">
    <w:name w:val="Char Char Char Char"/>
    <w:basedOn w:val="Normlny"/>
    <w:rsid w:val="004D51ED"/>
    <w:pPr>
      <w:spacing w:after="160" w:line="240" w:lineRule="exact"/>
    </w:pPr>
    <w:rPr>
      <w:rFonts w:ascii="Tahoma" w:hAnsi="Tahoma" w:cs="Tahoma"/>
      <w:sz w:val="20"/>
      <w:szCs w:val="20"/>
      <w:lang w:val="en-US" w:eastAsia="en-US"/>
    </w:rPr>
  </w:style>
  <w:style w:type="table" w:customStyle="1" w:styleId="Mkatabulky10">
    <w:name w:val="Mřížka tabulky10"/>
    <w:basedOn w:val="Normlnatabuka"/>
    <w:next w:val="Mriekatabuky"/>
    <w:rsid w:val="003605B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Char1Char">
    <w:name w:val="Char Char Char1 Char"/>
    <w:basedOn w:val="Normlny"/>
    <w:rsid w:val="00174963"/>
    <w:pPr>
      <w:spacing w:after="160" w:line="240" w:lineRule="exact"/>
    </w:pPr>
    <w:rPr>
      <w:rFonts w:ascii="Tahoma" w:hAnsi="Tahoma"/>
      <w:sz w:val="20"/>
      <w:szCs w:val="20"/>
      <w:lang w:val="en-US" w:eastAsia="en-US"/>
    </w:rPr>
  </w:style>
  <w:style w:type="paragraph" w:customStyle="1" w:styleId="ListNumber1">
    <w:name w:val="List Number 1"/>
    <w:basedOn w:val="Normlny"/>
    <w:rsid w:val="0048556D"/>
    <w:pPr>
      <w:widowControl w:val="0"/>
      <w:numPr>
        <w:numId w:val="5"/>
      </w:numPr>
      <w:adjustRightInd w:val="0"/>
      <w:spacing w:after="240" w:line="360" w:lineRule="atLeast"/>
      <w:jc w:val="both"/>
      <w:textAlignment w:val="baseline"/>
    </w:pPr>
    <w:rPr>
      <w:szCs w:val="20"/>
      <w:lang w:val="en-GB" w:eastAsia="en-US"/>
    </w:rPr>
  </w:style>
  <w:style w:type="paragraph" w:customStyle="1" w:styleId="ListNumber1Level2">
    <w:name w:val="List Number 1 (Level 2)"/>
    <w:basedOn w:val="Normlny"/>
    <w:rsid w:val="0048556D"/>
    <w:pPr>
      <w:widowControl w:val="0"/>
      <w:numPr>
        <w:ilvl w:val="1"/>
        <w:numId w:val="5"/>
      </w:numPr>
      <w:adjustRightInd w:val="0"/>
      <w:spacing w:after="240" w:line="360" w:lineRule="atLeast"/>
      <w:jc w:val="both"/>
      <w:textAlignment w:val="baseline"/>
    </w:pPr>
    <w:rPr>
      <w:szCs w:val="20"/>
      <w:lang w:val="en-GB" w:eastAsia="en-US"/>
    </w:rPr>
  </w:style>
  <w:style w:type="paragraph" w:customStyle="1" w:styleId="ListNumber1Level3">
    <w:name w:val="List Number 1 (Level 3)"/>
    <w:basedOn w:val="Normlny"/>
    <w:rsid w:val="0048556D"/>
    <w:pPr>
      <w:widowControl w:val="0"/>
      <w:numPr>
        <w:ilvl w:val="2"/>
        <w:numId w:val="5"/>
      </w:numPr>
      <w:adjustRightInd w:val="0"/>
      <w:spacing w:after="240" w:line="360" w:lineRule="atLeast"/>
      <w:jc w:val="both"/>
      <w:textAlignment w:val="baseline"/>
    </w:pPr>
    <w:rPr>
      <w:szCs w:val="20"/>
      <w:lang w:val="en-GB" w:eastAsia="en-US"/>
    </w:rPr>
  </w:style>
  <w:style w:type="paragraph" w:customStyle="1" w:styleId="ListNumber1Level4">
    <w:name w:val="List Number 1 (Level 4)"/>
    <w:basedOn w:val="Normlny"/>
    <w:rsid w:val="0048556D"/>
    <w:pPr>
      <w:widowControl w:val="0"/>
      <w:numPr>
        <w:ilvl w:val="3"/>
        <w:numId w:val="5"/>
      </w:numPr>
      <w:adjustRightInd w:val="0"/>
      <w:spacing w:after="240" w:line="360" w:lineRule="atLeast"/>
      <w:jc w:val="both"/>
      <w:textAlignment w:val="baseline"/>
    </w:pPr>
    <w:rPr>
      <w:szCs w:val="20"/>
      <w:lang w:val="en-GB" w:eastAsia="en-US"/>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w:basedOn w:val="Normlny"/>
    <w:rsid w:val="004309E8"/>
    <w:pPr>
      <w:widowControl w:val="0"/>
      <w:adjustRightInd w:val="0"/>
      <w:spacing w:after="160" w:line="240" w:lineRule="exact"/>
      <w:jc w:val="both"/>
      <w:textAlignment w:val="baseline"/>
    </w:pPr>
    <w:rPr>
      <w:rFonts w:ascii="Tahoma" w:hAnsi="Tahoma" w:cs="Tahoma"/>
      <w:sz w:val="20"/>
      <w:szCs w:val="20"/>
      <w:lang w:val="en-US" w:eastAsia="en-US"/>
    </w:rPr>
  </w:style>
  <w:style w:type="character" w:styleId="PouitHypertextovPrepojenie">
    <w:name w:val="FollowedHyperlink"/>
    <w:basedOn w:val="Predvolenpsmoodseku"/>
    <w:rsid w:val="002D0C1C"/>
    <w:rPr>
      <w:color w:val="800080"/>
      <w:u w:val="single"/>
    </w:rPr>
  </w:style>
  <w:style w:type="paragraph" w:customStyle="1" w:styleId="CharCharCharCharCharCharCharCharCharCharChar">
    <w:name w:val="Char Char Char Char Char Char Char Char Char Char Char"/>
    <w:basedOn w:val="Normlny"/>
    <w:rsid w:val="00E25315"/>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1">
    <w:name w:val="Char Char Char1"/>
    <w:basedOn w:val="Normlny"/>
    <w:rsid w:val="00EB3315"/>
    <w:pPr>
      <w:spacing w:after="160" w:line="240" w:lineRule="exact"/>
    </w:pPr>
    <w:rPr>
      <w:rFonts w:ascii="Tahoma" w:hAnsi="Tahoma"/>
      <w:sz w:val="20"/>
      <w:szCs w:val="20"/>
      <w:lang w:val="en-US" w:eastAsia="en-US"/>
    </w:rPr>
  </w:style>
  <w:style w:type="character" w:customStyle="1" w:styleId="NzovTabukyChar">
    <w:name w:val="Názov Tabuľky Char"/>
    <w:basedOn w:val="NormlnodstavecChar"/>
    <w:rsid w:val="00C42A2D"/>
    <w:rPr>
      <w:snapToGrid w:val="0"/>
      <w:sz w:val="23"/>
      <w:szCs w:val="23"/>
      <w:lang w:val="sk-SK" w:eastAsia="cs-CZ" w:bidi="ar-SA"/>
    </w:rPr>
  </w:style>
  <w:style w:type="paragraph" w:customStyle="1" w:styleId="CharCharCharCharCharCharCharCharCharCharCharCharCharCharCharCharCharCharCharCharCharCharCharCharCharCharCharCharChar">
    <w:name w:val="Char Char Char Char Char Char Char Char Char Char Char Char Char Char Char Char Char Char Char Char Char Char Char Char Char Char Char Char Char"/>
    <w:basedOn w:val="Normlny"/>
    <w:rsid w:val="00691489"/>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w:basedOn w:val="Normlny"/>
    <w:rsid w:val="00931C39"/>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1CharCharCharCharCharCharCharCharCharCharCharCharCharCharChar">
    <w:name w:val="Char Char Char Char Char Char1 Char Char Char Char Char Char Char Char Char Char Char Char Char Char Char"/>
    <w:basedOn w:val="Normlny"/>
    <w:rsid w:val="00A526ED"/>
    <w:pPr>
      <w:spacing w:after="160" w:line="240" w:lineRule="exact"/>
      <w:ind w:firstLine="720"/>
    </w:pPr>
    <w:rPr>
      <w:rFonts w:ascii="Tahoma" w:hAnsi="Tahoma" w:cs="Tahoma"/>
      <w:sz w:val="20"/>
      <w:szCs w:val="20"/>
      <w:lang w:val="en-US" w:eastAsia="en-US"/>
    </w:rPr>
  </w:style>
  <w:style w:type="paragraph" w:customStyle="1" w:styleId="CharChar1CharCharCharCharCharCharCharCharCharCharCharCharCharChar">
    <w:name w:val="Char Char1 Char Char Char Char Char Char Char Char Char Char Char Char Char Char"/>
    <w:basedOn w:val="Normlny"/>
    <w:rsid w:val="00686F75"/>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CharCharCharCharCharCharCharCharCharCharCharChar1CharCharCharCharChar1CharCharCharCharCharChar">
    <w:name w:val="Char Char Char Char Char Char Char Char Char Char Char Char Char Char Char Char Char Char1 Char Char Char Char Char1 Char Char Char Char Char Char"/>
    <w:basedOn w:val="Normlny"/>
    <w:rsid w:val="00DE77D2"/>
    <w:pPr>
      <w:spacing w:after="160" w:line="240" w:lineRule="exact"/>
    </w:pPr>
    <w:rPr>
      <w:rFonts w:ascii="Tahoma" w:hAnsi="Tahoma" w:cs="Tahoma"/>
      <w:sz w:val="20"/>
      <w:szCs w:val="20"/>
      <w:lang w:val="en-US" w:eastAsia="en-US"/>
    </w:rPr>
  </w:style>
  <w:style w:type="character" w:customStyle="1" w:styleId="textinfop1">
    <w:name w:val="textinfop1"/>
    <w:basedOn w:val="Predvolenpsmoodseku"/>
    <w:rsid w:val="00C751DB"/>
    <w:rPr>
      <w:rFonts w:ascii="Tahoma" w:hAnsi="Tahoma" w:cs="Tahoma" w:hint="default"/>
      <w:b w:val="0"/>
      <w:bCs w:val="0"/>
      <w:color w:val="000000"/>
      <w:sz w:val="13"/>
      <w:szCs w:val="13"/>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rsid w:val="001C24DC"/>
    <w:pPr>
      <w:spacing w:after="160" w:line="240" w:lineRule="exact"/>
    </w:pPr>
    <w:rPr>
      <w:rFonts w:ascii="Tahoma" w:hAnsi="Tahoma" w:cs="Tahoma"/>
      <w:sz w:val="20"/>
      <w:szCs w:val="20"/>
      <w:lang w:val="en-US" w:eastAsia="en-US"/>
    </w:rPr>
  </w:style>
  <w:style w:type="paragraph" w:customStyle="1" w:styleId="CharChar1CharCharCharCharCharCharCharCharCharCharCharCharCharCharCharCharCharChar">
    <w:name w:val="Char Char1 Char Char Char Char Char Char Char Char Char Char Char Char Char Char Char Char Char Char"/>
    <w:basedOn w:val="Normlny"/>
    <w:rsid w:val="001C01EC"/>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CharCharCharCharCharChar1CharCharCharChar">
    <w:name w:val="Char Char Char Char Char Char Char Char Char Char Char Char1 Char Char Char Char"/>
    <w:basedOn w:val="Normlny"/>
    <w:rsid w:val="007D32C1"/>
    <w:pPr>
      <w:spacing w:after="160" w:line="240" w:lineRule="exact"/>
    </w:pPr>
    <w:rPr>
      <w:rFonts w:ascii="Tahoma" w:hAnsi="Tahoma" w:cs="Tahoma"/>
      <w:sz w:val="20"/>
      <w:szCs w:val="20"/>
      <w:lang w:eastAsia="en-US"/>
    </w:rPr>
  </w:style>
  <w:style w:type="paragraph" w:customStyle="1" w:styleId="CharCharCharCharCharChar">
    <w:name w:val="Char Char Char Char Char Char"/>
    <w:basedOn w:val="Normlny"/>
    <w:rsid w:val="00C447BF"/>
    <w:pPr>
      <w:spacing w:after="160" w:line="240" w:lineRule="exact"/>
    </w:pPr>
    <w:rPr>
      <w:rFonts w:ascii="Tahoma" w:hAnsi="Tahoma" w:cs="Tahoma"/>
      <w:sz w:val="20"/>
      <w:szCs w:val="20"/>
      <w:lang w:eastAsia="en-US"/>
    </w:rPr>
  </w:style>
  <w:style w:type="table" w:customStyle="1" w:styleId="Mkatabulky11">
    <w:name w:val="Mřížka tabulky11"/>
    <w:basedOn w:val="Normlnatabuka"/>
    <w:next w:val="Mriekatabuky"/>
    <w:rsid w:val="006963B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CharChar0">
    <w:name w:val="Char Char Char Char"/>
    <w:basedOn w:val="Normlny"/>
    <w:rsid w:val="00570661"/>
    <w:pPr>
      <w:spacing w:after="160" w:line="240" w:lineRule="exact"/>
    </w:pPr>
    <w:rPr>
      <w:rFonts w:ascii="Tahoma" w:hAnsi="Tahoma" w:cs="Tahoma"/>
      <w:sz w:val="20"/>
      <w:szCs w:val="20"/>
      <w:lang w:val="en-US" w:eastAsia="en-US"/>
    </w:rPr>
  </w:style>
  <w:style w:type="paragraph" w:styleId="Textkoncovejpoznmky">
    <w:name w:val="endnote text"/>
    <w:basedOn w:val="Normlny"/>
    <w:semiHidden/>
    <w:rsid w:val="0037048E"/>
    <w:rPr>
      <w:sz w:val="20"/>
      <w:szCs w:val="20"/>
    </w:rPr>
  </w:style>
  <w:style w:type="character" w:styleId="Odkaznakoncovpoznmku">
    <w:name w:val="endnote reference"/>
    <w:basedOn w:val="Predvolenpsmoodseku"/>
    <w:semiHidden/>
    <w:rsid w:val="0037048E"/>
    <w:rPr>
      <w:vertAlign w:val="superscript"/>
    </w:rPr>
  </w:style>
  <w:style w:type="paragraph" w:customStyle="1" w:styleId="CharCharCharCharCharCharCharCharCharCharCharCharCharCharCharCharCharChar1CharCharCharCharChar4CharCharCharCharCharCharCharCharChar">
    <w:name w:val="Char Char Char Char Char Char Char Char Char Char Char Char Char Char Char Char Char Char1 Char Char Char Char Char4 Char Char Char Char Char Char Char Char Char"/>
    <w:basedOn w:val="Normlny"/>
    <w:rsid w:val="002A0EE8"/>
    <w:pPr>
      <w:spacing w:after="160" w:line="240" w:lineRule="exact"/>
    </w:pPr>
    <w:rPr>
      <w:rFonts w:ascii="Tahoma" w:hAnsi="Tahoma" w:cs="Tahoma"/>
      <w:sz w:val="20"/>
      <w:szCs w:val="20"/>
      <w:lang w:val="en-US" w:eastAsia="en-US"/>
    </w:rPr>
  </w:style>
  <w:style w:type="paragraph" w:styleId="AdresaHTML">
    <w:name w:val="HTML Address"/>
    <w:basedOn w:val="Normlny"/>
    <w:rsid w:val="008E7026"/>
    <w:rPr>
      <w:i/>
      <w:iCs/>
    </w:rPr>
  </w:style>
  <w:style w:type="paragraph" w:styleId="Adresanaoblke">
    <w:name w:val="envelope address"/>
    <w:basedOn w:val="Normlny"/>
    <w:rsid w:val="008E7026"/>
    <w:pPr>
      <w:framePr w:w="7920" w:h="1980" w:hRule="exact" w:hSpace="141" w:wrap="auto" w:hAnchor="page" w:xAlign="center" w:yAlign="bottom"/>
      <w:ind w:left="2880"/>
    </w:pPr>
    <w:rPr>
      <w:rFonts w:ascii="Arial" w:hAnsi="Arial" w:cs="Arial"/>
    </w:rPr>
  </w:style>
  <w:style w:type="paragraph" w:styleId="slovanzoznam">
    <w:name w:val="List Number"/>
    <w:basedOn w:val="Normlny"/>
    <w:rsid w:val="008E7026"/>
    <w:pPr>
      <w:numPr>
        <w:numId w:val="6"/>
      </w:numPr>
    </w:pPr>
  </w:style>
  <w:style w:type="paragraph" w:styleId="slovanzoznam2">
    <w:name w:val="List Number 2"/>
    <w:basedOn w:val="Normlny"/>
    <w:rsid w:val="008E7026"/>
    <w:pPr>
      <w:numPr>
        <w:numId w:val="7"/>
      </w:numPr>
    </w:pPr>
  </w:style>
  <w:style w:type="paragraph" w:styleId="slovanzoznam3">
    <w:name w:val="List Number 3"/>
    <w:basedOn w:val="Normlny"/>
    <w:rsid w:val="008E7026"/>
    <w:pPr>
      <w:numPr>
        <w:numId w:val="8"/>
      </w:numPr>
    </w:pPr>
  </w:style>
  <w:style w:type="paragraph" w:styleId="slovanzoznam4">
    <w:name w:val="List Number 4"/>
    <w:basedOn w:val="Normlny"/>
    <w:rsid w:val="008E7026"/>
    <w:pPr>
      <w:numPr>
        <w:numId w:val="9"/>
      </w:numPr>
    </w:pPr>
  </w:style>
  <w:style w:type="paragraph" w:styleId="slovanzoznam5">
    <w:name w:val="List Number 5"/>
    <w:basedOn w:val="Normlny"/>
    <w:rsid w:val="008E7026"/>
    <w:pPr>
      <w:numPr>
        <w:numId w:val="10"/>
      </w:numPr>
    </w:pPr>
  </w:style>
  <w:style w:type="paragraph" w:styleId="Dtum">
    <w:name w:val="Date"/>
    <w:basedOn w:val="Normlny"/>
    <w:next w:val="Normlny"/>
    <w:rsid w:val="008E7026"/>
  </w:style>
  <w:style w:type="paragraph" w:styleId="PredformtovanHTML">
    <w:name w:val="HTML Preformatted"/>
    <w:basedOn w:val="Normlny"/>
    <w:rsid w:val="008E7026"/>
    <w:rPr>
      <w:rFonts w:ascii="Courier New" w:hAnsi="Courier New" w:cs="Courier New"/>
      <w:sz w:val="20"/>
      <w:szCs w:val="20"/>
    </w:rPr>
  </w:style>
  <w:style w:type="paragraph" w:styleId="Hlavikazoznamucitci">
    <w:name w:val="toa heading"/>
    <w:basedOn w:val="Normlny"/>
    <w:next w:val="Normlny"/>
    <w:semiHidden/>
    <w:rsid w:val="008E7026"/>
    <w:pPr>
      <w:spacing w:before="120"/>
    </w:pPr>
    <w:rPr>
      <w:rFonts w:ascii="Arial" w:hAnsi="Arial" w:cs="Arial"/>
      <w:b/>
      <w:bCs/>
    </w:rPr>
  </w:style>
  <w:style w:type="paragraph" w:styleId="Nadpisregistra">
    <w:name w:val="index heading"/>
    <w:basedOn w:val="Normlny"/>
    <w:next w:val="Register1"/>
    <w:semiHidden/>
    <w:rsid w:val="008E7026"/>
    <w:rPr>
      <w:rFonts w:ascii="Arial" w:hAnsi="Arial" w:cs="Arial"/>
      <w:b/>
      <w:bCs/>
    </w:rPr>
  </w:style>
  <w:style w:type="paragraph" w:styleId="Nadpispoznmky">
    <w:name w:val="Note Heading"/>
    <w:basedOn w:val="Normlny"/>
    <w:next w:val="Normlny"/>
    <w:rsid w:val="008E7026"/>
  </w:style>
  <w:style w:type="paragraph" w:styleId="Nzov">
    <w:name w:val="Title"/>
    <w:aliases w:val="Title Char, Char"/>
    <w:basedOn w:val="Normlny"/>
    <w:link w:val="NzovChar"/>
    <w:qFormat/>
    <w:rsid w:val="008E7026"/>
    <w:pPr>
      <w:spacing w:before="240" w:after="60"/>
      <w:jc w:val="center"/>
      <w:outlineLvl w:val="0"/>
    </w:pPr>
    <w:rPr>
      <w:rFonts w:ascii="Arial" w:hAnsi="Arial" w:cs="Arial"/>
      <w:b/>
      <w:bCs/>
      <w:kern w:val="28"/>
      <w:sz w:val="32"/>
      <w:szCs w:val="32"/>
    </w:rPr>
  </w:style>
  <w:style w:type="paragraph" w:styleId="Normlnysozarkami">
    <w:name w:val="Normal Indent"/>
    <w:basedOn w:val="Normlny"/>
    <w:rsid w:val="008E7026"/>
    <w:pPr>
      <w:ind w:left="708"/>
    </w:pPr>
  </w:style>
  <w:style w:type="paragraph" w:styleId="Oslovenie">
    <w:name w:val="Salutation"/>
    <w:basedOn w:val="Normlny"/>
    <w:next w:val="Normlny"/>
    <w:rsid w:val="008E7026"/>
  </w:style>
  <w:style w:type="paragraph" w:styleId="Podpis">
    <w:name w:val="Signature"/>
    <w:basedOn w:val="Normlny"/>
    <w:rsid w:val="008E7026"/>
    <w:pPr>
      <w:ind w:left="4252"/>
    </w:pPr>
  </w:style>
  <w:style w:type="paragraph" w:styleId="Podpise-mailu">
    <w:name w:val="E-mail Signature"/>
    <w:basedOn w:val="Normlny"/>
    <w:rsid w:val="008E7026"/>
  </w:style>
  <w:style w:type="paragraph" w:styleId="Podtitul">
    <w:name w:val="Subtitle"/>
    <w:basedOn w:val="Normlny"/>
    <w:qFormat/>
    <w:rsid w:val="008E7026"/>
    <w:pPr>
      <w:spacing w:after="60"/>
      <w:jc w:val="center"/>
      <w:outlineLvl w:val="1"/>
    </w:pPr>
    <w:rPr>
      <w:rFonts w:ascii="Arial" w:hAnsi="Arial" w:cs="Arial"/>
    </w:rPr>
  </w:style>
  <w:style w:type="paragraph" w:styleId="Pokraovaniezoznamu">
    <w:name w:val="List Continue"/>
    <w:basedOn w:val="Normlny"/>
    <w:rsid w:val="008E7026"/>
    <w:pPr>
      <w:spacing w:after="120"/>
      <w:ind w:left="283"/>
    </w:pPr>
  </w:style>
  <w:style w:type="paragraph" w:styleId="Pokraovaniezoznamu2">
    <w:name w:val="List Continue 2"/>
    <w:basedOn w:val="Normlny"/>
    <w:rsid w:val="008E7026"/>
    <w:pPr>
      <w:spacing w:after="120"/>
      <w:ind w:left="566"/>
    </w:pPr>
  </w:style>
  <w:style w:type="paragraph" w:styleId="Pokraovaniezoznamu3">
    <w:name w:val="List Continue 3"/>
    <w:basedOn w:val="Normlny"/>
    <w:rsid w:val="008E7026"/>
    <w:pPr>
      <w:spacing w:after="120"/>
      <w:ind w:left="849"/>
    </w:pPr>
  </w:style>
  <w:style w:type="paragraph" w:styleId="Pokraovaniezoznamu4">
    <w:name w:val="List Continue 4"/>
    <w:basedOn w:val="Normlny"/>
    <w:rsid w:val="008E7026"/>
    <w:pPr>
      <w:spacing w:after="120"/>
      <w:ind w:left="1132"/>
    </w:pPr>
  </w:style>
  <w:style w:type="paragraph" w:styleId="Pokraovaniezoznamu5">
    <w:name w:val="List Continue 5"/>
    <w:basedOn w:val="Normlny"/>
    <w:rsid w:val="008E7026"/>
    <w:pPr>
      <w:spacing w:after="120"/>
      <w:ind w:left="1415"/>
    </w:pPr>
  </w:style>
  <w:style w:type="paragraph" w:styleId="Obyajntext">
    <w:name w:val="Plain Text"/>
    <w:basedOn w:val="Normlny"/>
    <w:rsid w:val="008E7026"/>
    <w:rPr>
      <w:rFonts w:ascii="Courier New" w:hAnsi="Courier New" w:cs="Courier New"/>
      <w:sz w:val="20"/>
      <w:szCs w:val="20"/>
    </w:rPr>
  </w:style>
  <w:style w:type="paragraph" w:styleId="Register2">
    <w:name w:val="index 2"/>
    <w:basedOn w:val="Normlny"/>
    <w:next w:val="Normlny"/>
    <w:autoRedefine/>
    <w:semiHidden/>
    <w:rsid w:val="008E7026"/>
    <w:pPr>
      <w:ind w:left="480" w:hanging="240"/>
    </w:pPr>
  </w:style>
  <w:style w:type="paragraph" w:styleId="Register3">
    <w:name w:val="index 3"/>
    <w:basedOn w:val="Normlny"/>
    <w:next w:val="Normlny"/>
    <w:autoRedefine/>
    <w:semiHidden/>
    <w:rsid w:val="008E7026"/>
    <w:pPr>
      <w:ind w:left="720" w:hanging="240"/>
    </w:pPr>
  </w:style>
  <w:style w:type="paragraph" w:styleId="Register4">
    <w:name w:val="index 4"/>
    <w:basedOn w:val="Normlny"/>
    <w:next w:val="Normlny"/>
    <w:autoRedefine/>
    <w:semiHidden/>
    <w:rsid w:val="008E7026"/>
    <w:pPr>
      <w:ind w:left="960" w:hanging="240"/>
    </w:pPr>
  </w:style>
  <w:style w:type="paragraph" w:styleId="Register5">
    <w:name w:val="index 5"/>
    <w:basedOn w:val="Normlny"/>
    <w:next w:val="Normlny"/>
    <w:autoRedefine/>
    <w:semiHidden/>
    <w:rsid w:val="008E7026"/>
    <w:pPr>
      <w:ind w:left="1200" w:hanging="240"/>
    </w:pPr>
  </w:style>
  <w:style w:type="paragraph" w:styleId="Register6">
    <w:name w:val="index 6"/>
    <w:basedOn w:val="Normlny"/>
    <w:next w:val="Normlny"/>
    <w:autoRedefine/>
    <w:semiHidden/>
    <w:rsid w:val="008E7026"/>
    <w:pPr>
      <w:ind w:left="1440" w:hanging="240"/>
    </w:pPr>
  </w:style>
  <w:style w:type="paragraph" w:styleId="Register7">
    <w:name w:val="index 7"/>
    <w:basedOn w:val="Normlny"/>
    <w:next w:val="Normlny"/>
    <w:autoRedefine/>
    <w:semiHidden/>
    <w:rsid w:val="008E7026"/>
    <w:pPr>
      <w:ind w:left="1680" w:hanging="240"/>
    </w:pPr>
  </w:style>
  <w:style w:type="paragraph" w:styleId="Register8">
    <w:name w:val="index 8"/>
    <w:basedOn w:val="Normlny"/>
    <w:next w:val="Normlny"/>
    <w:autoRedefine/>
    <w:semiHidden/>
    <w:rsid w:val="008E7026"/>
    <w:pPr>
      <w:ind w:left="1920" w:hanging="240"/>
    </w:pPr>
  </w:style>
  <w:style w:type="paragraph" w:styleId="Zoznam2">
    <w:name w:val="List 2"/>
    <w:basedOn w:val="Normlny"/>
    <w:rsid w:val="008E7026"/>
    <w:pPr>
      <w:ind w:left="566" w:hanging="283"/>
    </w:pPr>
  </w:style>
  <w:style w:type="paragraph" w:styleId="Zoznam3">
    <w:name w:val="List 3"/>
    <w:basedOn w:val="Normlny"/>
    <w:rsid w:val="008E7026"/>
    <w:pPr>
      <w:ind w:left="849" w:hanging="283"/>
    </w:pPr>
  </w:style>
  <w:style w:type="paragraph" w:styleId="Zoznam4">
    <w:name w:val="List 4"/>
    <w:basedOn w:val="Normlny"/>
    <w:rsid w:val="008E7026"/>
    <w:pPr>
      <w:ind w:left="1132" w:hanging="283"/>
    </w:pPr>
  </w:style>
  <w:style w:type="paragraph" w:styleId="Zoznam5">
    <w:name w:val="List 5"/>
    <w:basedOn w:val="Normlny"/>
    <w:rsid w:val="008E7026"/>
    <w:pPr>
      <w:ind w:left="1415" w:hanging="283"/>
    </w:pPr>
  </w:style>
  <w:style w:type="paragraph" w:styleId="Zoznamcitci">
    <w:name w:val="table of authorities"/>
    <w:basedOn w:val="Normlny"/>
    <w:next w:val="Normlny"/>
    <w:semiHidden/>
    <w:rsid w:val="008E7026"/>
    <w:pPr>
      <w:ind w:left="240" w:hanging="240"/>
    </w:pPr>
  </w:style>
  <w:style w:type="paragraph" w:styleId="Zoznamsodrkami2">
    <w:name w:val="List Bullet 2"/>
    <w:basedOn w:val="Normlny"/>
    <w:rsid w:val="008E7026"/>
    <w:pPr>
      <w:numPr>
        <w:numId w:val="11"/>
      </w:numPr>
    </w:pPr>
  </w:style>
  <w:style w:type="paragraph" w:styleId="Zoznamsodrkami3">
    <w:name w:val="List Bullet 3"/>
    <w:basedOn w:val="Normlny"/>
    <w:rsid w:val="008E7026"/>
    <w:pPr>
      <w:numPr>
        <w:numId w:val="12"/>
      </w:numPr>
    </w:pPr>
  </w:style>
  <w:style w:type="paragraph" w:styleId="Zoznamsodrkami4">
    <w:name w:val="List Bullet 4"/>
    <w:basedOn w:val="Normlny"/>
    <w:rsid w:val="008E7026"/>
    <w:pPr>
      <w:numPr>
        <w:numId w:val="13"/>
      </w:numPr>
    </w:pPr>
  </w:style>
  <w:style w:type="paragraph" w:styleId="Zoznamsodrkami5">
    <w:name w:val="List Bullet 5"/>
    <w:basedOn w:val="Normlny"/>
    <w:rsid w:val="008E7026"/>
    <w:pPr>
      <w:numPr>
        <w:numId w:val="14"/>
      </w:numPr>
    </w:pPr>
  </w:style>
  <w:style w:type="paragraph" w:styleId="Textmakra">
    <w:name w:val="macro"/>
    <w:semiHidden/>
    <w:rsid w:val="008E702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Oznaitext">
    <w:name w:val="Block Text"/>
    <w:basedOn w:val="Normlny"/>
    <w:rsid w:val="008E7026"/>
    <w:pPr>
      <w:spacing w:after="120"/>
      <w:ind w:left="1440" w:right="1440"/>
    </w:pPr>
  </w:style>
  <w:style w:type="paragraph" w:styleId="Hlavikasprvy">
    <w:name w:val="Message Header"/>
    <w:basedOn w:val="Normlny"/>
    <w:rsid w:val="008E702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Prvzarkazkladnhotextu">
    <w:name w:val="Body Text First Indent"/>
    <w:basedOn w:val="Zkladntext"/>
    <w:rsid w:val="008E7026"/>
    <w:pPr>
      <w:ind w:firstLine="210"/>
    </w:pPr>
  </w:style>
  <w:style w:type="paragraph" w:styleId="Prvzarkazkladnhotextu2">
    <w:name w:val="Body Text First Indent 2"/>
    <w:basedOn w:val="Zarkazkladnhotextu"/>
    <w:rsid w:val="008E7026"/>
    <w:pPr>
      <w:ind w:firstLine="210"/>
    </w:pPr>
  </w:style>
  <w:style w:type="paragraph" w:styleId="Zarkazkladnhotextu2">
    <w:name w:val="Body Text Indent 2"/>
    <w:basedOn w:val="Normlny"/>
    <w:rsid w:val="008E7026"/>
    <w:pPr>
      <w:spacing w:after="120" w:line="480" w:lineRule="auto"/>
      <w:ind w:left="283"/>
    </w:pPr>
  </w:style>
  <w:style w:type="paragraph" w:styleId="Zarkazkladnhotextu3">
    <w:name w:val="Body Text Indent 3"/>
    <w:basedOn w:val="Normlny"/>
    <w:rsid w:val="008E7026"/>
    <w:pPr>
      <w:spacing w:after="120"/>
      <w:ind w:left="283"/>
    </w:pPr>
    <w:rPr>
      <w:sz w:val="16"/>
      <w:szCs w:val="16"/>
    </w:rPr>
  </w:style>
  <w:style w:type="paragraph" w:styleId="Zver">
    <w:name w:val="Closing"/>
    <w:basedOn w:val="Normlny"/>
    <w:rsid w:val="008E7026"/>
    <w:pPr>
      <w:ind w:left="4252"/>
    </w:pPr>
  </w:style>
  <w:style w:type="paragraph" w:styleId="Spiatonadresanaoblke">
    <w:name w:val="envelope return"/>
    <w:basedOn w:val="Normlny"/>
    <w:rsid w:val="008E7026"/>
    <w:rPr>
      <w:rFonts w:ascii="Arial" w:hAnsi="Arial" w:cs="Arial"/>
      <w:sz w:val="20"/>
      <w:szCs w:val="20"/>
    </w:rPr>
  </w:style>
  <w:style w:type="paragraph" w:styleId="Bezriadkovania">
    <w:name w:val="No Spacing"/>
    <w:uiPriority w:val="1"/>
    <w:qFormat/>
    <w:rsid w:val="009C78FF"/>
    <w:rPr>
      <w:rFonts w:ascii="Arial" w:eastAsia="Calibri" w:hAnsi="Arial" w:cs="Arial"/>
      <w:color w:val="303030"/>
      <w:sz w:val="22"/>
      <w:szCs w:val="22"/>
      <w:lang w:eastAsia="en-US"/>
    </w:rPr>
  </w:style>
  <w:style w:type="character" w:customStyle="1" w:styleId="apple-style-span">
    <w:name w:val="apple-style-span"/>
    <w:basedOn w:val="Predvolenpsmoodseku"/>
    <w:rsid w:val="00073289"/>
  </w:style>
  <w:style w:type="character" w:customStyle="1" w:styleId="apple-converted-space">
    <w:name w:val="apple-converted-space"/>
    <w:basedOn w:val="Predvolenpsmoodseku"/>
    <w:rsid w:val="00073289"/>
  </w:style>
  <w:style w:type="character" w:customStyle="1" w:styleId="Textzstupnhosymbolu1">
    <w:name w:val="Text zástupného symbolu1"/>
    <w:basedOn w:val="Predvolenpsmoodseku"/>
    <w:semiHidden/>
    <w:rsid w:val="00B42FF9"/>
    <w:rPr>
      <w:rFonts w:ascii="Times New Roman" w:hAnsi="Times New Roman" w:cs="Times New Roman" w:hint="default"/>
      <w:color w:val="808080"/>
    </w:rPr>
  </w:style>
  <w:style w:type="paragraph" w:customStyle="1" w:styleId="Default">
    <w:name w:val="Default"/>
    <w:rsid w:val="008A4C17"/>
    <w:pPr>
      <w:autoSpaceDE w:val="0"/>
      <w:autoSpaceDN w:val="0"/>
      <w:adjustRightInd w:val="0"/>
    </w:pPr>
    <w:rPr>
      <w:color w:val="000000"/>
      <w:sz w:val="24"/>
      <w:szCs w:val="24"/>
    </w:rPr>
  </w:style>
  <w:style w:type="paragraph" w:customStyle="1" w:styleId="Obrhajo">
    <w:name w:val="Obr. hajo"/>
    <w:basedOn w:val="NzovObrzku"/>
    <w:link w:val="ObrhajoChar"/>
    <w:qFormat/>
    <w:rsid w:val="00CD3ABF"/>
    <w:pPr>
      <w:numPr>
        <w:numId w:val="23"/>
      </w:numPr>
      <w:tabs>
        <w:tab w:val="clear" w:pos="0"/>
      </w:tabs>
      <w:spacing w:before="180" w:after="0"/>
      <w:ind w:left="0" w:firstLine="0"/>
    </w:pPr>
    <w:rPr>
      <w:b/>
      <w:sz w:val="22"/>
    </w:rPr>
  </w:style>
  <w:style w:type="character" w:customStyle="1" w:styleId="NzovObrzkuChar">
    <w:name w:val="Názov Obrázku Char"/>
    <w:basedOn w:val="Predvolenpsmoodseku"/>
    <w:link w:val="NzovObrzku"/>
    <w:rsid w:val="007454E8"/>
    <w:rPr>
      <w:snapToGrid w:val="0"/>
      <w:sz w:val="23"/>
      <w:szCs w:val="23"/>
      <w:lang w:eastAsia="cs-CZ"/>
    </w:rPr>
  </w:style>
  <w:style w:type="paragraph" w:styleId="Odsekzoznamu">
    <w:name w:val="List Paragraph"/>
    <w:basedOn w:val="Normlny"/>
    <w:link w:val="OdsekzoznamuChar"/>
    <w:uiPriority w:val="34"/>
    <w:qFormat/>
    <w:rsid w:val="00B44BC5"/>
    <w:pPr>
      <w:ind w:left="720"/>
      <w:contextualSpacing/>
    </w:pPr>
  </w:style>
  <w:style w:type="table" w:styleId="Svetlzoznamzvraznenie3">
    <w:name w:val="Light List Accent 3"/>
    <w:basedOn w:val="Normlnatabuka"/>
    <w:uiPriority w:val="61"/>
    <w:rsid w:val="00203BC3"/>
    <w:rPr>
      <w:rFonts w:asciiTheme="minorHAnsi" w:eastAsiaTheme="minorEastAsia" w:hAnsiTheme="minorHAnsi" w:cstheme="minorBidi"/>
      <w:sz w:val="22"/>
      <w:szCs w:val="22"/>
      <w:lang w:eastAsia="en-US"/>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Svetlzoznamzvraznenie11">
    <w:name w:val="Svetlý zoznam – zvýraznenie 11"/>
    <w:basedOn w:val="Normlnatabuka"/>
    <w:uiPriority w:val="61"/>
    <w:rsid w:val="00203BC3"/>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Svetlzoznamzvraznenie4">
    <w:name w:val="Light List Accent 4"/>
    <w:basedOn w:val="Normlnatabuka"/>
    <w:uiPriority w:val="61"/>
    <w:rsid w:val="00203BC3"/>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customStyle="1" w:styleId="Svetlzoznam1">
    <w:name w:val="Svetlý zoznam1"/>
    <w:basedOn w:val="Normlnatabuka"/>
    <w:uiPriority w:val="61"/>
    <w:rsid w:val="00203BC3"/>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trednzoznam2zvraznenie1">
    <w:name w:val="Medium List 2 Accent 1"/>
    <w:basedOn w:val="Normlnatabuka"/>
    <w:uiPriority w:val="66"/>
    <w:rsid w:val="00B22E9A"/>
    <w:rPr>
      <w:rFonts w:asciiTheme="majorHAnsi" w:eastAsiaTheme="majorEastAsia" w:hAnsiTheme="majorHAnsi" w:cstheme="majorBidi"/>
      <w:color w:val="000000" w:themeColor="text1"/>
      <w:sz w:val="22"/>
      <w:szCs w:val="22"/>
      <w:lang w:eastAsia="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ZkladntextChar">
    <w:name w:val="Základný text Char"/>
    <w:basedOn w:val="Predvolenpsmoodseku"/>
    <w:link w:val="Zkladntext"/>
    <w:uiPriority w:val="99"/>
    <w:rsid w:val="00252314"/>
    <w:rPr>
      <w:sz w:val="24"/>
      <w:szCs w:val="24"/>
    </w:rPr>
  </w:style>
  <w:style w:type="paragraph" w:customStyle="1" w:styleId="titulok">
    <w:name w:val="titulok"/>
    <w:basedOn w:val="Normlny"/>
    <w:rsid w:val="00CF1654"/>
    <w:pPr>
      <w:spacing w:before="100" w:beforeAutospacing="1" w:after="100" w:afterAutospacing="1"/>
      <w:jc w:val="center"/>
    </w:pPr>
    <w:rPr>
      <w:rFonts w:ascii="Arial" w:hAnsi="Arial" w:cs="Arial"/>
      <w:b/>
      <w:bCs/>
      <w:color w:val="007060"/>
    </w:rPr>
  </w:style>
  <w:style w:type="paragraph" w:customStyle="1" w:styleId="Bezriadkovania1">
    <w:name w:val="Bez riadkovania1"/>
    <w:basedOn w:val="Normlny"/>
    <w:semiHidden/>
    <w:rsid w:val="00926490"/>
    <w:rPr>
      <w:rFonts w:ascii="Arial" w:eastAsia="Calibri" w:hAnsi="Arial" w:cs="Arial"/>
      <w:color w:val="303030"/>
      <w:sz w:val="22"/>
      <w:szCs w:val="22"/>
    </w:rPr>
  </w:style>
  <w:style w:type="character" w:customStyle="1" w:styleId="EmailStyle180">
    <w:name w:val="EmailStyle180"/>
    <w:basedOn w:val="Predvolenpsmoodseku"/>
    <w:semiHidden/>
    <w:rsid w:val="006845F6"/>
    <w:rPr>
      <w:rFonts w:ascii="Arial" w:hAnsi="Arial" w:cs="Arial" w:hint="default"/>
      <w:color w:val="000080"/>
      <w:sz w:val="20"/>
      <w:szCs w:val="20"/>
    </w:rPr>
  </w:style>
  <w:style w:type="paragraph" w:customStyle="1" w:styleId="textzakladny">
    <w:name w:val="text zakladny"/>
    <w:basedOn w:val="Normlny"/>
    <w:autoRedefine/>
    <w:rsid w:val="00EB5524"/>
    <w:pPr>
      <w:spacing w:before="120"/>
      <w:jc w:val="both"/>
    </w:pPr>
    <w:rPr>
      <w:sz w:val="20"/>
      <w:szCs w:val="20"/>
    </w:rPr>
  </w:style>
  <w:style w:type="character" w:customStyle="1" w:styleId="TextpoznmkypodiarouChar">
    <w:name w:val="Text poznámky pod čiarou Char"/>
    <w:aliases w:val="Text poznámky pod čiarou 007 Char,_Poznámka pod čiarou Char,Text poznámky pod èiarou 007 Char,Stinking Styles2 Char,Tekst przypisu- dokt Char,Char Char Char Char1,Char Char Char Char Char Char Char Char Char Char,Car Char"/>
    <w:basedOn w:val="Predvolenpsmoodseku"/>
    <w:link w:val="Textpoznmkypodiarou"/>
    <w:uiPriority w:val="99"/>
    <w:rsid w:val="007077B1"/>
  </w:style>
  <w:style w:type="paragraph" w:customStyle="1" w:styleId="TabHajo">
    <w:name w:val="Tab. Hajo"/>
    <w:basedOn w:val="NzovTabuky"/>
    <w:link w:val="TabHajoChar"/>
    <w:qFormat/>
    <w:rsid w:val="00BF0782"/>
    <w:pPr>
      <w:tabs>
        <w:tab w:val="clear" w:pos="342"/>
      </w:tabs>
      <w:ind w:left="1191" w:hanging="1191"/>
    </w:pPr>
  </w:style>
  <w:style w:type="character" w:customStyle="1" w:styleId="TabHajoChar">
    <w:name w:val="Tab. Hajo Char"/>
    <w:basedOn w:val="NzovTabukyCharChar"/>
    <w:link w:val="TabHajo"/>
    <w:rsid w:val="00BF0782"/>
    <w:rPr>
      <w:snapToGrid w:val="0"/>
      <w:sz w:val="23"/>
      <w:szCs w:val="23"/>
      <w:lang w:val="sk-SK" w:eastAsia="cs-CZ" w:bidi="ar-SA"/>
    </w:rPr>
  </w:style>
  <w:style w:type="paragraph" w:customStyle="1" w:styleId="Text1">
    <w:name w:val="Text 1"/>
    <w:basedOn w:val="Normlny"/>
    <w:rsid w:val="00EB3922"/>
    <w:pPr>
      <w:spacing w:before="120" w:after="120"/>
      <w:ind w:left="850"/>
      <w:jc w:val="both"/>
    </w:pPr>
    <w:rPr>
      <w:lang w:eastAsia="en-GB"/>
    </w:rPr>
  </w:style>
  <w:style w:type="character" w:customStyle="1" w:styleId="Nadpis3Char">
    <w:name w:val="Nadpis 3 Char"/>
    <w:aliases w:val="03_Heading 3 Char"/>
    <w:basedOn w:val="Predvolenpsmoodseku"/>
    <w:link w:val="Nadpis3"/>
    <w:rsid w:val="00031E1D"/>
    <w:rPr>
      <w:rFonts w:ascii="Arial Narrow" w:hAnsi="Arial Narrow" w:cs="Arial"/>
      <w:b/>
      <w:bCs/>
      <w:color w:val="1F497D" w:themeColor="text2"/>
      <w:sz w:val="22"/>
      <w:szCs w:val="26"/>
    </w:rPr>
  </w:style>
  <w:style w:type="table" w:customStyle="1" w:styleId="Mriekatabuky1">
    <w:name w:val="Mriežka tabuľky1"/>
    <w:basedOn w:val="Normlnatabuka"/>
    <w:next w:val="Mriekatabuky"/>
    <w:uiPriority w:val="59"/>
    <w:rsid w:val="00EF45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iln">
    <w:name w:val="Strong"/>
    <w:basedOn w:val="Predvolenpsmoodseku"/>
    <w:uiPriority w:val="22"/>
    <w:qFormat/>
    <w:rsid w:val="00387A89"/>
    <w:rPr>
      <w:b/>
      <w:bCs/>
    </w:rPr>
  </w:style>
  <w:style w:type="character" w:customStyle="1" w:styleId="pre">
    <w:name w:val="pre"/>
    <w:basedOn w:val="Predvolenpsmoodseku"/>
    <w:rsid w:val="00947FDE"/>
  </w:style>
  <w:style w:type="paragraph" w:customStyle="1" w:styleId="Styl3">
    <w:name w:val="Styl3"/>
    <w:basedOn w:val="Normlny"/>
    <w:rsid w:val="00DD73F1"/>
    <w:pPr>
      <w:spacing w:line="360" w:lineRule="auto"/>
    </w:pPr>
    <w:rPr>
      <w:rFonts w:ascii="Arial" w:hAnsi="Arial"/>
      <w:sz w:val="20"/>
      <w:lang w:eastAsia="cs-CZ"/>
    </w:rPr>
  </w:style>
  <w:style w:type="character" w:styleId="Zvraznenie">
    <w:name w:val="Emphasis"/>
    <w:basedOn w:val="Predvolenpsmoodseku"/>
    <w:uiPriority w:val="20"/>
    <w:qFormat/>
    <w:rsid w:val="00C3399A"/>
    <w:rPr>
      <w:i/>
      <w:iCs/>
    </w:rPr>
  </w:style>
  <w:style w:type="paragraph" w:customStyle="1" w:styleId="zkl2">
    <w:name w:val="_zákl.2"/>
    <w:basedOn w:val="Normlny"/>
    <w:rsid w:val="0068106F"/>
    <w:pPr>
      <w:spacing w:before="160"/>
      <w:ind w:firstLine="567"/>
      <w:jc w:val="both"/>
    </w:pPr>
    <w:rPr>
      <w:rFonts w:eastAsiaTheme="minorHAnsi"/>
    </w:rPr>
  </w:style>
  <w:style w:type="paragraph" w:customStyle="1" w:styleId="AUODSEK">
    <w:name w:val="AU ODSEK"/>
    <w:basedOn w:val="Normlny"/>
    <w:rsid w:val="0048210B"/>
    <w:pPr>
      <w:spacing w:before="240"/>
      <w:ind w:firstLine="567"/>
      <w:jc w:val="both"/>
    </w:pPr>
    <w:rPr>
      <w:szCs w:val="20"/>
      <w:lang w:eastAsia="cs-CZ"/>
    </w:rPr>
  </w:style>
  <w:style w:type="character" w:customStyle="1" w:styleId="EmailStyle1941">
    <w:name w:val="EmailStyle1941"/>
    <w:basedOn w:val="Predvolenpsmoodseku"/>
    <w:semiHidden/>
    <w:rsid w:val="007750F3"/>
    <w:rPr>
      <w:rFonts w:ascii="Arial" w:hAnsi="Arial" w:cs="Arial" w:hint="default"/>
      <w:color w:val="000080"/>
      <w:sz w:val="20"/>
      <w:szCs w:val="20"/>
    </w:rPr>
  </w:style>
  <w:style w:type="character" w:customStyle="1" w:styleId="EmailStyle1951">
    <w:name w:val="EmailStyle1951"/>
    <w:basedOn w:val="Predvolenpsmoodseku"/>
    <w:semiHidden/>
    <w:rsid w:val="00C0730B"/>
    <w:rPr>
      <w:rFonts w:ascii="Arial" w:hAnsi="Arial" w:cs="Arial" w:hint="default"/>
      <w:color w:val="000080"/>
      <w:sz w:val="20"/>
      <w:szCs w:val="20"/>
    </w:rPr>
  </w:style>
  <w:style w:type="character" w:customStyle="1" w:styleId="NzovChar">
    <w:name w:val="Názov Char"/>
    <w:aliases w:val="Title Char Char, Char Char"/>
    <w:link w:val="Nzov"/>
    <w:rsid w:val="006156DD"/>
    <w:rPr>
      <w:rFonts w:ascii="Arial" w:hAnsi="Arial" w:cs="Arial"/>
      <w:b/>
      <w:bCs/>
      <w:kern w:val="28"/>
      <w:sz w:val="32"/>
      <w:szCs w:val="32"/>
    </w:rPr>
  </w:style>
  <w:style w:type="paragraph" w:customStyle="1" w:styleId="AUZISTENIE">
    <w:name w:val="AU ZISTENIE"/>
    <w:basedOn w:val="Normlny"/>
    <w:qFormat/>
    <w:rsid w:val="00854495"/>
    <w:pPr>
      <w:overflowPunct w:val="0"/>
      <w:autoSpaceDE w:val="0"/>
      <w:autoSpaceDN w:val="0"/>
      <w:adjustRightInd w:val="0"/>
      <w:jc w:val="both"/>
      <w:textAlignment w:val="baseline"/>
    </w:pPr>
    <w:rPr>
      <w:snapToGrid w:val="0"/>
      <w:sz w:val="22"/>
      <w:szCs w:val="22"/>
      <w:lang w:eastAsia="en-US"/>
    </w:rPr>
  </w:style>
  <w:style w:type="paragraph" w:customStyle="1" w:styleId="PLZISTENIE">
    <w:name w:val="PL ZISTENIE"/>
    <w:basedOn w:val="Normlny"/>
    <w:uiPriority w:val="99"/>
    <w:rsid w:val="00854495"/>
    <w:pPr>
      <w:overflowPunct w:val="0"/>
      <w:autoSpaceDE w:val="0"/>
      <w:autoSpaceDN w:val="0"/>
      <w:adjustRightInd w:val="0"/>
      <w:snapToGrid w:val="0"/>
      <w:spacing w:before="120"/>
      <w:contextualSpacing/>
      <w:jc w:val="both"/>
    </w:pPr>
    <w:rPr>
      <w:sz w:val="22"/>
      <w:szCs w:val="22"/>
      <w:lang w:eastAsia="en-US"/>
    </w:rPr>
  </w:style>
  <w:style w:type="character" w:customStyle="1" w:styleId="HlavikaChar">
    <w:name w:val="Hlavička Char"/>
    <w:link w:val="Hlavika"/>
    <w:uiPriority w:val="99"/>
    <w:rsid w:val="00854495"/>
    <w:rPr>
      <w:sz w:val="24"/>
      <w:szCs w:val="24"/>
    </w:rPr>
  </w:style>
  <w:style w:type="character" w:customStyle="1" w:styleId="TextkomentraChar">
    <w:name w:val="Text komentára Char"/>
    <w:link w:val="Textkomentra"/>
    <w:uiPriority w:val="99"/>
    <w:semiHidden/>
    <w:rsid w:val="008D748A"/>
  </w:style>
  <w:style w:type="character" w:customStyle="1" w:styleId="Nadpis7Char">
    <w:name w:val="Nadpis 7 Char"/>
    <w:link w:val="Nadpis7"/>
    <w:uiPriority w:val="9"/>
    <w:rsid w:val="0078275F"/>
    <w:rPr>
      <w:sz w:val="24"/>
      <w:szCs w:val="24"/>
    </w:rPr>
  </w:style>
  <w:style w:type="paragraph" w:customStyle="1" w:styleId="Tab">
    <w:name w:val="_Tab."/>
    <w:basedOn w:val="NzovTabuky"/>
    <w:next w:val="Normlny"/>
    <w:link w:val="TabChar"/>
    <w:qFormat/>
    <w:rsid w:val="00031E1D"/>
    <w:pPr>
      <w:numPr>
        <w:numId w:val="19"/>
      </w:numPr>
      <w:tabs>
        <w:tab w:val="clear" w:pos="342"/>
        <w:tab w:val="clear" w:pos="851"/>
        <w:tab w:val="left" w:pos="0"/>
        <w:tab w:val="left" w:pos="709"/>
      </w:tabs>
      <w:spacing w:before="180" w:after="0"/>
      <w:jc w:val="left"/>
    </w:pPr>
    <w:rPr>
      <w:sz w:val="22"/>
    </w:rPr>
  </w:style>
  <w:style w:type="character" w:customStyle="1" w:styleId="TabChar">
    <w:name w:val="_Tab. Char"/>
    <w:basedOn w:val="NzovTabukyCharChar"/>
    <w:link w:val="Tab"/>
    <w:rsid w:val="00031E1D"/>
    <w:rPr>
      <w:snapToGrid w:val="0"/>
      <w:sz w:val="22"/>
      <w:szCs w:val="23"/>
      <w:lang w:val="sk-SK" w:eastAsia="cs-CZ" w:bidi="ar-SA"/>
    </w:rPr>
  </w:style>
  <w:style w:type="character" w:customStyle="1" w:styleId="FontStyle88">
    <w:name w:val="Font Style88"/>
    <w:uiPriority w:val="99"/>
    <w:rsid w:val="0079492E"/>
    <w:rPr>
      <w:rFonts w:ascii="Times New Roman" w:hAnsi="Times New Roman" w:cs="Times New Roman"/>
      <w:sz w:val="14"/>
      <w:szCs w:val="14"/>
    </w:rPr>
  </w:style>
  <w:style w:type="paragraph" w:customStyle="1" w:styleId="Style30">
    <w:name w:val="Style30"/>
    <w:basedOn w:val="Normlny"/>
    <w:uiPriority w:val="99"/>
    <w:rsid w:val="0084414B"/>
    <w:pPr>
      <w:widowControl w:val="0"/>
      <w:autoSpaceDE w:val="0"/>
      <w:autoSpaceDN w:val="0"/>
      <w:adjustRightInd w:val="0"/>
    </w:pPr>
  </w:style>
  <w:style w:type="paragraph" w:customStyle="1" w:styleId="Style24">
    <w:name w:val="Style24"/>
    <w:basedOn w:val="Normlny"/>
    <w:uiPriority w:val="99"/>
    <w:rsid w:val="0084414B"/>
    <w:pPr>
      <w:widowControl w:val="0"/>
      <w:autoSpaceDE w:val="0"/>
      <w:autoSpaceDN w:val="0"/>
      <w:adjustRightInd w:val="0"/>
      <w:spacing w:line="187" w:lineRule="exact"/>
    </w:pPr>
  </w:style>
  <w:style w:type="paragraph" w:customStyle="1" w:styleId="Style52">
    <w:name w:val="Style52"/>
    <w:basedOn w:val="Normlny"/>
    <w:uiPriority w:val="99"/>
    <w:rsid w:val="0084414B"/>
    <w:pPr>
      <w:widowControl w:val="0"/>
      <w:autoSpaceDE w:val="0"/>
      <w:autoSpaceDN w:val="0"/>
      <w:adjustRightInd w:val="0"/>
      <w:spacing w:line="187" w:lineRule="exact"/>
      <w:jc w:val="both"/>
    </w:pPr>
  </w:style>
  <w:style w:type="paragraph" w:customStyle="1" w:styleId="Style68">
    <w:name w:val="Style68"/>
    <w:basedOn w:val="Normlny"/>
    <w:uiPriority w:val="99"/>
    <w:rsid w:val="0084414B"/>
    <w:pPr>
      <w:widowControl w:val="0"/>
      <w:autoSpaceDE w:val="0"/>
      <w:autoSpaceDN w:val="0"/>
      <w:adjustRightInd w:val="0"/>
      <w:jc w:val="both"/>
    </w:pPr>
  </w:style>
  <w:style w:type="character" w:customStyle="1" w:styleId="FontStyle86">
    <w:name w:val="Font Style86"/>
    <w:uiPriority w:val="99"/>
    <w:rsid w:val="0084414B"/>
    <w:rPr>
      <w:rFonts w:ascii="Times New Roman" w:hAnsi="Times New Roman" w:cs="Times New Roman"/>
      <w:i/>
      <w:iCs/>
      <w:sz w:val="14"/>
      <w:szCs w:val="14"/>
    </w:rPr>
  </w:style>
  <w:style w:type="paragraph" w:customStyle="1" w:styleId="PRIORITNA">
    <w:name w:val="PRIORITNA"/>
    <w:basedOn w:val="Nadpis2"/>
    <w:link w:val="PRIORITNAChar"/>
    <w:qFormat/>
    <w:rsid w:val="00031E1D"/>
    <w:pPr>
      <w:jc w:val="both"/>
    </w:pPr>
  </w:style>
  <w:style w:type="character" w:customStyle="1" w:styleId="FontStyle51">
    <w:name w:val="Font Style51"/>
    <w:uiPriority w:val="99"/>
    <w:rsid w:val="001A218B"/>
    <w:rPr>
      <w:rFonts w:ascii="Times New Roman" w:hAnsi="Times New Roman" w:cs="Times New Roman"/>
      <w:sz w:val="22"/>
      <w:szCs w:val="22"/>
    </w:rPr>
  </w:style>
  <w:style w:type="character" w:customStyle="1" w:styleId="Nadpis2Char">
    <w:name w:val="Nadpis 2 Char"/>
    <w:aliases w:val="02_Heading 2 Char"/>
    <w:basedOn w:val="Predvolenpsmoodseku"/>
    <w:link w:val="Nadpis2"/>
    <w:rsid w:val="00765DFA"/>
    <w:rPr>
      <w:rFonts w:ascii="Arial Narrow" w:hAnsi="Arial Narrow" w:cs="Arial"/>
      <w:b/>
      <w:bCs/>
      <w:iCs/>
      <w:color w:val="4F81BD" w:themeColor="accent1"/>
      <w:sz w:val="23"/>
      <w:szCs w:val="28"/>
    </w:rPr>
  </w:style>
  <w:style w:type="character" w:customStyle="1" w:styleId="PRIORITNAChar">
    <w:name w:val="PRIORITNA Char"/>
    <w:basedOn w:val="Nadpis2Char"/>
    <w:link w:val="PRIORITNA"/>
    <w:rsid w:val="00031E1D"/>
    <w:rPr>
      <w:rFonts w:ascii="Arial Narrow" w:hAnsi="Arial Narrow" w:cs="Arial"/>
      <w:b/>
      <w:bCs/>
      <w:iCs/>
      <w:color w:val="4F81BD" w:themeColor="accent1"/>
      <w:sz w:val="23"/>
      <w:szCs w:val="28"/>
    </w:rPr>
  </w:style>
  <w:style w:type="paragraph" w:customStyle="1" w:styleId="06Normal">
    <w:name w:val="06_Normal"/>
    <w:link w:val="06NormalChar"/>
    <w:qFormat/>
    <w:rsid w:val="001A218B"/>
    <w:pPr>
      <w:spacing w:before="120" w:after="60"/>
      <w:jc w:val="both"/>
    </w:pPr>
    <w:rPr>
      <w:sz w:val="22"/>
      <w:lang w:eastAsia="en-US"/>
    </w:rPr>
  </w:style>
  <w:style w:type="character" w:customStyle="1" w:styleId="06NormalChar">
    <w:name w:val="06_Normal Char"/>
    <w:link w:val="06Normal"/>
    <w:rsid w:val="001A218B"/>
    <w:rPr>
      <w:sz w:val="22"/>
      <w:lang w:eastAsia="en-US"/>
    </w:rPr>
  </w:style>
  <w:style w:type="paragraph" w:customStyle="1" w:styleId="08Bullet1">
    <w:name w:val="08_Bullet 1"/>
    <w:basedOn w:val="06Normal"/>
    <w:link w:val="08Bullet1Char"/>
    <w:qFormat/>
    <w:rsid w:val="001A218B"/>
    <w:pPr>
      <w:numPr>
        <w:numId w:val="16"/>
      </w:numPr>
      <w:spacing w:before="0" w:after="120"/>
    </w:pPr>
    <w:rPr>
      <w:lang w:eastAsia="cs-CZ"/>
    </w:rPr>
  </w:style>
  <w:style w:type="character" w:customStyle="1" w:styleId="08Bullet1Char">
    <w:name w:val="08_Bullet 1 Char"/>
    <w:link w:val="08Bullet1"/>
    <w:rsid w:val="001A218B"/>
    <w:rPr>
      <w:sz w:val="22"/>
      <w:lang w:eastAsia="cs-CZ"/>
    </w:rPr>
  </w:style>
  <w:style w:type="paragraph" w:customStyle="1" w:styleId="Style40">
    <w:name w:val="Style40"/>
    <w:basedOn w:val="Normlny"/>
    <w:uiPriority w:val="99"/>
    <w:rsid w:val="001A218B"/>
    <w:pPr>
      <w:widowControl w:val="0"/>
      <w:autoSpaceDE w:val="0"/>
      <w:autoSpaceDN w:val="0"/>
      <w:adjustRightInd w:val="0"/>
    </w:pPr>
  </w:style>
  <w:style w:type="paragraph" w:customStyle="1" w:styleId="Style42">
    <w:name w:val="Style42"/>
    <w:basedOn w:val="Normlny"/>
    <w:uiPriority w:val="99"/>
    <w:rsid w:val="001A218B"/>
    <w:pPr>
      <w:widowControl w:val="0"/>
      <w:autoSpaceDE w:val="0"/>
      <w:autoSpaceDN w:val="0"/>
      <w:adjustRightInd w:val="0"/>
      <w:spacing w:line="211" w:lineRule="exact"/>
    </w:pPr>
  </w:style>
  <w:style w:type="character" w:customStyle="1" w:styleId="FontStyle83">
    <w:name w:val="Font Style83"/>
    <w:uiPriority w:val="99"/>
    <w:rsid w:val="001A218B"/>
    <w:rPr>
      <w:rFonts w:ascii="Times New Roman" w:hAnsi="Times New Roman" w:cs="Times New Roman"/>
      <w:b/>
      <w:bCs/>
      <w:sz w:val="16"/>
      <w:szCs w:val="16"/>
    </w:rPr>
  </w:style>
  <w:style w:type="character" w:customStyle="1" w:styleId="FontStyle93">
    <w:name w:val="Font Style93"/>
    <w:uiPriority w:val="99"/>
    <w:rsid w:val="001A218B"/>
    <w:rPr>
      <w:rFonts w:ascii="Times New Roman" w:hAnsi="Times New Roman" w:cs="Times New Roman"/>
      <w:sz w:val="16"/>
      <w:szCs w:val="16"/>
    </w:rPr>
  </w:style>
  <w:style w:type="paragraph" w:customStyle="1" w:styleId="tl1">
    <w:name w:val="Štýl1"/>
    <w:basedOn w:val="Nadpis3"/>
    <w:link w:val="tl1Char"/>
    <w:uiPriority w:val="99"/>
    <w:qFormat/>
    <w:rsid w:val="001A218B"/>
    <w:pPr>
      <w:numPr>
        <w:ilvl w:val="0"/>
        <w:numId w:val="0"/>
      </w:numPr>
      <w:ind w:left="2880" w:hanging="360"/>
      <w:jc w:val="both"/>
    </w:pPr>
    <w:rPr>
      <w:color w:val="4F81BD" w:themeColor="accent1"/>
      <w:sz w:val="23"/>
    </w:rPr>
  </w:style>
  <w:style w:type="character" w:customStyle="1" w:styleId="tl1Char">
    <w:name w:val="Štýl1 Char"/>
    <w:basedOn w:val="Predvolenpsmoodseku"/>
    <w:link w:val="tl1"/>
    <w:uiPriority w:val="99"/>
    <w:rsid w:val="001A218B"/>
    <w:rPr>
      <w:rFonts w:ascii="Arial Narrow" w:hAnsi="Arial Narrow" w:cs="Arial"/>
      <w:b/>
      <w:bCs/>
      <w:color w:val="4F81BD" w:themeColor="accent1"/>
      <w:sz w:val="23"/>
      <w:szCs w:val="26"/>
    </w:rPr>
  </w:style>
  <w:style w:type="character" w:customStyle="1" w:styleId="ObrhajoChar">
    <w:name w:val="Obr. hajo Char"/>
    <w:basedOn w:val="NzovObrzkuChar"/>
    <w:link w:val="Obrhajo"/>
    <w:rsid w:val="00CD3ABF"/>
    <w:rPr>
      <w:b/>
      <w:snapToGrid w:val="0"/>
      <w:sz w:val="22"/>
      <w:szCs w:val="23"/>
      <w:lang w:eastAsia="cs-CZ"/>
    </w:rPr>
  </w:style>
  <w:style w:type="paragraph" w:customStyle="1" w:styleId="Obr">
    <w:name w:val="_Obr."/>
    <w:basedOn w:val="NzovObrzku"/>
    <w:link w:val="ObrChar"/>
    <w:qFormat/>
    <w:rsid w:val="00197539"/>
    <w:pPr>
      <w:tabs>
        <w:tab w:val="clear" w:pos="180"/>
      </w:tabs>
      <w:spacing w:before="180" w:after="0"/>
      <w:ind w:left="851"/>
    </w:pPr>
    <w:rPr>
      <w:sz w:val="22"/>
      <w:szCs w:val="24"/>
    </w:rPr>
  </w:style>
  <w:style w:type="character" w:customStyle="1" w:styleId="ObrChar">
    <w:name w:val="_Obr. Char"/>
    <w:basedOn w:val="NzovObrzkuChar"/>
    <w:link w:val="Obr"/>
    <w:rsid w:val="00197539"/>
    <w:rPr>
      <w:snapToGrid w:val="0"/>
      <w:sz w:val="22"/>
      <w:szCs w:val="24"/>
      <w:lang w:eastAsia="cs-CZ"/>
    </w:rPr>
  </w:style>
  <w:style w:type="paragraph" w:customStyle="1" w:styleId="08TableText">
    <w:name w:val="08_Table_Text"/>
    <w:basedOn w:val="Normlny"/>
    <w:link w:val="08TableTextChar"/>
    <w:qFormat/>
    <w:rsid w:val="00CD3ABF"/>
    <w:pPr>
      <w:spacing w:before="60" w:after="60"/>
      <w:jc w:val="both"/>
    </w:pPr>
    <w:rPr>
      <w:rFonts w:ascii="Arial" w:eastAsia="Calibri" w:hAnsi="Arial" w:cs="Arial"/>
      <w:sz w:val="16"/>
      <w:szCs w:val="20"/>
      <w:lang w:eastAsia="en-US"/>
    </w:rPr>
  </w:style>
  <w:style w:type="character" w:customStyle="1" w:styleId="08TableTextChar">
    <w:name w:val="08_Table_Text Char"/>
    <w:link w:val="08TableText"/>
    <w:rsid w:val="00CD3ABF"/>
    <w:rPr>
      <w:rFonts w:ascii="Arial" w:eastAsia="Calibri" w:hAnsi="Arial" w:cs="Arial"/>
      <w:sz w:val="16"/>
      <w:lang w:eastAsia="en-US"/>
    </w:rPr>
  </w:style>
  <w:style w:type="paragraph" w:customStyle="1" w:styleId="09TableHeading">
    <w:name w:val="09_Table_Heading"/>
    <w:basedOn w:val="08TableText"/>
    <w:link w:val="09TableHeadingChar"/>
    <w:qFormat/>
    <w:rsid w:val="00CD3ABF"/>
    <w:rPr>
      <w:b/>
      <w:color w:val="FFFFFF"/>
    </w:rPr>
  </w:style>
  <w:style w:type="character" w:customStyle="1" w:styleId="09TableHeadingChar">
    <w:name w:val="09_Table_Heading Char"/>
    <w:link w:val="09TableHeading"/>
    <w:rsid w:val="00CD3ABF"/>
    <w:rPr>
      <w:rFonts w:ascii="Arial" w:eastAsia="Calibri" w:hAnsi="Arial" w:cs="Arial"/>
      <w:b/>
      <w:color w:val="FFFFFF"/>
      <w:sz w:val="16"/>
      <w:lang w:eastAsia="en-US"/>
    </w:rPr>
  </w:style>
  <w:style w:type="character" w:customStyle="1" w:styleId="OdsekzoznamuChar">
    <w:name w:val="Odsek zoznamu Char"/>
    <w:basedOn w:val="Predvolenpsmoodseku"/>
    <w:link w:val="Odsekzoznamu"/>
    <w:uiPriority w:val="34"/>
    <w:rsid w:val="00772736"/>
    <w:rPr>
      <w:sz w:val="24"/>
      <w:szCs w:val="24"/>
    </w:rPr>
  </w:style>
  <w:style w:type="paragraph" w:customStyle="1" w:styleId="Graf">
    <w:name w:val="_Graf"/>
    <w:basedOn w:val="NzovObrzku"/>
    <w:link w:val="GrafChar"/>
    <w:qFormat/>
    <w:rsid w:val="009D2BD5"/>
    <w:pPr>
      <w:numPr>
        <w:numId w:val="29"/>
      </w:numPr>
      <w:ind w:left="851" w:hanging="851"/>
    </w:pPr>
    <w:rPr>
      <w:sz w:val="22"/>
    </w:rPr>
  </w:style>
  <w:style w:type="character" w:customStyle="1" w:styleId="GrafChar">
    <w:name w:val="_Graf Char"/>
    <w:basedOn w:val="NzovObrzkuChar"/>
    <w:link w:val="Graf"/>
    <w:rsid w:val="009D2BD5"/>
    <w:rPr>
      <w:snapToGrid w:val="0"/>
      <w:sz w:val="22"/>
      <w:szCs w:val="23"/>
      <w:lang w:eastAsia="cs-CZ"/>
    </w:rPr>
  </w:style>
  <w:style w:type="paragraph" w:styleId="Hlavikaobsahu">
    <w:name w:val="TOC Heading"/>
    <w:basedOn w:val="Nadpis1"/>
    <w:next w:val="Normlny"/>
    <w:uiPriority w:val="39"/>
    <w:semiHidden/>
    <w:unhideWhenUsed/>
    <w:qFormat/>
    <w:rsid w:val="00717C03"/>
    <w:pPr>
      <w:keepLines/>
      <w:numPr>
        <w:numId w:val="0"/>
      </w:numPr>
      <w:spacing w:before="480" w:after="0" w:line="276" w:lineRule="auto"/>
      <w:outlineLvl w:val="9"/>
    </w:pPr>
    <w:rPr>
      <w:rFonts w:asciiTheme="majorHAnsi" w:eastAsiaTheme="majorEastAsia" w:hAnsiTheme="majorHAnsi" w:cstheme="majorBidi"/>
      <w:color w:val="365F91" w:themeColor="accent1" w:themeShade="BF"/>
      <w:kern w:val="0"/>
      <w:szCs w:val="28"/>
      <w:lang w:eastAsia="en-US"/>
    </w:rPr>
  </w:style>
  <w:style w:type="paragraph" w:customStyle="1" w:styleId="tl2">
    <w:name w:val="Štýl2"/>
    <w:basedOn w:val="Nadpis4"/>
    <w:link w:val="tl2Char"/>
    <w:qFormat/>
    <w:rsid w:val="007008C5"/>
  </w:style>
  <w:style w:type="character" w:customStyle="1" w:styleId="Nadpis4Char">
    <w:name w:val="Nadpis 4 Char"/>
    <w:basedOn w:val="Predvolenpsmoodseku"/>
    <w:link w:val="Nadpis4"/>
    <w:rsid w:val="00740654"/>
    <w:rPr>
      <w:rFonts w:ascii="Arial Narrow" w:hAnsi="Arial Narrow"/>
      <w:b/>
      <w:bCs/>
      <w:i/>
      <w:color w:val="548DD4" w:themeColor="text2" w:themeTint="99"/>
      <w:sz w:val="22"/>
      <w:szCs w:val="28"/>
    </w:rPr>
  </w:style>
  <w:style w:type="character" w:customStyle="1" w:styleId="tl2Char">
    <w:name w:val="Štýl2 Char"/>
    <w:basedOn w:val="Nadpis4Char"/>
    <w:link w:val="tl2"/>
    <w:rsid w:val="007008C5"/>
    <w:rPr>
      <w:rFonts w:ascii="Arial Narrow" w:hAnsi="Arial Narrow"/>
      <w:b/>
      <w:bCs/>
      <w:i/>
      <w:color w:val="548DD4" w:themeColor="text2" w:themeTint="99"/>
      <w:sz w:val="22"/>
      <w:szCs w:val="28"/>
    </w:rPr>
  </w:style>
  <w:style w:type="paragraph" w:customStyle="1" w:styleId="tl3">
    <w:name w:val="Štýl3"/>
    <w:basedOn w:val="Nadpis4"/>
    <w:link w:val="tl3Char"/>
    <w:qFormat/>
    <w:rsid w:val="00607D47"/>
  </w:style>
  <w:style w:type="character" w:customStyle="1" w:styleId="tl3Char">
    <w:name w:val="Štýl3 Char"/>
    <w:basedOn w:val="Nadpis4Char"/>
    <w:link w:val="tl3"/>
    <w:rsid w:val="00607D47"/>
    <w:rPr>
      <w:rFonts w:ascii="Arial Narrow" w:hAnsi="Arial Narrow"/>
      <w:b/>
      <w:bCs/>
      <w:i/>
      <w:color w:val="548DD4" w:themeColor="text2" w:themeTint="99"/>
      <w:sz w:val="22"/>
      <w:szCs w:val="28"/>
    </w:rPr>
  </w:style>
  <w:style w:type="paragraph" w:customStyle="1" w:styleId="odsaden">
    <w:name w:val="odsadený"/>
    <w:basedOn w:val="Normlny"/>
    <w:uiPriority w:val="99"/>
    <w:rsid w:val="001A49CC"/>
    <w:pPr>
      <w:widowControl w:val="0"/>
      <w:numPr>
        <w:numId w:val="53"/>
      </w:numPr>
      <w:tabs>
        <w:tab w:val="left" w:pos="567"/>
        <w:tab w:val="left" w:pos="1701"/>
      </w:tabs>
      <w:adjustRightInd w:val="0"/>
      <w:spacing w:before="60" w:after="80" w:line="360" w:lineRule="atLeast"/>
      <w:jc w:val="both"/>
      <w:textAlignment w:val="baseline"/>
    </w:pPr>
    <w:rPr>
      <w:lang w:eastAsia="cs-CZ"/>
    </w:rPr>
  </w:style>
  <w:style w:type="paragraph" w:customStyle="1" w:styleId="18Textvtabulke">
    <w:name w:val="18_Text_v_tabulke"/>
    <w:basedOn w:val="Normlny"/>
    <w:link w:val="18TextvtabulkeChar"/>
    <w:qFormat/>
    <w:rsid w:val="002D5849"/>
    <w:rPr>
      <w:sz w:val="18"/>
      <w:szCs w:val="18"/>
    </w:rPr>
  </w:style>
  <w:style w:type="character" w:customStyle="1" w:styleId="18TextvtabulkeChar">
    <w:name w:val="18_Text_v_tabulke Char"/>
    <w:basedOn w:val="Predvolenpsmoodseku"/>
    <w:link w:val="18Textvtabulke"/>
    <w:rsid w:val="002D5849"/>
    <w:rPr>
      <w:sz w:val="18"/>
      <w:szCs w:val="18"/>
    </w:rPr>
  </w:style>
  <w:style w:type="paragraph" w:customStyle="1" w:styleId="09Bullet2">
    <w:name w:val="09_Bullet 2"/>
    <w:basedOn w:val="Normlny"/>
    <w:link w:val="09Bullet2Char"/>
    <w:qFormat/>
    <w:rsid w:val="001A1926"/>
    <w:pPr>
      <w:numPr>
        <w:numId w:val="64"/>
      </w:numPr>
      <w:spacing w:before="120" w:after="120"/>
      <w:jc w:val="both"/>
    </w:pPr>
    <w:rPr>
      <w:sz w:val="22"/>
      <w:szCs w:val="20"/>
      <w:lang w:val="en-US" w:eastAsia="en-US"/>
    </w:rPr>
  </w:style>
  <w:style w:type="character" w:customStyle="1" w:styleId="09Bullet2Char">
    <w:name w:val="09_Bullet 2 Char"/>
    <w:basedOn w:val="08Bullet1Char"/>
    <w:link w:val="09Bullet2"/>
    <w:rsid w:val="001A1926"/>
    <w:rPr>
      <w:sz w:val="22"/>
      <w:lang w:val="en-US" w:eastAsia="en-US"/>
    </w:rPr>
  </w:style>
  <w:style w:type="paragraph" w:styleId="Revzia">
    <w:name w:val="Revision"/>
    <w:hidden/>
    <w:uiPriority w:val="99"/>
    <w:semiHidden/>
    <w:rsid w:val="00D90E59"/>
    <w:rPr>
      <w:sz w:val="24"/>
      <w:szCs w:val="24"/>
    </w:rPr>
  </w:style>
  <w:style w:type="character" w:customStyle="1" w:styleId="Nadpis6Char">
    <w:name w:val="Nadpis 6 Char"/>
    <w:basedOn w:val="Predvolenpsmoodseku"/>
    <w:link w:val="Nadpis6"/>
    <w:uiPriority w:val="9"/>
    <w:rsid w:val="004459AB"/>
    <w:rPr>
      <w:b/>
      <w:bCs/>
      <w:sz w:val="22"/>
      <w:szCs w:val="22"/>
    </w:rPr>
  </w:style>
  <w:style w:type="paragraph" w:customStyle="1" w:styleId="09Table">
    <w:name w:val="09_Table"/>
    <w:basedOn w:val="Normlny"/>
    <w:link w:val="09TableChar"/>
    <w:rsid w:val="008246A5"/>
    <w:pPr>
      <w:jc w:val="center"/>
    </w:pPr>
    <w:rPr>
      <w:sz w:val="18"/>
      <w:szCs w:val="18"/>
    </w:rPr>
  </w:style>
  <w:style w:type="character" w:customStyle="1" w:styleId="09TableChar">
    <w:name w:val="09_Table Char"/>
    <w:basedOn w:val="Predvolenpsmoodseku"/>
    <w:link w:val="09Table"/>
    <w:rsid w:val="008246A5"/>
    <w:rPr>
      <w:sz w:val="18"/>
      <w:szCs w:val="18"/>
    </w:rPr>
  </w:style>
  <w:style w:type="paragraph" w:customStyle="1" w:styleId="Vchodzie">
    <w:name w:val="Východzie"/>
    <w:rsid w:val="00844520"/>
    <w:pPr>
      <w:suppressAutoHyphens/>
      <w:overflowPunct w:val="0"/>
      <w:spacing w:before="120" w:after="120" w:line="276" w:lineRule="auto"/>
      <w:jc w:val="both"/>
    </w:pPr>
    <w:rPr>
      <w:rFonts w:ascii="Calibri" w:eastAsiaTheme="minorEastAsia" w:hAnsi="Calibri" w:cs="Mangal"/>
      <w:color w:val="00000A"/>
      <w:sz w:val="22"/>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sk-SK" w:eastAsia="sk-SK"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4965420">
      <w:bodyDiv w:val="1"/>
      <w:marLeft w:val="0"/>
      <w:marRight w:val="0"/>
      <w:marTop w:val="0"/>
      <w:marBottom w:val="0"/>
      <w:divBdr>
        <w:top w:val="none" w:sz="0" w:space="0" w:color="auto"/>
        <w:left w:val="none" w:sz="0" w:space="0" w:color="auto"/>
        <w:bottom w:val="none" w:sz="0" w:space="0" w:color="auto"/>
        <w:right w:val="none" w:sz="0" w:space="0" w:color="auto"/>
      </w:divBdr>
    </w:div>
    <w:div w:id="16540851">
      <w:bodyDiv w:val="1"/>
      <w:marLeft w:val="0"/>
      <w:marRight w:val="0"/>
      <w:marTop w:val="0"/>
      <w:marBottom w:val="0"/>
      <w:divBdr>
        <w:top w:val="none" w:sz="0" w:space="0" w:color="auto"/>
        <w:left w:val="none" w:sz="0" w:space="0" w:color="auto"/>
        <w:bottom w:val="none" w:sz="0" w:space="0" w:color="auto"/>
        <w:right w:val="none" w:sz="0" w:space="0" w:color="auto"/>
      </w:divBdr>
    </w:div>
    <w:div w:id="19281261">
      <w:bodyDiv w:val="1"/>
      <w:marLeft w:val="0"/>
      <w:marRight w:val="0"/>
      <w:marTop w:val="0"/>
      <w:marBottom w:val="0"/>
      <w:divBdr>
        <w:top w:val="none" w:sz="0" w:space="0" w:color="auto"/>
        <w:left w:val="none" w:sz="0" w:space="0" w:color="auto"/>
        <w:bottom w:val="none" w:sz="0" w:space="0" w:color="auto"/>
        <w:right w:val="none" w:sz="0" w:space="0" w:color="auto"/>
      </w:divBdr>
    </w:div>
    <w:div w:id="27681337">
      <w:bodyDiv w:val="1"/>
      <w:marLeft w:val="0"/>
      <w:marRight w:val="0"/>
      <w:marTop w:val="0"/>
      <w:marBottom w:val="0"/>
      <w:divBdr>
        <w:top w:val="none" w:sz="0" w:space="0" w:color="auto"/>
        <w:left w:val="none" w:sz="0" w:space="0" w:color="auto"/>
        <w:bottom w:val="none" w:sz="0" w:space="0" w:color="auto"/>
        <w:right w:val="none" w:sz="0" w:space="0" w:color="auto"/>
      </w:divBdr>
    </w:div>
    <w:div w:id="29500336">
      <w:bodyDiv w:val="1"/>
      <w:marLeft w:val="0"/>
      <w:marRight w:val="0"/>
      <w:marTop w:val="0"/>
      <w:marBottom w:val="0"/>
      <w:divBdr>
        <w:top w:val="none" w:sz="0" w:space="0" w:color="auto"/>
        <w:left w:val="none" w:sz="0" w:space="0" w:color="auto"/>
        <w:bottom w:val="none" w:sz="0" w:space="0" w:color="auto"/>
        <w:right w:val="none" w:sz="0" w:space="0" w:color="auto"/>
      </w:divBdr>
    </w:div>
    <w:div w:id="32854820">
      <w:bodyDiv w:val="1"/>
      <w:marLeft w:val="0"/>
      <w:marRight w:val="0"/>
      <w:marTop w:val="0"/>
      <w:marBottom w:val="0"/>
      <w:divBdr>
        <w:top w:val="none" w:sz="0" w:space="0" w:color="auto"/>
        <w:left w:val="none" w:sz="0" w:space="0" w:color="auto"/>
        <w:bottom w:val="none" w:sz="0" w:space="0" w:color="auto"/>
        <w:right w:val="none" w:sz="0" w:space="0" w:color="auto"/>
      </w:divBdr>
    </w:div>
    <w:div w:id="35813307">
      <w:bodyDiv w:val="1"/>
      <w:marLeft w:val="0"/>
      <w:marRight w:val="0"/>
      <w:marTop w:val="0"/>
      <w:marBottom w:val="0"/>
      <w:divBdr>
        <w:top w:val="none" w:sz="0" w:space="0" w:color="auto"/>
        <w:left w:val="none" w:sz="0" w:space="0" w:color="auto"/>
        <w:bottom w:val="none" w:sz="0" w:space="0" w:color="auto"/>
        <w:right w:val="none" w:sz="0" w:space="0" w:color="auto"/>
      </w:divBdr>
    </w:div>
    <w:div w:id="44765631">
      <w:bodyDiv w:val="1"/>
      <w:marLeft w:val="0"/>
      <w:marRight w:val="0"/>
      <w:marTop w:val="0"/>
      <w:marBottom w:val="0"/>
      <w:divBdr>
        <w:top w:val="none" w:sz="0" w:space="0" w:color="auto"/>
        <w:left w:val="none" w:sz="0" w:space="0" w:color="auto"/>
        <w:bottom w:val="none" w:sz="0" w:space="0" w:color="auto"/>
        <w:right w:val="none" w:sz="0" w:space="0" w:color="auto"/>
      </w:divBdr>
    </w:div>
    <w:div w:id="51387234">
      <w:bodyDiv w:val="1"/>
      <w:marLeft w:val="0"/>
      <w:marRight w:val="0"/>
      <w:marTop w:val="0"/>
      <w:marBottom w:val="0"/>
      <w:divBdr>
        <w:top w:val="none" w:sz="0" w:space="0" w:color="auto"/>
        <w:left w:val="none" w:sz="0" w:space="0" w:color="auto"/>
        <w:bottom w:val="none" w:sz="0" w:space="0" w:color="auto"/>
        <w:right w:val="none" w:sz="0" w:space="0" w:color="auto"/>
      </w:divBdr>
    </w:div>
    <w:div w:id="59863201">
      <w:bodyDiv w:val="1"/>
      <w:marLeft w:val="0"/>
      <w:marRight w:val="0"/>
      <w:marTop w:val="0"/>
      <w:marBottom w:val="0"/>
      <w:divBdr>
        <w:top w:val="none" w:sz="0" w:space="0" w:color="auto"/>
        <w:left w:val="none" w:sz="0" w:space="0" w:color="auto"/>
        <w:bottom w:val="none" w:sz="0" w:space="0" w:color="auto"/>
        <w:right w:val="none" w:sz="0" w:space="0" w:color="auto"/>
      </w:divBdr>
    </w:div>
    <w:div w:id="60493594">
      <w:bodyDiv w:val="1"/>
      <w:marLeft w:val="0"/>
      <w:marRight w:val="0"/>
      <w:marTop w:val="0"/>
      <w:marBottom w:val="0"/>
      <w:divBdr>
        <w:top w:val="none" w:sz="0" w:space="0" w:color="auto"/>
        <w:left w:val="none" w:sz="0" w:space="0" w:color="auto"/>
        <w:bottom w:val="none" w:sz="0" w:space="0" w:color="auto"/>
        <w:right w:val="none" w:sz="0" w:space="0" w:color="auto"/>
      </w:divBdr>
    </w:div>
    <w:div w:id="70154008">
      <w:bodyDiv w:val="1"/>
      <w:marLeft w:val="0"/>
      <w:marRight w:val="0"/>
      <w:marTop w:val="0"/>
      <w:marBottom w:val="0"/>
      <w:divBdr>
        <w:top w:val="none" w:sz="0" w:space="0" w:color="auto"/>
        <w:left w:val="none" w:sz="0" w:space="0" w:color="auto"/>
        <w:bottom w:val="none" w:sz="0" w:space="0" w:color="auto"/>
        <w:right w:val="none" w:sz="0" w:space="0" w:color="auto"/>
      </w:divBdr>
    </w:div>
    <w:div w:id="77293420">
      <w:bodyDiv w:val="1"/>
      <w:marLeft w:val="0"/>
      <w:marRight w:val="0"/>
      <w:marTop w:val="0"/>
      <w:marBottom w:val="0"/>
      <w:divBdr>
        <w:top w:val="none" w:sz="0" w:space="0" w:color="auto"/>
        <w:left w:val="none" w:sz="0" w:space="0" w:color="auto"/>
        <w:bottom w:val="none" w:sz="0" w:space="0" w:color="auto"/>
        <w:right w:val="none" w:sz="0" w:space="0" w:color="auto"/>
      </w:divBdr>
    </w:div>
    <w:div w:id="84691636">
      <w:bodyDiv w:val="1"/>
      <w:marLeft w:val="0"/>
      <w:marRight w:val="0"/>
      <w:marTop w:val="0"/>
      <w:marBottom w:val="0"/>
      <w:divBdr>
        <w:top w:val="none" w:sz="0" w:space="0" w:color="auto"/>
        <w:left w:val="none" w:sz="0" w:space="0" w:color="auto"/>
        <w:bottom w:val="none" w:sz="0" w:space="0" w:color="auto"/>
        <w:right w:val="none" w:sz="0" w:space="0" w:color="auto"/>
      </w:divBdr>
    </w:div>
    <w:div w:id="98647330">
      <w:bodyDiv w:val="1"/>
      <w:marLeft w:val="0"/>
      <w:marRight w:val="0"/>
      <w:marTop w:val="0"/>
      <w:marBottom w:val="0"/>
      <w:divBdr>
        <w:top w:val="none" w:sz="0" w:space="0" w:color="auto"/>
        <w:left w:val="none" w:sz="0" w:space="0" w:color="auto"/>
        <w:bottom w:val="none" w:sz="0" w:space="0" w:color="auto"/>
        <w:right w:val="none" w:sz="0" w:space="0" w:color="auto"/>
      </w:divBdr>
    </w:div>
    <w:div w:id="99179342">
      <w:bodyDiv w:val="1"/>
      <w:marLeft w:val="0"/>
      <w:marRight w:val="0"/>
      <w:marTop w:val="0"/>
      <w:marBottom w:val="0"/>
      <w:divBdr>
        <w:top w:val="none" w:sz="0" w:space="0" w:color="auto"/>
        <w:left w:val="none" w:sz="0" w:space="0" w:color="auto"/>
        <w:bottom w:val="none" w:sz="0" w:space="0" w:color="auto"/>
        <w:right w:val="none" w:sz="0" w:space="0" w:color="auto"/>
      </w:divBdr>
    </w:div>
    <w:div w:id="101607826">
      <w:bodyDiv w:val="1"/>
      <w:marLeft w:val="0"/>
      <w:marRight w:val="0"/>
      <w:marTop w:val="0"/>
      <w:marBottom w:val="0"/>
      <w:divBdr>
        <w:top w:val="none" w:sz="0" w:space="0" w:color="auto"/>
        <w:left w:val="none" w:sz="0" w:space="0" w:color="auto"/>
        <w:bottom w:val="none" w:sz="0" w:space="0" w:color="auto"/>
        <w:right w:val="none" w:sz="0" w:space="0" w:color="auto"/>
      </w:divBdr>
    </w:div>
    <w:div w:id="115831551">
      <w:bodyDiv w:val="1"/>
      <w:marLeft w:val="0"/>
      <w:marRight w:val="0"/>
      <w:marTop w:val="0"/>
      <w:marBottom w:val="0"/>
      <w:divBdr>
        <w:top w:val="none" w:sz="0" w:space="0" w:color="auto"/>
        <w:left w:val="none" w:sz="0" w:space="0" w:color="auto"/>
        <w:bottom w:val="none" w:sz="0" w:space="0" w:color="auto"/>
        <w:right w:val="none" w:sz="0" w:space="0" w:color="auto"/>
      </w:divBdr>
    </w:div>
    <w:div w:id="121196889">
      <w:bodyDiv w:val="1"/>
      <w:marLeft w:val="0"/>
      <w:marRight w:val="0"/>
      <w:marTop w:val="0"/>
      <w:marBottom w:val="0"/>
      <w:divBdr>
        <w:top w:val="none" w:sz="0" w:space="0" w:color="auto"/>
        <w:left w:val="none" w:sz="0" w:space="0" w:color="auto"/>
        <w:bottom w:val="none" w:sz="0" w:space="0" w:color="auto"/>
        <w:right w:val="none" w:sz="0" w:space="0" w:color="auto"/>
      </w:divBdr>
    </w:div>
    <w:div w:id="121733078">
      <w:bodyDiv w:val="1"/>
      <w:marLeft w:val="0"/>
      <w:marRight w:val="0"/>
      <w:marTop w:val="0"/>
      <w:marBottom w:val="0"/>
      <w:divBdr>
        <w:top w:val="none" w:sz="0" w:space="0" w:color="auto"/>
        <w:left w:val="none" w:sz="0" w:space="0" w:color="auto"/>
        <w:bottom w:val="none" w:sz="0" w:space="0" w:color="auto"/>
        <w:right w:val="none" w:sz="0" w:space="0" w:color="auto"/>
      </w:divBdr>
    </w:div>
    <w:div w:id="123349829">
      <w:bodyDiv w:val="1"/>
      <w:marLeft w:val="0"/>
      <w:marRight w:val="0"/>
      <w:marTop w:val="0"/>
      <w:marBottom w:val="0"/>
      <w:divBdr>
        <w:top w:val="none" w:sz="0" w:space="0" w:color="auto"/>
        <w:left w:val="none" w:sz="0" w:space="0" w:color="auto"/>
        <w:bottom w:val="none" w:sz="0" w:space="0" w:color="auto"/>
        <w:right w:val="none" w:sz="0" w:space="0" w:color="auto"/>
      </w:divBdr>
    </w:div>
    <w:div w:id="123619666">
      <w:bodyDiv w:val="1"/>
      <w:marLeft w:val="0"/>
      <w:marRight w:val="0"/>
      <w:marTop w:val="0"/>
      <w:marBottom w:val="0"/>
      <w:divBdr>
        <w:top w:val="none" w:sz="0" w:space="0" w:color="auto"/>
        <w:left w:val="none" w:sz="0" w:space="0" w:color="auto"/>
        <w:bottom w:val="none" w:sz="0" w:space="0" w:color="auto"/>
        <w:right w:val="none" w:sz="0" w:space="0" w:color="auto"/>
      </w:divBdr>
    </w:div>
    <w:div w:id="124349520">
      <w:bodyDiv w:val="1"/>
      <w:marLeft w:val="0"/>
      <w:marRight w:val="0"/>
      <w:marTop w:val="0"/>
      <w:marBottom w:val="0"/>
      <w:divBdr>
        <w:top w:val="none" w:sz="0" w:space="0" w:color="auto"/>
        <w:left w:val="none" w:sz="0" w:space="0" w:color="auto"/>
        <w:bottom w:val="none" w:sz="0" w:space="0" w:color="auto"/>
        <w:right w:val="none" w:sz="0" w:space="0" w:color="auto"/>
      </w:divBdr>
    </w:div>
    <w:div w:id="128328028">
      <w:bodyDiv w:val="1"/>
      <w:marLeft w:val="0"/>
      <w:marRight w:val="0"/>
      <w:marTop w:val="0"/>
      <w:marBottom w:val="0"/>
      <w:divBdr>
        <w:top w:val="none" w:sz="0" w:space="0" w:color="auto"/>
        <w:left w:val="none" w:sz="0" w:space="0" w:color="auto"/>
        <w:bottom w:val="none" w:sz="0" w:space="0" w:color="auto"/>
        <w:right w:val="none" w:sz="0" w:space="0" w:color="auto"/>
      </w:divBdr>
    </w:div>
    <w:div w:id="131757125">
      <w:bodyDiv w:val="1"/>
      <w:marLeft w:val="0"/>
      <w:marRight w:val="0"/>
      <w:marTop w:val="0"/>
      <w:marBottom w:val="0"/>
      <w:divBdr>
        <w:top w:val="none" w:sz="0" w:space="0" w:color="auto"/>
        <w:left w:val="none" w:sz="0" w:space="0" w:color="auto"/>
        <w:bottom w:val="none" w:sz="0" w:space="0" w:color="auto"/>
        <w:right w:val="none" w:sz="0" w:space="0" w:color="auto"/>
      </w:divBdr>
    </w:div>
    <w:div w:id="132526792">
      <w:bodyDiv w:val="1"/>
      <w:marLeft w:val="0"/>
      <w:marRight w:val="0"/>
      <w:marTop w:val="0"/>
      <w:marBottom w:val="0"/>
      <w:divBdr>
        <w:top w:val="none" w:sz="0" w:space="0" w:color="auto"/>
        <w:left w:val="none" w:sz="0" w:space="0" w:color="auto"/>
        <w:bottom w:val="none" w:sz="0" w:space="0" w:color="auto"/>
        <w:right w:val="none" w:sz="0" w:space="0" w:color="auto"/>
      </w:divBdr>
    </w:div>
    <w:div w:id="142695260">
      <w:bodyDiv w:val="1"/>
      <w:marLeft w:val="0"/>
      <w:marRight w:val="0"/>
      <w:marTop w:val="0"/>
      <w:marBottom w:val="0"/>
      <w:divBdr>
        <w:top w:val="none" w:sz="0" w:space="0" w:color="auto"/>
        <w:left w:val="none" w:sz="0" w:space="0" w:color="auto"/>
        <w:bottom w:val="none" w:sz="0" w:space="0" w:color="auto"/>
        <w:right w:val="none" w:sz="0" w:space="0" w:color="auto"/>
      </w:divBdr>
    </w:div>
    <w:div w:id="143207868">
      <w:bodyDiv w:val="1"/>
      <w:marLeft w:val="0"/>
      <w:marRight w:val="0"/>
      <w:marTop w:val="0"/>
      <w:marBottom w:val="0"/>
      <w:divBdr>
        <w:top w:val="none" w:sz="0" w:space="0" w:color="auto"/>
        <w:left w:val="none" w:sz="0" w:space="0" w:color="auto"/>
        <w:bottom w:val="none" w:sz="0" w:space="0" w:color="auto"/>
        <w:right w:val="none" w:sz="0" w:space="0" w:color="auto"/>
      </w:divBdr>
    </w:div>
    <w:div w:id="144207545">
      <w:bodyDiv w:val="1"/>
      <w:marLeft w:val="0"/>
      <w:marRight w:val="0"/>
      <w:marTop w:val="0"/>
      <w:marBottom w:val="0"/>
      <w:divBdr>
        <w:top w:val="none" w:sz="0" w:space="0" w:color="auto"/>
        <w:left w:val="none" w:sz="0" w:space="0" w:color="auto"/>
        <w:bottom w:val="none" w:sz="0" w:space="0" w:color="auto"/>
        <w:right w:val="none" w:sz="0" w:space="0" w:color="auto"/>
      </w:divBdr>
    </w:div>
    <w:div w:id="154148274">
      <w:bodyDiv w:val="1"/>
      <w:marLeft w:val="0"/>
      <w:marRight w:val="0"/>
      <w:marTop w:val="0"/>
      <w:marBottom w:val="0"/>
      <w:divBdr>
        <w:top w:val="none" w:sz="0" w:space="0" w:color="auto"/>
        <w:left w:val="none" w:sz="0" w:space="0" w:color="auto"/>
        <w:bottom w:val="none" w:sz="0" w:space="0" w:color="auto"/>
        <w:right w:val="none" w:sz="0" w:space="0" w:color="auto"/>
      </w:divBdr>
    </w:div>
    <w:div w:id="155197231">
      <w:bodyDiv w:val="1"/>
      <w:marLeft w:val="0"/>
      <w:marRight w:val="0"/>
      <w:marTop w:val="0"/>
      <w:marBottom w:val="0"/>
      <w:divBdr>
        <w:top w:val="none" w:sz="0" w:space="0" w:color="auto"/>
        <w:left w:val="none" w:sz="0" w:space="0" w:color="auto"/>
        <w:bottom w:val="none" w:sz="0" w:space="0" w:color="auto"/>
        <w:right w:val="none" w:sz="0" w:space="0" w:color="auto"/>
      </w:divBdr>
    </w:div>
    <w:div w:id="155848537">
      <w:bodyDiv w:val="1"/>
      <w:marLeft w:val="0"/>
      <w:marRight w:val="0"/>
      <w:marTop w:val="0"/>
      <w:marBottom w:val="0"/>
      <w:divBdr>
        <w:top w:val="none" w:sz="0" w:space="0" w:color="auto"/>
        <w:left w:val="none" w:sz="0" w:space="0" w:color="auto"/>
        <w:bottom w:val="none" w:sz="0" w:space="0" w:color="auto"/>
        <w:right w:val="none" w:sz="0" w:space="0" w:color="auto"/>
      </w:divBdr>
    </w:div>
    <w:div w:id="156843669">
      <w:bodyDiv w:val="1"/>
      <w:marLeft w:val="0"/>
      <w:marRight w:val="0"/>
      <w:marTop w:val="0"/>
      <w:marBottom w:val="0"/>
      <w:divBdr>
        <w:top w:val="none" w:sz="0" w:space="0" w:color="auto"/>
        <w:left w:val="none" w:sz="0" w:space="0" w:color="auto"/>
        <w:bottom w:val="none" w:sz="0" w:space="0" w:color="auto"/>
        <w:right w:val="none" w:sz="0" w:space="0" w:color="auto"/>
      </w:divBdr>
    </w:div>
    <w:div w:id="160783337">
      <w:bodyDiv w:val="1"/>
      <w:marLeft w:val="0"/>
      <w:marRight w:val="0"/>
      <w:marTop w:val="0"/>
      <w:marBottom w:val="0"/>
      <w:divBdr>
        <w:top w:val="none" w:sz="0" w:space="0" w:color="auto"/>
        <w:left w:val="none" w:sz="0" w:space="0" w:color="auto"/>
        <w:bottom w:val="none" w:sz="0" w:space="0" w:color="auto"/>
        <w:right w:val="none" w:sz="0" w:space="0" w:color="auto"/>
      </w:divBdr>
    </w:div>
    <w:div w:id="163712969">
      <w:bodyDiv w:val="1"/>
      <w:marLeft w:val="0"/>
      <w:marRight w:val="0"/>
      <w:marTop w:val="0"/>
      <w:marBottom w:val="0"/>
      <w:divBdr>
        <w:top w:val="none" w:sz="0" w:space="0" w:color="auto"/>
        <w:left w:val="none" w:sz="0" w:space="0" w:color="auto"/>
        <w:bottom w:val="none" w:sz="0" w:space="0" w:color="auto"/>
        <w:right w:val="none" w:sz="0" w:space="0" w:color="auto"/>
      </w:divBdr>
    </w:div>
    <w:div w:id="166097529">
      <w:bodyDiv w:val="1"/>
      <w:marLeft w:val="0"/>
      <w:marRight w:val="0"/>
      <w:marTop w:val="0"/>
      <w:marBottom w:val="0"/>
      <w:divBdr>
        <w:top w:val="none" w:sz="0" w:space="0" w:color="auto"/>
        <w:left w:val="none" w:sz="0" w:space="0" w:color="auto"/>
        <w:bottom w:val="none" w:sz="0" w:space="0" w:color="auto"/>
        <w:right w:val="none" w:sz="0" w:space="0" w:color="auto"/>
      </w:divBdr>
    </w:div>
    <w:div w:id="166948619">
      <w:bodyDiv w:val="1"/>
      <w:marLeft w:val="0"/>
      <w:marRight w:val="0"/>
      <w:marTop w:val="0"/>
      <w:marBottom w:val="0"/>
      <w:divBdr>
        <w:top w:val="none" w:sz="0" w:space="0" w:color="auto"/>
        <w:left w:val="none" w:sz="0" w:space="0" w:color="auto"/>
        <w:bottom w:val="none" w:sz="0" w:space="0" w:color="auto"/>
        <w:right w:val="none" w:sz="0" w:space="0" w:color="auto"/>
      </w:divBdr>
    </w:div>
    <w:div w:id="168912491">
      <w:bodyDiv w:val="1"/>
      <w:marLeft w:val="0"/>
      <w:marRight w:val="0"/>
      <w:marTop w:val="0"/>
      <w:marBottom w:val="0"/>
      <w:divBdr>
        <w:top w:val="none" w:sz="0" w:space="0" w:color="auto"/>
        <w:left w:val="none" w:sz="0" w:space="0" w:color="auto"/>
        <w:bottom w:val="none" w:sz="0" w:space="0" w:color="auto"/>
        <w:right w:val="none" w:sz="0" w:space="0" w:color="auto"/>
      </w:divBdr>
    </w:div>
    <w:div w:id="173426273">
      <w:bodyDiv w:val="1"/>
      <w:marLeft w:val="0"/>
      <w:marRight w:val="0"/>
      <w:marTop w:val="0"/>
      <w:marBottom w:val="0"/>
      <w:divBdr>
        <w:top w:val="none" w:sz="0" w:space="0" w:color="auto"/>
        <w:left w:val="none" w:sz="0" w:space="0" w:color="auto"/>
        <w:bottom w:val="none" w:sz="0" w:space="0" w:color="auto"/>
        <w:right w:val="none" w:sz="0" w:space="0" w:color="auto"/>
      </w:divBdr>
    </w:div>
    <w:div w:id="175853212">
      <w:bodyDiv w:val="1"/>
      <w:marLeft w:val="0"/>
      <w:marRight w:val="0"/>
      <w:marTop w:val="0"/>
      <w:marBottom w:val="0"/>
      <w:divBdr>
        <w:top w:val="none" w:sz="0" w:space="0" w:color="auto"/>
        <w:left w:val="none" w:sz="0" w:space="0" w:color="auto"/>
        <w:bottom w:val="none" w:sz="0" w:space="0" w:color="auto"/>
        <w:right w:val="none" w:sz="0" w:space="0" w:color="auto"/>
      </w:divBdr>
    </w:div>
    <w:div w:id="176432945">
      <w:bodyDiv w:val="1"/>
      <w:marLeft w:val="0"/>
      <w:marRight w:val="0"/>
      <w:marTop w:val="0"/>
      <w:marBottom w:val="0"/>
      <w:divBdr>
        <w:top w:val="none" w:sz="0" w:space="0" w:color="auto"/>
        <w:left w:val="none" w:sz="0" w:space="0" w:color="auto"/>
        <w:bottom w:val="none" w:sz="0" w:space="0" w:color="auto"/>
        <w:right w:val="none" w:sz="0" w:space="0" w:color="auto"/>
      </w:divBdr>
    </w:div>
    <w:div w:id="181549950">
      <w:bodyDiv w:val="1"/>
      <w:marLeft w:val="0"/>
      <w:marRight w:val="0"/>
      <w:marTop w:val="0"/>
      <w:marBottom w:val="0"/>
      <w:divBdr>
        <w:top w:val="none" w:sz="0" w:space="0" w:color="auto"/>
        <w:left w:val="none" w:sz="0" w:space="0" w:color="auto"/>
        <w:bottom w:val="none" w:sz="0" w:space="0" w:color="auto"/>
        <w:right w:val="none" w:sz="0" w:space="0" w:color="auto"/>
      </w:divBdr>
    </w:div>
    <w:div w:id="185869392">
      <w:bodyDiv w:val="1"/>
      <w:marLeft w:val="0"/>
      <w:marRight w:val="0"/>
      <w:marTop w:val="0"/>
      <w:marBottom w:val="0"/>
      <w:divBdr>
        <w:top w:val="none" w:sz="0" w:space="0" w:color="auto"/>
        <w:left w:val="none" w:sz="0" w:space="0" w:color="auto"/>
        <w:bottom w:val="none" w:sz="0" w:space="0" w:color="auto"/>
        <w:right w:val="none" w:sz="0" w:space="0" w:color="auto"/>
      </w:divBdr>
    </w:div>
    <w:div w:id="189537281">
      <w:bodyDiv w:val="1"/>
      <w:marLeft w:val="0"/>
      <w:marRight w:val="0"/>
      <w:marTop w:val="0"/>
      <w:marBottom w:val="0"/>
      <w:divBdr>
        <w:top w:val="none" w:sz="0" w:space="0" w:color="auto"/>
        <w:left w:val="none" w:sz="0" w:space="0" w:color="auto"/>
        <w:bottom w:val="none" w:sz="0" w:space="0" w:color="auto"/>
        <w:right w:val="none" w:sz="0" w:space="0" w:color="auto"/>
      </w:divBdr>
    </w:div>
    <w:div w:id="200090093">
      <w:bodyDiv w:val="1"/>
      <w:marLeft w:val="0"/>
      <w:marRight w:val="0"/>
      <w:marTop w:val="0"/>
      <w:marBottom w:val="0"/>
      <w:divBdr>
        <w:top w:val="none" w:sz="0" w:space="0" w:color="auto"/>
        <w:left w:val="none" w:sz="0" w:space="0" w:color="auto"/>
        <w:bottom w:val="none" w:sz="0" w:space="0" w:color="auto"/>
        <w:right w:val="none" w:sz="0" w:space="0" w:color="auto"/>
      </w:divBdr>
    </w:div>
    <w:div w:id="208567458">
      <w:bodyDiv w:val="1"/>
      <w:marLeft w:val="0"/>
      <w:marRight w:val="0"/>
      <w:marTop w:val="0"/>
      <w:marBottom w:val="0"/>
      <w:divBdr>
        <w:top w:val="none" w:sz="0" w:space="0" w:color="auto"/>
        <w:left w:val="none" w:sz="0" w:space="0" w:color="auto"/>
        <w:bottom w:val="none" w:sz="0" w:space="0" w:color="auto"/>
        <w:right w:val="none" w:sz="0" w:space="0" w:color="auto"/>
      </w:divBdr>
    </w:div>
    <w:div w:id="212232062">
      <w:bodyDiv w:val="1"/>
      <w:marLeft w:val="0"/>
      <w:marRight w:val="0"/>
      <w:marTop w:val="0"/>
      <w:marBottom w:val="0"/>
      <w:divBdr>
        <w:top w:val="none" w:sz="0" w:space="0" w:color="auto"/>
        <w:left w:val="none" w:sz="0" w:space="0" w:color="auto"/>
        <w:bottom w:val="none" w:sz="0" w:space="0" w:color="auto"/>
        <w:right w:val="none" w:sz="0" w:space="0" w:color="auto"/>
      </w:divBdr>
    </w:div>
    <w:div w:id="218367257">
      <w:bodyDiv w:val="1"/>
      <w:marLeft w:val="0"/>
      <w:marRight w:val="0"/>
      <w:marTop w:val="0"/>
      <w:marBottom w:val="0"/>
      <w:divBdr>
        <w:top w:val="none" w:sz="0" w:space="0" w:color="auto"/>
        <w:left w:val="none" w:sz="0" w:space="0" w:color="auto"/>
        <w:bottom w:val="none" w:sz="0" w:space="0" w:color="auto"/>
        <w:right w:val="none" w:sz="0" w:space="0" w:color="auto"/>
      </w:divBdr>
    </w:div>
    <w:div w:id="219556480">
      <w:bodyDiv w:val="1"/>
      <w:marLeft w:val="0"/>
      <w:marRight w:val="0"/>
      <w:marTop w:val="0"/>
      <w:marBottom w:val="0"/>
      <w:divBdr>
        <w:top w:val="none" w:sz="0" w:space="0" w:color="auto"/>
        <w:left w:val="none" w:sz="0" w:space="0" w:color="auto"/>
        <w:bottom w:val="none" w:sz="0" w:space="0" w:color="auto"/>
        <w:right w:val="none" w:sz="0" w:space="0" w:color="auto"/>
      </w:divBdr>
    </w:div>
    <w:div w:id="222329856">
      <w:bodyDiv w:val="1"/>
      <w:marLeft w:val="0"/>
      <w:marRight w:val="0"/>
      <w:marTop w:val="0"/>
      <w:marBottom w:val="0"/>
      <w:divBdr>
        <w:top w:val="none" w:sz="0" w:space="0" w:color="auto"/>
        <w:left w:val="none" w:sz="0" w:space="0" w:color="auto"/>
        <w:bottom w:val="none" w:sz="0" w:space="0" w:color="auto"/>
        <w:right w:val="none" w:sz="0" w:space="0" w:color="auto"/>
      </w:divBdr>
    </w:div>
    <w:div w:id="222957926">
      <w:bodyDiv w:val="1"/>
      <w:marLeft w:val="0"/>
      <w:marRight w:val="0"/>
      <w:marTop w:val="0"/>
      <w:marBottom w:val="0"/>
      <w:divBdr>
        <w:top w:val="none" w:sz="0" w:space="0" w:color="auto"/>
        <w:left w:val="none" w:sz="0" w:space="0" w:color="auto"/>
        <w:bottom w:val="none" w:sz="0" w:space="0" w:color="auto"/>
        <w:right w:val="none" w:sz="0" w:space="0" w:color="auto"/>
      </w:divBdr>
    </w:div>
    <w:div w:id="230698243">
      <w:bodyDiv w:val="1"/>
      <w:marLeft w:val="0"/>
      <w:marRight w:val="0"/>
      <w:marTop w:val="0"/>
      <w:marBottom w:val="0"/>
      <w:divBdr>
        <w:top w:val="none" w:sz="0" w:space="0" w:color="auto"/>
        <w:left w:val="none" w:sz="0" w:space="0" w:color="auto"/>
        <w:bottom w:val="none" w:sz="0" w:space="0" w:color="auto"/>
        <w:right w:val="none" w:sz="0" w:space="0" w:color="auto"/>
      </w:divBdr>
    </w:div>
    <w:div w:id="230971678">
      <w:bodyDiv w:val="1"/>
      <w:marLeft w:val="0"/>
      <w:marRight w:val="0"/>
      <w:marTop w:val="0"/>
      <w:marBottom w:val="0"/>
      <w:divBdr>
        <w:top w:val="none" w:sz="0" w:space="0" w:color="auto"/>
        <w:left w:val="none" w:sz="0" w:space="0" w:color="auto"/>
        <w:bottom w:val="none" w:sz="0" w:space="0" w:color="auto"/>
        <w:right w:val="none" w:sz="0" w:space="0" w:color="auto"/>
      </w:divBdr>
    </w:div>
    <w:div w:id="236135252">
      <w:bodyDiv w:val="1"/>
      <w:marLeft w:val="0"/>
      <w:marRight w:val="0"/>
      <w:marTop w:val="0"/>
      <w:marBottom w:val="0"/>
      <w:divBdr>
        <w:top w:val="none" w:sz="0" w:space="0" w:color="auto"/>
        <w:left w:val="none" w:sz="0" w:space="0" w:color="auto"/>
        <w:bottom w:val="none" w:sz="0" w:space="0" w:color="auto"/>
        <w:right w:val="none" w:sz="0" w:space="0" w:color="auto"/>
      </w:divBdr>
    </w:div>
    <w:div w:id="239755651">
      <w:bodyDiv w:val="1"/>
      <w:marLeft w:val="0"/>
      <w:marRight w:val="0"/>
      <w:marTop w:val="0"/>
      <w:marBottom w:val="0"/>
      <w:divBdr>
        <w:top w:val="none" w:sz="0" w:space="0" w:color="auto"/>
        <w:left w:val="none" w:sz="0" w:space="0" w:color="auto"/>
        <w:bottom w:val="none" w:sz="0" w:space="0" w:color="auto"/>
        <w:right w:val="none" w:sz="0" w:space="0" w:color="auto"/>
      </w:divBdr>
    </w:div>
    <w:div w:id="242761601">
      <w:bodyDiv w:val="1"/>
      <w:marLeft w:val="0"/>
      <w:marRight w:val="0"/>
      <w:marTop w:val="0"/>
      <w:marBottom w:val="0"/>
      <w:divBdr>
        <w:top w:val="none" w:sz="0" w:space="0" w:color="auto"/>
        <w:left w:val="none" w:sz="0" w:space="0" w:color="auto"/>
        <w:bottom w:val="none" w:sz="0" w:space="0" w:color="auto"/>
        <w:right w:val="none" w:sz="0" w:space="0" w:color="auto"/>
      </w:divBdr>
    </w:div>
    <w:div w:id="246041105">
      <w:bodyDiv w:val="1"/>
      <w:marLeft w:val="0"/>
      <w:marRight w:val="0"/>
      <w:marTop w:val="0"/>
      <w:marBottom w:val="0"/>
      <w:divBdr>
        <w:top w:val="none" w:sz="0" w:space="0" w:color="auto"/>
        <w:left w:val="none" w:sz="0" w:space="0" w:color="auto"/>
        <w:bottom w:val="none" w:sz="0" w:space="0" w:color="auto"/>
        <w:right w:val="none" w:sz="0" w:space="0" w:color="auto"/>
      </w:divBdr>
    </w:div>
    <w:div w:id="256258916">
      <w:bodyDiv w:val="1"/>
      <w:marLeft w:val="0"/>
      <w:marRight w:val="0"/>
      <w:marTop w:val="0"/>
      <w:marBottom w:val="0"/>
      <w:divBdr>
        <w:top w:val="none" w:sz="0" w:space="0" w:color="auto"/>
        <w:left w:val="none" w:sz="0" w:space="0" w:color="auto"/>
        <w:bottom w:val="none" w:sz="0" w:space="0" w:color="auto"/>
        <w:right w:val="none" w:sz="0" w:space="0" w:color="auto"/>
      </w:divBdr>
    </w:div>
    <w:div w:id="259292649">
      <w:bodyDiv w:val="1"/>
      <w:marLeft w:val="0"/>
      <w:marRight w:val="0"/>
      <w:marTop w:val="0"/>
      <w:marBottom w:val="0"/>
      <w:divBdr>
        <w:top w:val="none" w:sz="0" w:space="0" w:color="auto"/>
        <w:left w:val="none" w:sz="0" w:space="0" w:color="auto"/>
        <w:bottom w:val="none" w:sz="0" w:space="0" w:color="auto"/>
        <w:right w:val="none" w:sz="0" w:space="0" w:color="auto"/>
      </w:divBdr>
    </w:div>
    <w:div w:id="260531092">
      <w:bodyDiv w:val="1"/>
      <w:marLeft w:val="0"/>
      <w:marRight w:val="0"/>
      <w:marTop w:val="0"/>
      <w:marBottom w:val="0"/>
      <w:divBdr>
        <w:top w:val="none" w:sz="0" w:space="0" w:color="auto"/>
        <w:left w:val="none" w:sz="0" w:space="0" w:color="auto"/>
        <w:bottom w:val="none" w:sz="0" w:space="0" w:color="auto"/>
        <w:right w:val="none" w:sz="0" w:space="0" w:color="auto"/>
      </w:divBdr>
    </w:div>
    <w:div w:id="266694247">
      <w:bodyDiv w:val="1"/>
      <w:marLeft w:val="0"/>
      <w:marRight w:val="0"/>
      <w:marTop w:val="0"/>
      <w:marBottom w:val="0"/>
      <w:divBdr>
        <w:top w:val="none" w:sz="0" w:space="0" w:color="auto"/>
        <w:left w:val="none" w:sz="0" w:space="0" w:color="auto"/>
        <w:bottom w:val="none" w:sz="0" w:space="0" w:color="auto"/>
        <w:right w:val="none" w:sz="0" w:space="0" w:color="auto"/>
      </w:divBdr>
    </w:div>
    <w:div w:id="271400623">
      <w:bodyDiv w:val="1"/>
      <w:marLeft w:val="0"/>
      <w:marRight w:val="0"/>
      <w:marTop w:val="0"/>
      <w:marBottom w:val="0"/>
      <w:divBdr>
        <w:top w:val="none" w:sz="0" w:space="0" w:color="auto"/>
        <w:left w:val="none" w:sz="0" w:space="0" w:color="auto"/>
        <w:bottom w:val="none" w:sz="0" w:space="0" w:color="auto"/>
        <w:right w:val="none" w:sz="0" w:space="0" w:color="auto"/>
      </w:divBdr>
    </w:div>
    <w:div w:id="272833078">
      <w:bodyDiv w:val="1"/>
      <w:marLeft w:val="0"/>
      <w:marRight w:val="0"/>
      <w:marTop w:val="0"/>
      <w:marBottom w:val="0"/>
      <w:divBdr>
        <w:top w:val="none" w:sz="0" w:space="0" w:color="auto"/>
        <w:left w:val="none" w:sz="0" w:space="0" w:color="auto"/>
        <w:bottom w:val="none" w:sz="0" w:space="0" w:color="auto"/>
        <w:right w:val="none" w:sz="0" w:space="0" w:color="auto"/>
      </w:divBdr>
    </w:div>
    <w:div w:id="275606329">
      <w:bodyDiv w:val="1"/>
      <w:marLeft w:val="0"/>
      <w:marRight w:val="0"/>
      <w:marTop w:val="0"/>
      <w:marBottom w:val="0"/>
      <w:divBdr>
        <w:top w:val="none" w:sz="0" w:space="0" w:color="auto"/>
        <w:left w:val="none" w:sz="0" w:space="0" w:color="auto"/>
        <w:bottom w:val="none" w:sz="0" w:space="0" w:color="auto"/>
        <w:right w:val="none" w:sz="0" w:space="0" w:color="auto"/>
      </w:divBdr>
      <w:divsChild>
        <w:div w:id="66921578">
          <w:marLeft w:val="0"/>
          <w:marRight w:val="0"/>
          <w:marTop w:val="0"/>
          <w:marBottom w:val="0"/>
          <w:divBdr>
            <w:top w:val="none" w:sz="0" w:space="0" w:color="auto"/>
            <w:left w:val="none" w:sz="0" w:space="0" w:color="auto"/>
            <w:bottom w:val="none" w:sz="0" w:space="0" w:color="auto"/>
            <w:right w:val="none" w:sz="0" w:space="0" w:color="auto"/>
          </w:divBdr>
        </w:div>
        <w:div w:id="932010693">
          <w:marLeft w:val="0"/>
          <w:marRight w:val="0"/>
          <w:marTop w:val="0"/>
          <w:marBottom w:val="0"/>
          <w:divBdr>
            <w:top w:val="none" w:sz="0" w:space="0" w:color="auto"/>
            <w:left w:val="none" w:sz="0" w:space="0" w:color="auto"/>
            <w:bottom w:val="none" w:sz="0" w:space="0" w:color="auto"/>
            <w:right w:val="none" w:sz="0" w:space="0" w:color="auto"/>
          </w:divBdr>
        </w:div>
        <w:div w:id="1425807308">
          <w:marLeft w:val="0"/>
          <w:marRight w:val="0"/>
          <w:marTop w:val="0"/>
          <w:marBottom w:val="0"/>
          <w:divBdr>
            <w:top w:val="none" w:sz="0" w:space="0" w:color="auto"/>
            <w:left w:val="none" w:sz="0" w:space="0" w:color="auto"/>
            <w:bottom w:val="none" w:sz="0" w:space="0" w:color="auto"/>
            <w:right w:val="none" w:sz="0" w:space="0" w:color="auto"/>
          </w:divBdr>
        </w:div>
        <w:div w:id="1611626652">
          <w:marLeft w:val="0"/>
          <w:marRight w:val="0"/>
          <w:marTop w:val="0"/>
          <w:marBottom w:val="0"/>
          <w:divBdr>
            <w:top w:val="none" w:sz="0" w:space="0" w:color="auto"/>
            <w:left w:val="none" w:sz="0" w:space="0" w:color="auto"/>
            <w:bottom w:val="none" w:sz="0" w:space="0" w:color="auto"/>
            <w:right w:val="none" w:sz="0" w:space="0" w:color="auto"/>
          </w:divBdr>
        </w:div>
        <w:div w:id="1624845718">
          <w:marLeft w:val="0"/>
          <w:marRight w:val="0"/>
          <w:marTop w:val="0"/>
          <w:marBottom w:val="0"/>
          <w:divBdr>
            <w:top w:val="none" w:sz="0" w:space="0" w:color="auto"/>
            <w:left w:val="none" w:sz="0" w:space="0" w:color="auto"/>
            <w:bottom w:val="none" w:sz="0" w:space="0" w:color="auto"/>
            <w:right w:val="none" w:sz="0" w:space="0" w:color="auto"/>
          </w:divBdr>
        </w:div>
      </w:divsChild>
    </w:div>
    <w:div w:id="278070430">
      <w:bodyDiv w:val="1"/>
      <w:marLeft w:val="0"/>
      <w:marRight w:val="0"/>
      <w:marTop w:val="0"/>
      <w:marBottom w:val="0"/>
      <w:divBdr>
        <w:top w:val="none" w:sz="0" w:space="0" w:color="auto"/>
        <w:left w:val="none" w:sz="0" w:space="0" w:color="auto"/>
        <w:bottom w:val="none" w:sz="0" w:space="0" w:color="auto"/>
        <w:right w:val="none" w:sz="0" w:space="0" w:color="auto"/>
      </w:divBdr>
    </w:div>
    <w:div w:id="284426823">
      <w:bodyDiv w:val="1"/>
      <w:marLeft w:val="0"/>
      <w:marRight w:val="0"/>
      <w:marTop w:val="0"/>
      <w:marBottom w:val="0"/>
      <w:divBdr>
        <w:top w:val="none" w:sz="0" w:space="0" w:color="auto"/>
        <w:left w:val="none" w:sz="0" w:space="0" w:color="auto"/>
        <w:bottom w:val="none" w:sz="0" w:space="0" w:color="auto"/>
        <w:right w:val="none" w:sz="0" w:space="0" w:color="auto"/>
      </w:divBdr>
    </w:div>
    <w:div w:id="284624631">
      <w:bodyDiv w:val="1"/>
      <w:marLeft w:val="0"/>
      <w:marRight w:val="0"/>
      <w:marTop w:val="0"/>
      <w:marBottom w:val="0"/>
      <w:divBdr>
        <w:top w:val="none" w:sz="0" w:space="0" w:color="auto"/>
        <w:left w:val="none" w:sz="0" w:space="0" w:color="auto"/>
        <w:bottom w:val="none" w:sz="0" w:space="0" w:color="auto"/>
        <w:right w:val="none" w:sz="0" w:space="0" w:color="auto"/>
      </w:divBdr>
    </w:div>
    <w:div w:id="296303288">
      <w:bodyDiv w:val="1"/>
      <w:marLeft w:val="0"/>
      <w:marRight w:val="0"/>
      <w:marTop w:val="0"/>
      <w:marBottom w:val="0"/>
      <w:divBdr>
        <w:top w:val="none" w:sz="0" w:space="0" w:color="auto"/>
        <w:left w:val="none" w:sz="0" w:space="0" w:color="auto"/>
        <w:bottom w:val="none" w:sz="0" w:space="0" w:color="auto"/>
        <w:right w:val="none" w:sz="0" w:space="0" w:color="auto"/>
      </w:divBdr>
    </w:div>
    <w:div w:id="299964637">
      <w:bodyDiv w:val="1"/>
      <w:marLeft w:val="0"/>
      <w:marRight w:val="0"/>
      <w:marTop w:val="0"/>
      <w:marBottom w:val="0"/>
      <w:divBdr>
        <w:top w:val="none" w:sz="0" w:space="0" w:color="auto"/>
        <w:left w:val="none" w:sz="0" w:space="0" w:color="auto"/>
        <w:bottom w:val="none" w:sz="0" w:space="0" w:color="auto"/>
        <w:right w:val="none" w:sz="0" w:space="0" w:color="auto"/>
      </w:divBdr>
    </w:div>
    <w:div w:id="301933028">
      <w:bodyDiv w:val="1"/>
      <w:marLeft w:val="0"/>
      <w:marRight w:val="0"/>
      <w:marTop w:val="0"/>
      <w:marBottom w:val="0"/>
      <w:divBdr>
        <w:top w:val="none" w:sz="0" w:space="0" w:color="auto"/>
        <w:left w:val="none" w:sz="0" w:space="0" w:color="auto"/>
        <w:bottom w:val="none" w:sz="0" w:space="0" w:color="auto"/>
        <w:right w:val="none" w:sz="0" w:space="0" w:color="auto"/>
      </w:divBdr>
    </w:div>
    <w:div w:id="310788983">
      <w:bodyDiv w:val="1"/>
      <w:marLeft w:val="0"/>
      <w:marRight w:val="0"/>
      <w:marTop w:val="0"/>
      <w:marBottom w:val="0"/>
      <w:divBdr>
        <w:top w:val="none" w:sz="0" w:space="0" w:color="auto"/>
        <w:left w:val="none" w:sz="0" w:space="0" w:color="auto"/>
        <w:bottom w:val="none" w:sz="0" w:space="0" w:color="auto"/>
        <w:right w:val="none" w:sz="0" w:space="0" w:color="auto"/>
      </w:divBdr>
    </w:div>
    <w:div w:id="314577491">
      <w:bodyDiv w:val="1"/>
      <w:marLeft w:val="0"/>
      <w:marRight w:val="0"/>
      <w:marTop w:val="0"/>
      <w:marBottom w:val="0"/>
      <w:divBdr>
        <w:top w:val="none" w:sz="0" w:space="0" w:color="auto"/>
        <w:left w:val="none" w:sz="0" w:space="0" w:color="auto"/>
        <w:bottom w:val="none" w:sz="0" w:space="0" w:color="auto"/>
        <w:right w:val="none" w:sz="0" w:space="0" w:color="auto"/>
      </w:divBdr>
    </w:div>
    <w:div w:id="318654067">
      <w:bodyDiv w:val="1"/>
      <w:marLeft w:val="0"/>
      <w:marRight w:val="0"/>
      <w:marTop w:val="0"/>
      <w:marBottom w:val="0"/>
      <w:divBdr>
        <w:top w:val="none" w:sz="0" w:space="0" w:color="auto"/>
        <w:left w:val="none" w:sz="0" w:space="0" w:color="auto"/>
        <w:bottom w:val="none" w:sz="0" w:space="0" w:color="auto"/>
        <w:right w:val="none" w:sz="0" w:space="0" w:color="auto"/>
      </w:divBdr>
    </w:div>
    <w:div w:id="320743721">
      <w:bodyDiv w:val="1"/>
      <w:marLeft w:val="0"/>
      <w:marRight w:val="0"/>
      <w:marTop w:val="0"/>
      <w:marBottom w:val="0"/>
      <w:divBdr>
        <w:top w:val="none" w:sz="0" w:space="0" w:color="auto"/>
        <w:left w:val="none" w:sz="0" w:space="0" w:color="auto"/>
        <w:bottom w:val="none" w:sz="0" w:space="0" w:color="auto"/>
        <w:right w:val="none" w:sz="0" w:space="0" w:color="auto"/>
      </w:divBdr>
    </w:div>
    <w:div w:id="325014774">
      <w:bodyDiv w:val="1"/>
      <w:marLeft w:val="0"/>
      <w:marRight w:val="0"/>
      <w:marTop w:val="0"/>
      <w:marBottom w:val="0"/>
      <w:divBdr>
        <w:top w:val="none" w:sz="0" w:space="0" w:color="auto"/>
        <w:left w:val="none" w:sz="0" w:space="0" w:color="auto"/>
        <w:bottom w:val="none" w:sz="0" w:space="0" w:color="auto"/>
        <w:right w:val="none" w:sz="0" w:space="0" w:color="auto"/>
      </w:divBdr>
    </w:div>
    <w:div w:id="327829539">
      <w:bodyDiv w:val="1"/>
      <w:marLeft w:val="0"/>
      <w:marRight w:val="0"/>
      <w:marTop w:val="0"/>
      <w:marBottom w:val="0"/>
      <w:divBdr>
        <w:top w:val="none" w:sz="0" w:space="0" w:color="auto"/>
        <w:left w:val="none" w:sz="0" w:space="0" w:color="auto"/>
        <w:bottom w:val="none" w:sz="0" w:space="0" w:color="auto"/>
        <w:right w:val="none" w:sz="0" w:space="0" w:color="auto"/>
      </w:divBdr>
    </w:div>
    <w:div w:id="329333389">
      <w:bodyDiv w:val="1"/>
      <w:marLeft w:val="0"/>
      <w:marRight w:val="0"/>
      <w:marTop w:val="0"/>
      <w:marBottom w:val="0"/>
      <w:divBdr>
        <w:top w:val="none" w:sz="0" w:space="0" w:color="auto"/>
        <w:left w:val="none" w:sz="0" w:space="0" w:color="auto"/>
        <w:bottom w:val="none" w:sz="0" w:space="0" w:color="auto"/>
        <w:right w:val="none" w:sz="0" w:space="0" w:color="auto"/>
      </w:divBdr>
    </w:div>
    <w:div w:id="329985247">
      <w:bodyDiv w:val="1"/>
      <w:marLeft w:val="0"/>
      <w:marRight w:val="0"/>
      <w:marTop w:val="0"/>
      <w:marBottom w:val="0"/>
      <w:divBdr>
        <w:top w:val="none" w:sz="0" w:space="0" w:color="auto"/>
        <w:left w:val="none" w:sz="0" w:space="0" w:color="auto"/>
        <w:bottom w:val="none" w:sz="0" w:space="0" w:color="auto"/>
        <w:right w:val="none" w:sz="0" w:space="0" w:color="auto"/>
      </w:divBdr>
    </w:div>
    <w:div w:id="332877510">
      <w:bodyDiv w:val="1"/>
      <w:marLeft w:val="0"/>
      <w:marRight w:val="0"/>
      <w:marTop w:val="0"/>
      <w:marBottom w:val="0"/>
      <w:divBdr>
        <w:top w:val="none" w:sz="0" w:space="0" w:color="auto"/>
        <w:left w:val="none" w:sz="0" w:space="0" w:color="auto"/>
        <w:bottom w:val="none" w:sz="0" w:space="0" w:color="auto"/>
        <w:right w:val="none" w:sz="0" w:space="0" w:color="auto"/>
      </w:divBdr>
    </w:div>
    <w:div w:id="343021950">
      <w:bodyDiv w:val="1"/>
      <w:marLeft w:val="0"/>
      <w:marRight w:val="0"/>
      <w:marTop w:val="0"/>
      <w:marBottom w:val="0"/>
      <w:divBdr>
        <w:top w:val="none" w:sz="0" w:space="0" w:color="auto"/>
        <w:left w:val="none" w:sz="0" w:space="0" w:color="auto"/>
        <w:bottom w:val="none" w:sz="0" w:space="0" w:color="auto"/>
        <w:right w:val="none" w:sz="0" w:space="0" w:color="auto"/>
      </w:divBdr>
    </w:div>
    <w:div w:id="346449659">
      <w:bodyDiv w:val="1"/>
      <w:marLeft w:val="0"/>
      <w:marRight w:val="0"/>
      <w:marTop w:val="0"/>
      <w:marBottom w:val="0"/>
      <w:divBdr>
        <w:top w:val="none" w:sz="0" w:space="0" w:color="auto"/>
        <w:left w:val="none" w:sz="0" w:space="0" w:color="auto"/>
        <w:bottom w:val="none" w:sz="0" w:space="0" w:color="auto"/>
        <w:right w:val="none" w:sz="0" w:space="0" w:color="auto"/>
      </w:divBdr>
    </w:div>
    <w:div w:id="347292855">
      <w:bodyDiv w:val="1"/>
      <w:marLeft w:val="0"/>
      <w:marRight w:val="0"/>
      <w:marTop w:val="0"/>
      <w:marBottom w:val="0"/>
      <w:divBdr>
        <w:top w:val="none" w:sz="0" w:space="0" w:color="auto"/>
        <w:left w:val="none" w:sz="0" w:space="0" w:color="auto"/>
        <w:bottom w:val="none" w:sz="0" w:space="0" w:color="auto"/>
        <w:right w:val="none" w:sz="0" w:space="0" w:color="auto"/>
      </w:divBdr>
      <w:divsChild>
        <w:div w:id="1537041195">
          <w:marLeft w:val="0"/>
          <w:marRight w:val="0"/>
          <w:marTop w:val="0"/>
          <w:marBottom w:val="0"/>
          <w:divBdr>
            <w:top w:val="none" w:sz="0" w:space="0" w:color="auto"/>
            <w:left w:val="none" w:sz="0" w:space="0" w:color="auto"/>
            <w:bottom w:val="none" w:sz="0" w:space="0" w:color="auto"/>
            <w:right w:val="none" w:sz="0" w:space="0" w:color="auto"/>
          </w:divBdr>
          <w:divsChild>
            <w:div w:id="2069839682">
              <w:marLeft w:val="0"/>
              <w:marRight w:val="0"/>
              <w:marTop w:val="0"/>
              <w:marBottom w:val="0"/>
              <w:divBdr>
                <w:top w:val="none" w:sz="0" w:space="0" w:color="auto"/>
                <w:left w:val="none" w:sz="0" w:space="0" w:color="auto"/>
                <w:bottom w:val="none" w:sz="0" w:space="0" w:color="auto"/>
                <w:right w:val="none" w:sz="0" w:space="0" w:color="auto"/>
              </w:divBdr>
              <w:divsChild>
                <w:div w:id="1310133399">
                  <w:marLeft w:val="0"/>
                  <w:marRight w:val="0"/>
                  <w:marTop w:val="0"/>
                  <w:marBottom w:val="0"/>
                  <w:divBdr>
                    <w:top w:val="none" w:sz="0" w:space="0" w:color="auto"/>
                    <w:left w:val="none" w:sz="0" w:space="0" w:color="auto"/>
                    <w:bottom w:val="none" w:sz="0" w:space="0" w:color="auto"/>
                    <w:right w:val="none" w:sz="0" w:space="0" w:color="auto"/>
                  </w:divBdr>
                  <w:divsChild>
                    <w:div w:id="576863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988081">
      <w:bodyDiv w:val="1"/>
      <w:marLeft w:val="0"/>
      <w:marRight w:val="0"/>
      <w:marTop w:val="0"/>
      <w:marBottom w:val="0"/>
      <w:divBdr>
        <w:top w:val="none" w:sz="0" w:space="0" w:color="auto"/>
        <w:left w:val="none" w:sz="0" w:space="0" w:color="auto"/>
        <w:bottom w:val="none" w:sz="0" w:space="0" w:color="auto"/>
        <w:right w:val="none" w:sz="0" w:space="0" w:color="auto"/>
      </w:divBdr>
    </w:div>
    <w:div w:id="356584637">
      <w:bodyDiv w:val="1"/>
      <w:marLeft w:val="0"/>
      <w:marRight w:val="0"/>
      <w:marTop w:val="0"/>
      <w:marBottom w:val="0"/>
      <w:divBdr>
        <w:top w:val="none" w:sz="0" w:space="0" w:color="auto"/>
        <w:left w:val="none" w:sz="0" w:space="0" w:color="auto"/>
        <w:bottom w:val="none" w:sz="0" w:space="0" w:color="auto"/>
        <w:right w:val="none" w:sz="0" w:space="0" w:color="auto"/>
      </w:divBdr>
    </w:div>
    <w:div w:id="365984414">
      <w:bodyDiv w:val="1"/>
      <w:marLeft w:val="0"/>
      <w:marRight w:val="0"/>
      <w:marTop w:val="0"/>
      <w:marBottom w:val="0"/>
      <w:divBdr>
        <w:top w:val="none" w:sz="0" w:space="0" w:color="auto"/>
        <w:left w:val="none" w:sz="0" w:space="0" w:color="auto"/>
        <w:bottom w:val="none" w:sz="0" w:space="0" w:color="auto"/>
        <w:right w:val="none" w:sz="0" w:space="0" w:color="auto"/>
      </w:divBdr>
    </w:div>
    <w:div w:id="374620799">
      <w:bodyDiv w:val="1"/>
      <w:marLeft w:val="0"/>
      <w:marRight w:val="0"/>
      <w:marTop w:val="0"/>
      <w:marBottom w:val="0"/>
      <w:divBdr>
        <w:top w:val="none" w:sz="0" w:space="0" w:color="auto"/>
        <w:left w:val="none" w:sz="0" w:space="0" w:color="auto"/>
        <w:bottom w:val="none" w:sz="0" w:space="0" w:color="auto"/>
        <w:right w:val="none" w:sz="0" w:space="0" w:color="auto"/>
      </w:divBdr>
    </w:div>
    <w:div w:id="378667828">
      <w:bodyDiv w:val="1"/>
      <w:marLeft w:val="0"/>
      <w:marRight w:val="0"/>
      <w:marTop w:val="0"/>
      <w:marBottom w:val="0"/>
      <w:divBdr>
        <w:top w:val="none" w:sz="0" w:space="0" w:color="auto"/>
        <w:left w:val="none" w:sz="0" w:space="0" w:color="auto"/>
        <w:bottom w:val="none" w:sz="0" w:space="0" w:color="auto"/>
        <w:right w:val="none" w:sz="0" w:space="0" w:color="auto"/>
      </w:divBdr>
    </w:div>
    <w:div w:id="381635699">
      <w:bodyDiv w:val="1"/>
      <w:marLeft w:val="0"/>
      <w:marRight w:val="0"/>
      <w:marTop w:val="0"/>
      <w:marBottom w:val="0"/>
      <w:divBdr>
        <w:top w:val="none" w:sz="0" w:space="0" w:color="auto"/>
        <w:left w:val="none" w:sz="0" w:space="0" w:color="auto"/>
        <w:bottom w:val="none" w:sz="0" w:space="0" w:color="auto"/>
        <w:right w:val="none" w:sz="0" w:space="0" w:color="auto"/>
      </w:divBdr>
      <w:divsChild>
        <w:div w:id="1313945377">
          <w:marLeft w:val="0"/>
          <w:marRight w:val="0"/>
          <w:marTop w:val="0"/>
          <w:marBottom w:val="0"/>
          <w:divBdr>
            <w:top w:val="none" w:sz="0" w:space="0" w:color="auto"/>
            <w:left w:val="none" w:sz="0" w:space="0" w:color="auto"/>
            <w:bottom w:val="none" w:sz="0" w:space="0" w:color="auto"/>
            <w:right w:val="none" w:sz="0" w:space="0" w:color="auto"/>
          </w:divBdr>
          <w:divsChild>
            <w:div w:id="1276517140">
              <w:marLeft w:val="0"/>
              <w:marRight w:val="0"/>
              <w:marTop w:val="0"/>
              <w:marBottom w:val="0"/>
              <w:divBdr>
                <w:top w:val="none" w:sz="0" w:space="0" w:color="auto"/>
                <w:left w:val="none" w:sz="0" w:space="0" w:color="auto"/>
                <w:bottom w:val="none" w:sz="0" w:space="0" w:color="auto"/>
                <w:right w:val="none" w:sz="0" w:space="0" w:color="auto"/>
              </w:divBdr>
              <w:divsChild>
                <w:div w:id="519854375">
                  <w:marLeft w:val="0"/>
                  <w:marRight w:val="0"/>
                  <w:marTop w:val="0"/>
                  <w:marBottom w:val="0"/>
                  <w:divBdr>
                    <w:top w:val="none" w:sz="0" w:space="0" w:color="auto"/>
                    <w:left w:val="none" w:sz="0" w:space="0" w:color="auto"/>
                    <w:bottom w:val="none" w:sz="0" w:space="0" w:color="auto"/>
                    <w:right w:val="none" w:sz="0" w:space="0" w:color="auto"/>
                  </w:divBdr>
                  <w:divsChild>
                    <w:div w:id="167520233">
                      <w:marLeft w:val="0"/>
                      <w:marRight w:val="0"/>
                      <w:marTop w:val="0"/>
                      <w:marBottom w:val="0"/>
                      <w:divBdr>
                        <w:top w:val="none" w:sz="0" w:space="0" w:color="auto"/>
                        <w:left w:val="none" w:sz="0" w:space="0" w:color="auto"/>
                        <w:bottom w:val="none" w:sz="0" w:space="0" w:color="auto"/>
                        <w:right w:val="none" w:sz="0" w:space="0" w:color="auto"/>
                      </w:divBdr>
                      <w:divsChild>
                        <w:div w:id="62409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2558779">
      <w:bodyDiv w:val="1"/>
      <w:marLeft w:val="0"/>
      <w:marRight w:val="0"/>
      <w:marTop w:val="0"/>
      <w:marBottom w:val="0"/>
      <w:divBdr>
        <w:top w:val="none" w:sz="0" w:space="0" w:color="auto"/>
        <w:left w:val="none" w:sz="0" w:space="0" w:color="auto"/>
        <w:bottom w:val="none" w:sz="0" w:space="0" w:color="auto"/>
        <w:right w:val="none" w:sz="0" w:space="0" w:color="auto"/>
      </w:divBdr>
    </w:div>
    <w:div w:id="382876126">
      <w:bodyDiv w:val="1"/>
      <w:marLeft w:val="0"/>
      <w:marRight w:val="0"/>
      <w:marTop w:val="0"/>
      <w:marBottom w:val="0"/>
      <w:divBdr>
        <w:top w:val="none" w:sz="0" w:space="0" w:color="auto"/>
        <w:left w:val="none" w:sz="0" w:space="0" w:color="auto"/>
        <w:bottom w:val="none" w:sz="0" w:space="0" w:color="auto"/>
        <w:right w:val="none" w:sz="0" w:space="0" w:color="auto"/>
      </w:divBdr>
    </w:div>
    <w:div w:id="383649855">
      <w:bodyDiv w:val="1"/>
      <w:marLeft w:val="0"/>
      <w:marRight w:val="0"/>
      <w:marTop w:val="0"/>
      <w:marBottom w:val="0"/>
      <w:divBdr>
        <w:top w:val="none" w:sz="0" w:space="0" w:color="auto"/>
        <w:left w:val="none" w:sz="0" w:space="0" w:color="auto"/>
        <w:bottom w:val="none" w:sz="0" w:space="0" w:color="auto"/>
        <w:right w:val="none" w:sz="0" w:space="0" w:color="auto"/>
      </w:divBdr>
    </w:div>
    <w:div w:id="385571332">
      <w:bodyDiv w:val="1"/>
      <w:marLeft w:val="0"/>
      <w:marRight w:val="0"/>
      <w:marTop w:val="0"/>
      <w:marBottom w:val="0"/>
      <w:divBdr>
        <w:top w:val="none" w:sz="0" w:space="0" w:color="auto"/>
        <w:left w:val="none" w:sz="0" w:space="0" w:color="auto"/>
        <w:bottom w:val="none" w:sz="0" w:space="0" w:color="auto"/>
        <w:right w:val="none" w:sz="0" w:space="0" w:color="auto"/>
      </w:divBdr>
    </w:div>
    <w:div w:id="386924816">
      <w:bodyDiv w:val="1"/>
      <w:marLeft w:val="0"/>
      <w:marRight w:val="0"/>
      <w:marTop w:val="0"/>
      <w:marBottom w:val="0"/>
      <w:divBdr>
        <w:top w:val="none" w:sz="0" w:space="0" w:color="auto"/>
        <w:left w:val="none" w:sz="0" w:space="0" w:color="auto"/>
        <w:bottom w:val="none" w:sz="0" w:space="0" w:color="auto"/>
        <w:right w:val="none" w:sz="0" w:space="0" w:color="auto"/>
      </w:divBdr>
    </w:div>
    <w:div w:id="394548459">
      <w:bodyDiv w:val="1"/>
      <w:marLeft w:val="0"/>
      <w:marRight w:val="0"/>
      <w:marTop w:val="0"/>
      <w:marBottom w:val="0"/>
      <w:divBdr>
        <w:top w:val="none" w:sz="0" w:space="0" w:color="auto"/>
        <w:left w:val="none" w:sz="0" w:space="0" w:color="auto"/>
        <w:bottom w:val="none" w:sz="0" w:space="0" w:color="auto"/>
        <w:right w:val="none" w:sz="0" w:space="0" w:color="auto"/>
      </w:divBdr>
    </w:div>
    <w:div w:id="399328015">
      <w:bodyDiv w:val="1"/>
      <w:marLeft w:val="0"/>
      <w:marRight w:val="0"/>
      <w:marTop w:val="0"/>
      <w:marBottom w:val="0"/>
      <w:divBdr>
        <w:top w:val="none" w:sz="0" w:space="0" w:color="auto"/>
        <w:left w:val="none" w:sz="0" w:space="0" w:color="auto"/>
        <w:bottom w:val="none" w:sz="0" w:space="0" w:color="auto"/>
        <w:right w:val="none" w:sz="0" w:space="0" w:color="auto"/>
      </w:divBdr>
    </w:div>
    <w:div w:id="403915104">
      <w:bodyDiv w:val="1"/>
      <w:marLeft w:val="0"/>
      <w:marRight w:val="0"/>
      <w:marTop w:val="0"/>
      <w:marBottom w:val="0"/>
      <w:divBdr>
        <w:top w:val="none" w:sz="0" w:space="0" w:color="auto"/>
        <w:left w:val="none" w:sz="0" w:space="0" w:color="auto"/>
        <w:bottom w:val="none" w:sz="0" w:space="0" w:color="auto"/>
        <w:right w:val="none" w:sz="0" w:space="0" w:color="auto"/>
      </w:divBdr>
    </w:div>
    <w:div w:id="414939165">
      <w:bodyDiv w:val="1"/>
      <w:marLeft w:val="0"/>
      <w:marRight w:val="0"/>
      <w:marTop w:val="0"/>
      <w:marBottom w:val="0"/>
      <w:divBdr>
        <w:top w:val="none" w:sz="0" w:space="0" w:color="auto"/>
        <w:left w:val="none" w:sz="0" w:space="0" w:color="auto"/>
        <w:bottom w:val="none" w:sz="0" w:space="0" w:color="auto"/>
        <w:right w:val="none" w:sz="0" w:space="0" w:color="auto"/>
      </w:divBdr>
    </w:div>
    <w:div w:id="415250320">
      <w:bodyDiv w:val="1"/>
      <w:marLeft w:val="0"/>
      <w:marRight w:val="0"/>
      <w:marTop w:val="0"/>
      <w:marBottom w:val="0"/>
      <w:divBdr>
        <w:top w:val="none" w:sz="0" w:space="0" w:color="auto"/>
        <w:left w:val="none" w:sz="0" w:space="0" w:color="auto"/>
        <w:bottom w:val="none" w:sz="0" w:space="0" w:color="auto"/>
        <w:right w:val="none" w:sz="0" w:space="0" w:color="auto"/>
      </w:divBdr>
    </w:div>
    <w:div w:id="419374470">
      <w:bodyDiv w:val="1"/>
      <w:marLeft w:val="0"/>
      <w:marRight w:val="0"/>
      <w:marTop w:val="0"/>
      <w:marBottom w:val="0"/>
      <w:divBdr>
        <w:top w:val="none" w:sz="0" w:space="0" w:color="auto"/>
        <w:left w:val="none" w:sz="0" w:space="0" w:color="auto"/>
        <w:bottom w:val="none" w:sz="0" w:space="0" w:color="auto"/>
        <w:right w:val="none" w:sz="0" w:space="0" w:color="auto"/>
      </w:divBdr>
    </w:div>
    <w:div w:id="423456812">
      <w:bodyDiv w:val="1"/>
      <w:marLeft w:val="0"/>
      <w:marRight w:val="0"/>
      <w:marTop w:val="0"/>
      <w:marBottom w:val="0"/>
      <w:divBdr>
        <w:top w:val="none" w:sz="0" w:space="0" w:color="auto"/>
        <w:left w:val="none" w:sz="0" w:space="0" w:color="auto"/>
        <w:bottom w:val="none" w:sz="0" w:space="0" w:color="auto"/>
        <w:right w:val="none" w:sz="0" w:space="0" w:color="auto"/>
      </w:divBdr>
    </w:div>
    <w:div w:id="426970772">
      <w:bodyDiv w:val="1"/>
      <w:marLeft w:val="0"/>
      <w:marRight w:val="0"/>
      <w:marTop w:val="0"/>
      <w:marBottom w:val="0"/>
      <w:divBdr>
        <w:top w:val="none" w:sz="0" w:space="0" w:color="auto"/>
        <w:left w:val="none" w:sz="0" w:space="0" w:color="auto"/>
        <w:bottom w:val="none" w:sz="0" w:space="0" w:color="auto"/>
        <w:right w:val="none" w:sz="0" w:space="0" w:color="auto"/>
      </w:divBdr>
    </w:div>
    <w:div w:id="440950757">
      <w:bodyDiv w:val="1"/>
      <w:marLeft w:val="0"/>
      <w:marRight w:val="0"/>
      <w:marTop w:val="0"/>
      <w:marBottom w:val="0"/>
      <w:divBdr>
        <w:top w:val="none" w:sz="0" w:space="0" w:color="auto"/>
        <w:left w:val="none" w:sz="0" w:space="0" w:color="auto"/>
        <w:bottom w:val="none" w:sz="0" w:space="0" w:color="auto"/>
        <w:right w:val="none" w:sz="0" w:space="0" w:color="auto"/>
      </w:divBdr>
    </w:div>
    <w:div w:id="446580678">
      <w:bodyDiv w:val="1"/>
      <w:marLeft w:val="0"/>
      <w:marRight w:val="0"/>
      <w:marTop w:val="0"/>
      <w:marBottom w:val="0"/>
      <w:divBdr>
        <w:top w:val="none" w:sz="0" w:space="0" w:color="auto"/>
        <w:left w:val="none" w:sz="0" w:space="0" w:color="auto"/>
        <w:bottom w:val="none" w:sz="0" w:space="0" w:color="auto"/>
        <w:right w:val="none" w:sz="0" w:space="0" w:color="auto"/>
      </w:divBdr>
    </w:div>
    <w:div w:id="447163304">
      <w:bodyDiv w:val="1"/>
      <w:marLeft w:val="0"/>
      <w:marRight w:val="0"/>
      <w:marTop w:val="0"/>
      <w:marBottom w:val="0"/>
      <w:divBdr>
        <w:top w:val="none" w:sz="0" w:space="0" w:color="auto"/>
        <w:left w:val="none" w:sz="0" w:space="0" w:color="auto"/>
        <w:bottom w:val="none" w:sz="0" w:space="0" w:color="auto"/>
        <w:right w:val="none" w:sz="0" w:space="0" w:color="auto"/>
      </w:divBdr>
    </w:div>
    <w:div w:id="448742103">
      <w:bodyDiv w:val="1"/>
      <w:marLeft w:val="0"/>
      <w:marRight w:val="0"/>
      <w:marTop w:val="0"/>
      <w:marBottom w:val="0"/>
      <w:divBdr>
        <w:top w:val="none" w:sz="0" w:space="0" w:color="auto"/>
        <w:left w:val="none" w:sz="0" w:space="0" w:color="auto"/>
        <w:bottom w:val="none" w:sz="0" w:space="0" w:color="auto"/>
        <w:right w:val="none" w:sz="0" w:space="0" w:color="auto"/>
      </w:divBdr>
    </w:div>
    <w:div w:id="449125951">
      <w:bodyDiv w:val="1"/>
      <w:marLeft w:val="0"/>
      <w:marRight w:val="0"/>
      <w:marTop w:val="0"/>
      <w:marBottom w:val="0"/>
      <w:divBdr>
        <w:top w:val="none" w:sz="0" w:space="0" w:color="auto"/>
        <w:left w:val="none" w:sz="0" w:space="0" w:color="auto"/>
        <w:bottom w:val="none" w:sz="0" w:space="0" w:color="auto"/>
        <w:right w:val="none" w:sz="0" w:space="0" w:color="auto"/>
      </w:divBdr>
    </w:div>
    <w:div w:id="451291579">
      <w:bodyDiv w:val="1"/>
      <w:marLeft w:val="0"/>
      <w:marRight w:val="0"/>
      <w:marTop w:val="0"/>
      <w:marBottom w:val="0"/>
      <w:divBdr>
        <w:top w:val="none" w:sz="0" w:space="0" w:color="auto"/>
        <w:left w:val="none" w:sz="0" w:space="0" w:color="auto"/>
        <w:bottom w:val="none" w:sz="0" w:space="0" w:color="auto"/>
        <w:right w:val="none" w:sz="0" w:space="0" w:color="auto"/>
      </w:divBdr>
    </w:div>
    <w:div w:id="464812349">
      <w:bodyDiv w:val="1"/>
      <w:marLeft w:val="0"/>
      <w:marRight w:val="0"/>
      <w:marTop w:val="0"/>
      <w:marBottom w:val="0"/>
      <w:divBdr>
        <w:top w:val="none" w:sz="0" w:space="0" w:color="auto"/>
        <w:left w:val="none" w:sz="0" w:space="0" w:color="auto"/>
        <w:bottom w:val="none" w:sz="0" w:space="0" w:color="auto"/>
        <w:right w:val="none" w:sz="0" w:space="0" w:color="auto"/>
      </w:divBdr>
    </w:div>
    <w:div w:id="464812990">
      <w:bodyDiv w:val="1"/>
      <w:marLeft w:val="0"/>
      <w:marRight w:val="0"/>
      <w:marTop w:val="0"/>
      <w:marBottom w:val="0"/>
      <w:divBdr>
        <w:top w:val="none" w:sz="0" w:space="0" w:color="auto"/>
        <w:left w:val="none" w:sz="0" w:space="0" w:color="auto"/>
        <w:bottom w:val="none" w:sz="0" w:space="0" w:color="auto"/>
        <w:right w:val="none" w:sz="0" w:space="0" w:color="auto"/>
      </w:divBdr>
    </w:div>
    <w:div w:id="476915727">
      <w:bodyDiv w:val="1"/>
      <w:marLeft w:val="0"/>
      <w:marRight w:val="0"/>
      <w:marTop w:val="0"/>
      <w:marBottom w:val="0"/>
      <w:divBdr>
        <w:top w:val="none" w:sz="0" w:space="0" w:color="auto"/>
        <w:left w:val="none" w:sz="0" w:space="0" w:color="auto"/>
        <w:bottom w:val="none" w:sz="0" w:space="0" w:color="auto"/>
        <w:right w:val="none" w:sz="0" w:space="0" w:color="auto"/>
      </w:divBdr>
    </w:div>
    <w:div w:id="483282087">
      <w:bodyDiv w:val="1"/>
      <w:marLeft w:val="0"/>
      <w:marRight w:val="0"/>
      <w:marTop w:val="0"/>
      <w:marBottom w:val="0"/>
      <w:divBdr>
        <w:top w:val="none" w:sz="0" w:space="0" w:color="auto"/>
        <w:left w:val="none" w:sz="0" w:space="0" w:color="auto"/>
        <w:bottom w:val="none" w:sz="0" w:space="0" w:color="auto"/>
        <w:right w:val="none" w:sz="0" w:space="0" w:color="auto"/>
      </w:divBdr>
    </w:div>
    <w:div w:id="484787620">
      <w:bodyDiv w:val="1"/>
      <w:marLeft w:val="0"/>
      <w:marRight w:val="0"/>
      <w:marTop w:val="0"/>
      <w:marBottom w:val="0"/>
      <w:divBdr>
        <w:top w:val="none" w:sz="0" w:space="0" w:color="auto"/>
        <w:left w:val="none" w:sz="0" w:space="0" w:color="auto"/>
        <w:bottom w:val="none" w:sz="0" w:space="0" w:color="auto"/>
        <w:right w:val="none" w:sz="0" w:space="0" w:color="auto"/>
      </w:divBdr>
    </w:div>
    <w:div w:id="487135273">
      <w:bodyDiv w:val="1"/>
      <w:marLeft w:val="0"/>
      <w:marRight w:val="0"/>
      <w:marTop w:val="0"/>
      <w:marBottom w:val="0"/>
      <w:divBdr>
        <w:top w:val="none" w:sz="0" w:space="0" w:color="auto"/>
        <w:left w:val="none" w:sz="0" w:space="0" w:color="auto"/>
        <w:bottom w:val="none" w:sz="0" w:space="0" w:color="auto"/>
        <w:right w:val="none" w:sz="0" w:space="0" w:color="auto"/>
      </w:divBdr>
    </w:div>
    <w:div w:id="493104182">
      <w:bodyDiv w:val="1"/>
      <w:marLeft w:val="0"/>
      <w:marRight w:val="0"/>
      <w:marTop w:val="0"/>
      <w:marBottom w:val="0"/>
      <w:divBdr>
        <w:top w:val="none" w:sz="0" w:space="0" w:color="auto"/>
        <w:left w:val="none" w:sz="0" w:space="0" w:color="auto"/>
        <w:bottom w:val="none" w:sz="0" w:space="0" w:color="auto"/>
        <w:right w:val="none" w:sz="0" w:space="0" w:color="auto"/>
      </w:divBdr>
    </w:div>
    <w:div w:id="494106857">
      <w:bodyDiv w:val="1"/>
      <w:marLeft w:val="0"/>
      <w:marRight w:val="0"/>
      <w:marTop w:val="0"/>
      <w:marBottom w:val="0"/>
      <w:divBdr>
        <w:top w:val="none" w:sz="0" w:space="0" w:color="auto"/>
        <w:left w:val="none" w:sz="0" w:space="0" w:color="auto"/>
        <w:bottom w:val="none" w:sz="0" w:space="0" w:color="auto"/>
        <w:right w:val="none" w:sz="0" w:space="0" w:color="auto"/>
      </w:divBdr>
    </w:div>
    <w:div w:id="501891500">
      <w:bodyDiv w:val="1"/>
      <w:marLeft w:val="0"/>
      <w:marRight w:val="0"/>
      <w:marTop w:val="0"/>
      <w:marBottom w:val="0"/>
      <w:divBdr>
        <w:top w:val="none" w:sz="0" w:space="0" w:color="auto"/>
        <w:left w:val="none" w:sz="0" w:space="0" w:color="auto"/>
        <w:bottom w:val="none" w:sz="0" w:space="0" w:color="auto"/>
        <w:right w:val="none" w:sz="0" w:space="0" w:color="auto"/>
      </w:divBdr>
    </w:div>
    <w:div w:id="504563356">
      <w:bodyDiv w:val="1"/>
      <w:marLeft w:val="0"/>
      <w:marRight w:val="0"/>
      <w:marTop w:val="0"/>
      <w:marBottom w:val="0"/>
      <w:divBdr>
        <w:top w:val="none" w:sz="0" w:space="0" w:color="auto"/>
        <w:left w:val="none" w:sz="0" w:space="0" w:color="auto"/>
        <w:bottom w:val="none" w:sz="0" w:space="0" w:color="auto"/>
        <w:right w:val="none" w:sz="0" w:space="0" w:color="auto"/>
      </w:divBdr>
      <w:divsChild>
        <w:div w:id="1613588214">
          <w:marLeft w:val="0"/>
          <w:marRight w:val="0"/>
          <w:marTop w:val="0"/>
          <w:marBottom w:val="0"/>
          <w:divBdr>
            <w:top w:val="none" w:sz="0" w:space="0" w:color="auto"/>
            <w:left w:val="none" w:sz="0" w:space="0" w:color="auto"/>
            <w:bottom w:val="none" w:sz="0" w:space="0" w:color="auto"/>
            <w:right w:val="none" w:sz="0" w:space="0" w:color="auto"/>
          </w:divBdr>
          <w:divsChild>
            <w:div w:id="1990205048">
              <w:marLeft w:val="0"/>
              <w:marRight w:val="0"/>
              <w:marTop w:val="150"/>
              <w:marBottom w:val="0"/>
              <w:divBdr>
                <w:top w:val="none" w:sz="0" w:space="0" w:color="auto"/>
                <w:left w:val="none" w:sz="0" w:space="0" w:color="auto"/>
                <w:bottom w:val="none" w:sz="0" w:space="0" w:color="auto"/>
                <w:right w:val="none" w:sz="0" w:space="0" w:color="auto"/>
              </w:divBdr>
              <w:divsChild>
                <w:div w:id="571475181">
                  <w:marLeft w:val="0"/>
                  <w:marRight w:val="0"/>
                  <w:marTop w:val="0"/>
                  <w:marBottom w:val="0"/>
                  <w:divBdr>
                    <w:top w:val="none" w:sz="0" w:space="0" w:color="auto"/>
                    <w:left w:val="none" w:sz="0" w:space="0" w:color="auto"/>
                    <w:bottom w:val="single" w:sz="6" w:space="0" w:color="CCCCCC"/>
                    <w:right w:val="none" w:sz="0" w:space="0" w:color="auto"/>
                  </w:divBdr>
                </w:div>
              </w:divsChild>
            </w:div>
          </w:divsChild>
        </w:div>
      </w:divsChild>
    </w:div>
    <w:div w:id="504980968">
      <w:bodyDiv w:val="1"/>
      <w:marLeft w:val="0"/>
      <w:marRight w:val="0"/>
      <w:marTop w:val="0"/>
      <w:marBottom w:val="0"/>
      <w:divBdr>
        <w:top w:val="none" w:sz="0" w:space="0" w:color="auto"/>
        <w:left w:val="none" w:sz="0" w:space="0" w:color="auto"/>
        <w:bottom w:val="none" w:sz="0" w:space="0" w:color="auto"/>
        <w:right w:val="none" w:sz="0" w:space="0" w:color="auto"/>
      </w:divBdr>
    </w:div>
    <w:div w:id="513812046">
      <w:bodyDiv w:val="1"/>
      <w:marLeft w:val="0"/>
      <w:marRight w:val="0"/>
      <w:marTop w:val="0"/>
      <w:marBottom w:val="0"/>
      <w:divBdr>
        <w:top w:val="none" w:sz="0" w:space="0" w:color="auto"/>
        <w:left w:val="none" w:sz="0" w:space="0" w:color="auto"/>
        <w:bottom w:val="none" w:sz="0" w:space="0" w:color="auto"/>
        <w:right w:val="none" w:sz="0" w:space="0" w:color="auto"/>
      </w:divBdr>
      <w:divsChild>
        <w:div w:id="1090390524">
          <w:marLeft w:val="0"/>
          <w:marRight w:val="0"/>
          <w:marTop w:val="0"/>
          <w:marBottom w:val="0"/>
          <w:divBdr>
            <w:top w:val="none" w:sz="0" w:space="0" w:color="auto"/>
            <w:left w:val="none" w:sz="0" w:space="0" w:color="auto"/>
            <w:bottom w:val="none" w:sz="0" w:space="0" w:color="auto"/>
            <w:right w:val="none" w:sz="0" w:space="0" w:color="auto"/>
          </w:divBdr>
          <w:divsChild>
            <w:div w:id="1443694974">
              <w:marLeft w:val="0"/>
              <w:marRight w:val="0"/>
              <w:marTop w:val="0"/>
              <w:marBottom w:val="0"/>
              <w:divBdr>
                <w:top w:val="none" w:sz="0" w:space="0" w:color="auto"/>
                <w:left w:val="none" w:sz="0" w:space="0" w:color="auto"/>
                <w:bottom w:val="none" w:sz="0" w:space="0" w:color="auto"/>
                <w:right w:val="none" w:sz="0" w:space="0" w:color="auto"/>
              </w:divBdr>
              <w:divsChild>
                <w:div w:id="2101177013">
                  <w:marLeft w:val="0"/>
                  <w:marRight w:val="0"/>
                  <w:marTop w:val="0"/>
                  <w:marBottom w:val="0"/>
                  <w:divBdr>
                    <w:top w:val="none" w:sz="0" w:space="0" w:color="auto"/>
                    <w:left w:val="none" w:sz="0" w:space="0" w:color="auto"/>
                    <w:bottom w:val="none" w:sz="0" w:space="0" w:color="auto"/>
                    <w:right w:val="none" w:sz="0" w:space="0" w:color="auto"/>
                  </w:divBdr>
                  <w:divsChild>
                    <w:div w:id="57004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3599081">
      <w:bodyDiv w:val="1"/>
      <w:marLeft w:val="0"/>
      <w:marRight w:val="0"/>
      <w:marTop w:val="0"/>
      <w:marBottom w:val="0"/>
      <w:divBdr>
        <w:top w:val="none" w:sz="0" w:space="0" w:color="auto"/>
        <w:left w:val="none" w:sz="0" w:space="0" w:color="auto"/>
        <w:bottom w:val="none" w:sz="0" w:space="0" w:color="auto"/>
        <w:right w:val="none" w:sz="0" w:space="0" w:color="auto"/>
      </w:divBdr>
    </w:div>
    <w:div w:id="528643703">
      <w:bodyDiv w:val="1"/>
      <w:marLeft w:val="0"/>
      <w:marRight w:val="0"/>
      <w:marTop w:val="0"/>
      <w:marBottom w:val="0"/>
      <w:divBdr>
        <w:top w:val="none" w:sz="0" w:space="0" w:color="auto"/>
        <w:left w:val="none" w:sz="0" w:space="0" w:color="auto"/>
        <w:bottom w:val="none" w:sz="0" w:space="0" w:color="auto"/>
        <w:right w:val="none" w:sz="0" w:space="0" w:color="auto"/>
      </w:divBdr>
    </w:div>
    <w:div w:id="529731830">
      <w:bodyDiv w:val="1"/>
      <w:marLeft w:val="0"/>
      <w:marRight w:val="0"/>
      <w:marTop w:val="0"/>
      <w:marBottom w:val="0"/>
      <w:divBdr>
        <w:top w:val="none" w:sz="0" w:space="0" w:color="auto"/>
        <w:left w:val="none" w:sz="0" w:space="0" w:color="auto"/>
        <w:bottom w:val="none" w:sz="0" w:space="0" w:color="auto"/>
        <w:right w:val="none" w:sz="0" w:space="0" w:color="auto"/>
      </w:divBdr>
    </w:div>
    <w:div w:id="534926994">
      <w:bodyDiv w:val="1"/>
      <w:marLeft w:val="0"/>
      <w:marRight w:val="0"/>
      <w:marTop w:val="0"/>
      <w:marBottom w:val="0"/>
      <w:divBdr>
        <w:top w:val="none" w:sz="0" w:space="0" w:color="auto"/>
        <w:left w:val="none" w:sz="0" w:space="0" w:color="auto"/>
        <w:bottom w:val="none" w:sz="0" w:space="0" w:color="auto"/>
        <w:right w:val="none" w:sz="0" w:space="0" w:color="auto"/>
      </w:divBdr>
    </w:div>
    <w:div w:id="537356941">
      <w:bodyDiv w:val="1"/>
      <w:marLeft w:val="0"/>
      <w:marRight w:val="0"/>
      <w:marTop w:val="0"/>
      <w:marBottom w:val="0"/>
      <w:divBdr>
        <w:top w:val="none" w:sz="0" w:space="0" w:color="auto"/>
        <w:left w:val="none" w:sz="0" w:space="0" w:color="auto"/>
        <w:bottom w:val="none" w:sz="0" w:space="0" w:color="auto"/>
        <w:right w:val="none" w:sz="0" w:space="0" w:color="auto"/>
      </w:divBdr>
    </w:div>
    <w:div w:id="541133188">
      <w:bodyDiv w:val="1"/>
      <w:marLeft w:val="0"/>
      <w:marRight w:val="0"/>
      <w:marTop w:val="0"/>
      <w:marBottom w:val="0"/>
      <w:divBdr>
        <w:top w:val="none" w:sz="0" w:space="0" w:color="auto"/>
        <w:left w:val="none" w:sz="0" w:space="0" w:color="auto"/>
        <w:bottom w:val="none" w:sz="0" w:space="0" w:color="auto"/>
        <w:right w:val="none" w:sz="0" w:space="0" w:color="auto"/>
      </w:divBdr>
    </w:div>
    <w:div w:id="551188237">
      <w:bodyDiv w:val="1"/>
      <w:marLeft w:val="0"/>
      <w:marRight w:val="0"/>
      <w:marTop w:val="0"/>
      <w:marBottom w:val="0"/>
      <w:divBdr>
        <w:top w:val="none" w:sz="0" w:space="0" w:color="auto"/>
        <w:left w:val="none" w:sz="0" w:space="0" w:color="auto"/>
        <w:bottom w:val="none" w:sz="0" w:space="0" w:color="auto"/>
        <w:right w:val="none" w:sz="0" w:space="0" w:color="auto"/>
      </w:divBdr>
    </w:div>
    <w:div w:id="578563419">
      <w:bodyDiv w:val="1"/>
      <w:marLeft w:val="0"/>
      <w:marRight w:val="0"/>
      <w:marTop w:val="0"/>
      <w:marBottom w:val="0"/>
      <w:divBdr>
        <w:top w:val="none" w:sz="0" w:space="0" w:color="auto"/>
        <w:left w:val="none" w:sz="0" w:space="0" w:color="auto"/>
        <w:bottom w:val="none" w:sz="0" w:space="0" w:color="auto"/>
        <w:right w:val="none" w:sz="0" w:space="0" w:color="auto"/>
      </w:divBdr>
    </w:div>
    <w:div w:id="581716164">
      <w:bodyDiv w:val="1"/>
      <w:marLeft w:val="0"/>
      <w:marRight w:val="0"/>
      <w:marTop w:val="0"/>
      <w:marBottom w:val="0"/>
      <w:divBdr>
        <w:top w:val="none" w:sz="0" w:space="0" w:color="auto"/>
        <w:left w:val="none" w:sz="0" w:space="0" w:color="auto"/>
        <w:bottom w:val="none" w:sz="0" w:space="0" w:color="auto"/>
        <w:right w:val="none" w:sz="0" w:space="0" w:color="auto"/>
      </w:divBdr>
    </w:div>
    <w:div w:id="581718631">
      <w:bodyDiv w:val="1"/>
      <w:marLeft w:val="0"/>
      <w:marRight w:val="0"/>
      <w:marTop w:val="0"/>
      <w:marBottom w:val="0"/>
      <w:divBdr>
        <w:top w:val="none" w:sz="0" w:space="0" w:color="auto"/>
        <w:left w:val="none" w:sz="0" w:space="0" w:color="auto"/>
        <w:bottom w:val="none" w:sz="0" w:space="0" w:color="auto"/>
        <w:right w:val="none" w:sz="0" w:space="0" w:color="auto"/>
      </w:divBdr>
      <w:divsChild>
        <w:div w:id="1640694331">
          <w:marLeft w:val="0"/>
          <w:marRight w:val="0"/>
          <w:marTop w:val="0"/>
          <w:marBottom w:val="0"/>
          <w:divBdr>
            <w:top w:val="none" w:sz="0" w:space="0" w:color="auto"/>
            <w:left w:val="none" w:sz="0" w:space="0" w:color="auto"/>
            <w:bottom w:val="none" w:sz="0" w:space="0" w:color="auto"/>
            <w:right w:val="none" w:sz="0" w:space="0" w:color="auto"/>
          </w:divBdr>
        </w:div>
      </w:divsChild>
    </w:div>
    <w:div w:id="584149161">
      <w:bodyDiv w:val="1"/>
      <w:marLeft w:val="0"/>
      <w:marRight w:val="0"/>
      <w:marTop w:val="0"/>
      <w:marBottom w:val="0"/>
      <w:divBdr>
        <w:top w:val="none" w:sz="0" w:space="0" w:color="auto"/>
        <w:left w:val="none" w:sz="0" w:space="0" w:color="auto"/>
        <w:bottom w:val="none" w:sz="0" w:space="0" w:color="auto"/>
        <w:right w:val="none" w:sz="0" w:space="0" w:color="auto"/>
      </w:divBdr>
    </w:div>
    <w:div w:id="611547560">
      <w:bodyDiv w:val="1"/>
      <w:marLeft w:val="0"/>
      <w:marRight w:val="0"/>
      <w:marTop w:val="0"/>
      <w:marBottom w:val="0"/>
      <w:divBdr>
        <w:top w:val="none" w:sz="0" w:space="0" w:color="auto"/>
        <w:left w:val="none" w:sz="0" w:space="0" w:color="auto"/>
        <w:bottom w:val="none" w:sz="0" w:space="0" w:color="auto"/>
        <w:right w:val="none" w:sz="0" w:space="0" w:color="auto"/>
      </w:divBdr>
    </w:div>
    <w:div w:id="615143017">
      <w:bodyDiv w:val="1"/>
      <w:marLeft w:val="0"/>
      <w:marRight w:val="0"/>
      <w:marTop w:val="0"/>
      <w:marBottom w:val="0"/>
      <w:divBdr>
        <w:top w:val="none" w:sz="0" w:space="0" w:color="auto"/>
        <w:left w:val="none" w:sz="0" w:space="0" w:color="auto"/>
        <w:bottom w:val="none" w:sz="0" w:space="0" w:color="auto"/>
        <w:right w:val="none" w:sz="0" w:space="0" w:color="auto"/>
      </w:divBdr>
    </w:div>
    <w:div w:id="621688739">
      <w:bodyDiv w:val="1"/>
      <w:marLeft w:val="0"/>
      <w:marRight w:val="0"/>
      <w:marTop w:val="0"/>
      <w:marBottom w:val="0"/>
      <w:divBdr>
        <w:top w:val="none" w:sz="0" w:space="0" w:color="auto"/>
        <w:left w:val="none" w:sz="0" w:space="0" w:color="auto"/>
        <w:bottom w:val="none" w:sz="0" w:space="0" w:color="auto"/>
        <w:right w:val="none" w:sz="0" w:space="0" w:color="auto"/>
      </w:divBdr>
    </w:div>
    <w:div w:id="628516597">
      <w:bodyDiv w:val="1"/>
      <w:marLeft w:val="0"/>
      <w:marRight w:val="0"/>
      <w:marTop w:val="0"/>
      <w:marBottom w:val="0"/>
      <w:divBdr>
        <w:top w:val="none" w:sz="0" w:space="0" w:color="auto"/>
        <w:left w:val="none" w:sz="0" w:space="0" w:color="auto"/>
        <w:bottom w:val="none" w:sz="0" w:space="0" w:color="auto"/>
        <w:right w:val="none" w:sz="0" w:space="0" w:color="auto"/>
      </w:divBdr>
    </w:div>
    <w:div w:id="631247390">
      <w:bodyDiv w:val="1"/>
      <w:marLeft w:val="0"/>
      <w:marRight w:val="0"/>
      <w:marTop w:val="0"/>
      <w:marBottom w:val="0"/>
      <w:divBdr>
        <w:top w:val="none" w:sz="0" w:space="0" w:color="auto"/>
        <w:left w:val="none" w:sz="0" w:space="0" w:color="auto"/>
        <w:bottom w:val="none" w:sz="0" w:space="0" w:color="auto"/>
        <w:right w:val="none" w:sz="0" w:space="0" w:color="auto"/>
      </w:divBdr>
    </w:div>
    <w:div w:id="643892309">
      <w:bodyDiv w:val="1"/>
      <w:marLeft w:val="0"/>
      <w:marRight w:val="0"/>
      <w:marTop w:val="0"/>
      <w:marBottom w:val="0"/>
      <w:divBdr>
        <w:top w:val="none" w:sz="0" w:space="0" w:color="auto"/>
        <w:left w:val="none" w:sz="0" w:space="0" w:color="auto"/>
        <w:bottom w:val="none" w:sz="0" w:space="0" w:color="auto"/>
        <w:right w:val="none" w:sz="0" w:space="0" w:color="auto"/>
      </w:divBdr>
    </w:div>
    <w:div w:id="653797849">
      <w:bodyDiv w:val="1"/>
      <w:marLeft w:val="0"/>
      <w:marRight w:val="0"/>
      <w:marTop w:val="0"/>
      <w:marBottom w:val="0"/>
      <w:divBdr>
        <w:top w:val="none" w:sz="0" w:space="0" w:color="auto"/>
        <w:left w:val="none" w:sz="0" w:space="0" w:color="auto"/>
        <w:bottom w:val="none" w:sz="0" w:space="0" w:color="auto"/>
        <w:right w:val="none" w:sz="0" w:space="0" w:color="auto"/>
      </w:divBdr>
    </w:div>
    <w:div w:id="656036111">
      <w:bodyDiv w:val="1"/>
      <w:marLeft w:val="0"/>
      <w:marRight w:val="0"/>
      <w:marTop w:val="0"/>
      <w:marBottom w:val="0"/>
      <w:divBdr>
        <w:top w:val="none" w:sz="0" w:space="0" w:color="auto"/>
        <w:left w:val="none" w:sz="0" w:space="0" w:color="auto"/>
        <w:bottom w:val="none" w:sz="0" w:space="0" w:color="auto"/>
        <w:right w:val="none" w:sz="0" w:space="0" w:color="auto"/>
      </w:divBdr>
    </w:div>
    <w:div w:id="659773525">
      <w:bodyDiv w:val="1"/>
      <w:marLeft w:val="0"/>
      <w:marRight w:val="0"/>
      <w:marTop w:val="0"/>
      <w:marBottom w:val="0"/>
      <w:divBdr>
        <w:top w:val="none" w:sz="0" w:space="0" w:color="auto"/>
        <w:left w:val="none" w:sz="0" w:space="0" w:color="auto"/>
        <w:bottom w:val="none" w:sz="0" w:space="0" w:color="auto"/>
        <w:right w:val="none" w:sz="0" w:space="0" w:color="auto"/>
      </w:divBdr>
    </w:div>
    <w:div w:id="668142613">
      <w:bodyDiv w:val="1"/>
      <w:marLeft w:val="0"/>
      <w:marRight w:val="0"/>
      <w:marTop w:val="0"/>
      <w:marBottom w:val="0"/>
      <w:divBdr>
        <w:top w:val="none" w:sz="0" w:space="0" w:color="auto"/>
        <w:left w:val="none" w:sz="0" w:space="0" w:color="auto"/>
        <w:bottom w:val="none" w:sz="0" w:space="0" w:color="auto"/>
        <w:right w:val="none" w:sz="0" w:space="0" w:color="auto"/>
      </w:divBdr>
    </w:div>
    <w:div w:id="674695854">
      <w:bodyDiv w:val="1"/>
      <w:marLeft w:val="0"/>
      <w:marRight w:val="0"/>
      <w:marTop w:val="0"/>
      <w:marBottom w:val="0"/>
      <w:divBdr>
        <w:top w:val="none" w:sz="0" w:space="0" w:color="auto"/>
        <w:left w:val="none" w:sz="0" w:space="0" w:color="auto"/>
        <w:bottom w:val="none" w:sz="0" w:space="0" w:color="auto"/>
        <w:right w:val="none" w:sz="0" w:space="0" w:color="auto"/>
      </w:divBdr>
    </w:div>
    <w:div w:id="678653112">
      <w:bodyDiv w:val="1"/>
      <w:marLeft w:val="0"/>
      <w:marRight w:val="0"/>
      <w:marTop w:val="0"/>
      <w:marBottom w:val="0"/>
      <w:divBdr>
        <w:top w:val="none" w:sz="0" w:space="0" w:color="auto"/>
        <w:left w:val="none" w:sz="0" w:space="0" w:color="auto"/>
        <w:bottom w:val="none" w:sz="0" w:space="0" w:color="auto"/>
        <w:right w:val="none" w:sz="0" w:space="0" w:color="auto"/>
      </w:divBdr>
    </w:div>
    <w:div w:id="682705510">
      <w:bodyDiv w:val="1"/>
      <w:marLeft w:val="0"/>
      <w:marRight w:val="0"/>
      <w:marTop w:val="0"/>
      <w:marBottom w:val="0"/>
      <w:divBdr>
        <w:top w:val="none" w:sz="0" w:space="0" w:color="auto"/>
        <w:left w:val="none" w:sz="0" w:space="0" w:color="auto"/>
        <w:bottom w:val="none" w:sz="0" w:space="0" w:color="auto"/>
        <w:right w:val="none" w:sz="0" w:space="0" w:color="auto"/>
      </w:divBdr>
    </w:div>
    <w:div w:id="689530027">
      <w:bodyDiv w:val="1"/>
      <w:marLeft w:val="0"/>
      <w:marRight w:val="0"/>
      <w:marTop w:val="0"/>
      <w:marBottom w:val="0"/>
      <w:divBdr>
        <w:top w:val="none" w:sz="0" w:space="0" w:color="auto"/>
        <w:left w:val="none" w:sz="0" w:space="0" w:color="auto"/>
        <w:bottom w:val="none" w:sz="0" w:space="0" w:color="auto"/>
        <w:right w:val="none" w:sz="0" w:space="0" w:color="auto"/>
      </w:divBdr>
    </w:div>
    <w:div w:id="691298278">
      <w:bodyDiv w:val="1"/>
      <w:marLeft w:val="0"/>
      <w:marRight w:val="0"/>
      <w:marTop w:val="0"/>
      <w:marBottom w:val="0"/>
      <w:divBdr>
        <w:top w:val="none" w:sz="0" w:space="0" w:color="auto"/>
        <w:left w:val="none" w:sz="0" w:space="0" w:color="auto"/>
        <w:bottom w:val="none" w:sz="0" w:space="0" w:color="auto"/>
        <w:right w:val="none" w:sz="0" w:space="0" w:color="auto"/>
      </w:divBdr>
    </w:div>
    <w:div w:id="697394369">
      <w:bodyDiv w:val="1"/>
      <w:marLeft w:val="0"/>
      <w:marRight w:val="0"/>
      <w:marTop w:val="0"/>
      <w:marBottom w:val="0"/>
      <w:divBdr>
        <w:top w:val="none" w:sz="0" w:space="0" w:color="auto"/>
        <w:left w:val="none" w:sz="0" w:space="0" w:color="auto"/>
        <w:bottom w:val="none" w:sz="0" w:space="0" w:color="auto"/>
        <w:right w:val="none" w:sz="0" w:space="0" w:color="auto"/>
      </w:divBdr>
      <w:divsChild>
        <w:div w:id="2021732393">
          <w:marLeft w:val="0"/>
          <w:marRight w:val="0"/>
          <w:marTop w:val="0"/>
          <w:marBottom w:val="0"/>
          <w:divBdr>
            <w:top w:val="none" w:sz="0" w:space="0" w:color="auto"/>
            <w:left w:val="none" w:sz="0" w:space="0" w:color="auto"/>
            <w:bottom w:val="none" w:sz="0" w:space="0" w:color="auto"/>
            <w:right w:val="none" w:sz="0" w:space="0" w:color="auto"/>
          </w:divBdr>
        </w:div>
      </w:divsChild>
    </w:div>
    <w:div w:id="701633324">
      <w:bodyDiv w:val="1"/>
      <w:marLeft w:val="0"/>
      <w:marRight w:val="0"/>
      <w:marTop w:val="0"/>
      <w:marBottom w:val="0"/>
      <w:divBdr>
        <w:top w:val="none" w:sz="0" w:space="0" w:color="auto"/>
        <w:left w:val="none" w:sz="0" w:space="0" w:color="auto"/>
        <w:bottom w:val="none" w:sz="0" w:space="0" w:color="auto"/>
        <w:right w:val="none" w:sz="0" w:space="0" w:color="auto"/>
      </w:divBdr>
    </w:div>
    <w:div w:id="702629822">
      <w:bodyDiv w:val="1"/>
      <w:marLeft w:val="0"/>
      <w:marRight w:val="0"/>
      <w:marTop w:val="0"/>
      <w:marBottom w:val="0"/>
      <w:divBdr>
        <w:top w:val="none" w:sz="0" w:space="0" w:color="auto"/>
        <w:left w:val="none" w:sz="0" w:space="0" w:color="auto"/>
        <w:bottom w:val="none" w:sz="0" w:space="0" w:color="auto"/>
        <w:right w:val="none" w:sz="0" w:space="0" w:color="auto"/>
      </w:divBdr>
    </w:div>
    <w:div w:id="703209156">
      <w:bodyDiv w:val="1"/>
      <w:marLeft w:val="0"/>
      <w:marRight w:val="0"/>
      <w:marTop w:val="0"/>
      <w:marBottom w:val="0"/>
      <w:divBdr>
        <w:top w:val="none" w:sz="0" w:space="0" w:color="auto"/>
        <w:left w:val="none" w:sz="0" w:space="0" w:color="auto"/>
        <w:bottom w:val="none" w:sz="0" w:space="0" w:color="auto"/>
        <w:right w:val="none" w:sz="0" w:space="0" w:color="auto"/>
      </w:divBdr>
    </w:div>
    <w:div w:id="724185672">
      <w:bodyDiv w:val="1"/>
      <w:marLeft w:val="0"/>
      <w:marRight w:val="0"/>
      <w:marTop w:val="0"/>
      <w:marBottom w:val="0"/>
      <w:divBdr>
        <w:top w:val="none" w:sz="0" w:space="0" w:color="auto"/>
        <w:left w:val="none" w:sz="0" w:space="0" w:color="auto"/>
        <w:bottom w:val="none" w:sz="0" w:space="0" w:color="auto"/>
        <w:right w:val="none" w:sz="0" w:space="0" w:color="auto"/>
      </w:divBdr>
      <w:divsChild>
        <w:div w:id="1978949426">
          <w:marLeft w:val="0"/>
          <w:marRight w:val="0"/>
          <w:marTop w:val="0"/>
          <w:marBottom w:val="0"/>
          <w:divBdr>
            <w:top w:val="none" w:sz="0" w:space="0" w:color="auto"/>
            <w:left w:val="none" w:sz="0" w:space="0" w:color="auto"/>
            <w:bottom w:val="none" w:sz="0" w:space="0" w:color="auto"/>
            <w:right w:val="none" w:sz="0" w:space="0" w:color="auto"/>
          </w:divBdr>
          <w:divsChild>
            <w:div w:id="2086800972">
              <w:marLeft w:val="0"/>
              <w:marRight w:val="0"/>
              <w:marTop w:val="0"/>
              <w:marBottom w:val="0"/>
              <w:divBdr>
                <w:top w:val="none" w:sz="0" w:space="0" w:color="auto"/>
                <w:left w:val="none" w:sz="0" w:space="0" w:color="auto"/>
                <w:bottom w:val="none" w:sz="0" w:space="0" w:color="auto"/>
                <w:right w:val="none" w:sz="0" w:space="0" w:color="auto"/>
              </w:divBdr>
              <w:divsChild>
                <w:div w:id="1870218525">
                  <w:marLeft w:val="0"/>
                  <w:marRight w:val="0"/>
                  <w:marTop w:val="0"/>
                  <w:marBottom w:val="0"/>
                  <w:divBdr>
                    <w:top w:val="none" w:sz="0" w:space="0" w:color="auto"/>
                    <w:left w:val="none" w:sz="0" w:space="0" w:color="auto"/>
                    <w:bottom w:val="none" w:sz="0" w:space="0" w:color="auto"/>
                    <w:right w:val="none" w:sz="0" w:space="0" w:color="auto"/>
                  </w:divBdr>
                  <w:divsChild>
                    <w:div w:id="1708992931">
                      <w:marLeft w:val="0"/>
                      <w:marRight w:val="0"/>
                      <w:marTop w:val="0"/>
                      <w:marBottom w:val="0"/>
                      <w:divBdr>
                        <w:top w:val="none" w:sz="0" w:space="0" w:color="auto"/>
                        <w:left w:val="none" w:sz="0" w:space="0" w:color="auto"/>
                        <w:bottom w:val="none" w:sz="0" w:space="0" w:color="auto"/>
                        <w:right w:val="none" w:sz="0" w:space="0" w:color="auto"/>
                      </w:divBdr>
                      <w:divsChild>
                        <w:div w:id="630014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6420609">
      <w:bodyDiv w:val="1"/>
      <w:marLeft w:val="0"/>
      <w:marRight w:val="0"/>
      <w:marTop w:val="0"/>
      <w:marBottom w:val="0"/>
      <w:divBdr>
        <w:top w:val="none" w:sz="0" w:space="0" w:color="auto"/>
        <w:left w:val="none" w:sz="0" w:space="0" w:color="auto"/>
        <w:bottom w:val="none" w:sz="0" w:space="0" w:color="auto"/>
        <w:right w:val="none" w:sz="0" w:space="0" w:color="auto"/>
      </w:divBdr>
    </w:div>
    <w:div w:id="731924715">
      <w:bodyDiv w:val="1"/>
      <w:marLeft w:val="0"/>
      <w:marRight w:val="0"/>
      <w:marTop w:val="0"/>
      <w:marBottom w:val="0"/>
      <w:divBdr>
        <w:top w:val="none" w:sz="0" w:space="0" w:color="auto"/>
        <w:left w:val="none" w:sz="0" w:space="0" w:color="auto"/>
        <w:bottom w:val="none" w:sz="0" w:space="0" w:color="auto"/>
        <w:right w:val="none" w:sz="0" w:space="0" w:color="auto"/>
      </w:divBdr>
    </w:div>
    <w:div w:id="743186803">
      <w:bodyDiv w:val="1"/>
      <w:marLeft w:val="0"/>
      <w:marRight w:val="0"/>
      <w:marTop w:val="0"/>
      <w:marBottom w:val="0"/>
      <w:divBdr>
        <w:top w:val="none" w:sz="0" w:space="0" w:color="auto"/>
        <w:left w:val="none" w:sz="0" w:space="0" w:color="auto"/>
        <w:bottom w:val="none" w:sz="0" w:space="0" w:color="auto"/>
        <w:right w:val="none" w:sz="0" w:space="0" w:color="auto"/>
      </w:divBdr>
      <w:divsChild>
        <w:div w:id="1450121452">
          <w:marLeft w:val="0"/>
          <w:marRight w:val="0"/>
          <w:marTop w:val="0"/>
          <w:marBottom w:val="0"/>
          <w:divBdr>
            <w:top w:val="none" w:sz="0" w:space="0" w:color="auto"/>
            <w:left w:val="none" w:sz="0" w:space="0" w:color="auto"/>
            <w:bottom w:val="none" w:sz="0" w:space="0" w:color="auto"/>
            <w:right w:val="none" w:sz="0" w:space="0" w:color="auto"/>
          </w:divBdr>
          <w:divsChild>
            <w:div w:id="1330713036">
              <w:marLeft w:val="0"/>
              <w:marRight w:val="0"/>
              <w:marTop w:val="0"/>
              <w:marBottom w:val="0"/>
              <w:divBdr>
                <w:top w:val="none" w:sz="0" w:space="0" w:color="auto"/>
                <w:left w:val="none" w:sz="0" w:space="0" w:color="auto"/>
                <w:bottom w:val="none" w:sz="0" w:space="0" w:color="auto"/>
                <w:right w:val="none" w:sz="0" w:space="0" w:color="auto"/>
              </w:divBdr>
              <w:divsChild>
                <w:div w:id="1987973136">
                  <w:marLeft w:val="0"/>
                  <w:marRight w:val="0"/>
                  <w:marTop w:val="0"/>
                  <w:marBottom w:val="0"/>
                  <w:divBdr>
                    <w:top w:val="none" w:sz="0" w:space="0" w:color="auto"/>
                    <w:left w:val="none" w:sz="0" w:space="0" w:color="auto"/>
                    <w:bottom w:val="none" w:sz="0" w:space="0" w:color="auto"/>
                    <w:right w:val="none" w:sz="0" w:space="0" w:color="auto"/>
                  </w:divBdr>
                  <w:divsChild>
                    <w:div w:id="660621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6079298">
      <w:bodyDiv w:val="1"/>
      <w:marLeft w:val="0"/>
      <w:marRight w:val="0"/>
      <w:marTop w:val="0"/>
      <w:marBottom w:val="0"/>
      <w:divBdr>
        <w:top w:val="none" w:sz="0" w:space="0" w:color="auto"/>
        <w:left w:val="none" w:sz="0" w:space="0" w:color="auto"/>
        <w:bottom w:val="none" w:sz="0" w:space="0" w:color="auto"/>
        <w:right w:val="none" w:sz="0" w:space="0" w:color="auto"/>
      </w:divBdr>
    </w:div>
    <w:div w:id="763109791">
      <w:bodyDiv w:val="1"/>
      <w:marLeft w:val="0"/>
      <w:marRight w:val="0"/>
      <w:marTop w:val="0"/>
      <w:marBottom w:val="0"/>
      <w:divBdr>
        <w:top w:val="none" w:sz="0" w:space="0" w:color="auto"/>
        <w:left w:val="none" w:sz="0" w:space="0" w:color="auto"/>
        <w:bottom w:val="none" w:sz="0" w:space="0" w:color="auto"/>
        <w:right w:val="none" w:sz="0" w:space="0" w:color="auto"/>
      </w:divBdr>
    </w:div>
    <w:div w:id="766537353">
      <w:bodyDiv w:val="1"/>
      <w:marLeft w:val="0"/>
      <w:marRight w:val="0"/>
      <w:marTop w:val="0"/>
      <w:marBottom w:val="0"/>
      <w:divBdr>
        <w:top w:val="none" w:sz="0" w:space="0" w:color="auto"/>
        <w:left w:val="none" w:sz="0" w:space="0" w:color="auto"/>
        <w:bottom w:val="none" w:sz="0" w:space="0" w:color="auto"/>
        <w:right w:val="none" w:sz="0" w:space="0" w:color="auto"/>
      </w:divBdr>
    </w:div>
    <w:div w:id="770247528">
      <w:bodyDiv w:val="1"/>
      <w:marLeft w:val="0"/>
      <w:marRight w:val="0"/>
      <w:marTop w:val="0"/>
      <w:marBottom w:val="0"/>
      <w:divBdr>
        <w:top w:val="none" w:sz="0" w:space="0" w:color="auto"/>
        <w:left w:val="none" w:sz="0" w:space="0" w:color="auto"/>
        <w:bottom w:val="none" w:sz="0" w:space="0" w:color="auto"/>
        <w:right w:val="none" w:sz="0" w:space="0" w:color="auto"/>
      </w:divBdr>
    </w:div>
    <w:div w:id="772163226">
      <w:bodyDiv w:val="1"/>
      <w:marLeft w:val="0"/>
      <w:marRight w:val="0"/>
      <w:marTop w:val="0"/>
      <w:marBottom w:val="0"/>
      <w:divBdr>
        <w:top w:val="none" w:sz="0" w:space="0" w:color="auto"/>
        <w:left w:val="none" w:sz="0" w:space="0" w:color="auto"/>
        <w:bottom w:val="none" w:sz="0" w:space="0" w:color="auto"/>
        <w:right w:val="none" w:sz="0" w:space="0" w:color="auto"/>
      </w:divBdr>
    </w:div>
    <w:div w:id="784151935">
      <w:bodyDiv w:val="1"/>
      <w:marLeft w:val="0"/>
      <w:marRight w:val="0"/>
      <w:marTop w:val="0"/>
      <w:marBottom w:val="0"/>
      <w:divBdr>
        <w:top w:val="none" w:sz="0" w:space="0" w:color="auto"/>
        <w:left w:val="none" w:sz="0" w:space="0" w:color="auto"/>
        <w:bottom w:val="none" w:sz="0" w:space="0" w:color="auto"/>
        <w:right w:val="none" w:sz="0" w:space="0" w:color="auto"/>
      </w:divBdr>
    </w:div>
    <w:div w:id="790175788">
      <w:bodyDiv w:val="1"/>
      <w:marLeft w:val="0"/>
      <w:marRight w:val="0"/>
      <w:marTop w:val="0"/>
      <w:marBottom w:val="0"/>
      <w:divBdr>
        <w:top w:val="none" w:sz="0" w:space="0" w:color="auto"/>
        <w:left w:val="none" w:sz="0" w:space="0" w:color="auto"/>
        <w:bottom w:val="none" w:sz="0" w:space="0" w:color="auto"/>
        <w:right w:val="none" w:sz="0" w:space="0" w:color="auto"/>
      </w:divBdr>
    </w:div>
    <w:div w:id="796526013">
      <w:bodyDiv w:val="1"/>
      <w:marLeft w:val="0"/>
      <w:marRight w:val="0"/>
      <w:marTop w:val="0"/>
      <w:marBottom w:val="0"/>
      <w:divBdr>
        <w:top w:val="none" w:sz="0" w:space="0" w:color="auto"/>
        <w:left w:val="none" w:sz="0" w:space="0" w:color="auto"/>
        <w:bottom w:val="none" w:sz="0" w:space="0" w:color="auto"/>
        <w:right w:val="none" w:sz="0" w:space="0" w:color="auto"/>
      </w:divBdr>
    </w:div>
    <w:div w:id="799106534">
      <w:bodyDiv w:val="1"/>
      <w:marLeft w:val="0"/>
      <w:marRight w:val="0"/>
      <w:marTop w:val="0"/>
      <w:marBottom w:val="0"/>
      <w:divBdr>
        <w:top w:val="none" w:sz="0" w:space="0" w:color="auto"/>
        <w:left w:val="none" w:sz="0" w:space="0" w:color="auto"/>
        <w:bottom w:val="none" w:sz="0" w:space="0" w:color="auto"/>
        <w:right w:val="none" w:sz="0" w:space="0" w:color="auto"/>
      </w:divBdr>
    </w:div>
    <w:div w:id="803277599">
      <w:bodyDiv w:val="1"/>
      <w:marLeft w:val="0"/>
      <w:marRight w:val="0"/>
      <w:marTop w:val="0"/>
      <w:marBottom w:val="0"/>
      <w:divBdr>
        <w:top w:val="none" w:sz="0" w:space="0" w:color="auto"/>
        <w:left w:val="none" w:sz="0" w:space="0" w:color="auto"/>
        <w:bottom w:val="none" w:sz="0" w:space="0" w:color="auto"/>
        <w:right w:val="none" w:sz="0" w:space="0" w:color="auto"/>
      </w:divBdr>
    </w:div>
    <w:div w:id="805198591">
      <w:bodyDiv w:val="1"/>
      <w:marLeft w:val="0"/>
      <w:marRight w:val="0"/>
      <w:marTop w:val="0"/>
      <w:marBottom w:val="0"/>
      <w:divBdr>
        <w:top w:val="none" w:sz="0" w:space="0" w:color="auto"/>
        <w:left w:val="none" w:sz="0" w:space="0" w:color="auto"/>
        <w:bottom w:val="none" w:sz="0" w:space="0" w:color="auto"/>
        <w:right w:val="none" w:sz="0" w:space="0" w:color="auto"/>
      </w:divBdr>
    </w:div>
    <w:div w:id="805200110">
      <w:bodyDiv w:val="1"/>
      <w:marLeft w:val="0"/>
      <w:marRight w:val="0"/>
      <w:marTop w:val="0"/>
      <w:marBottom w:val="0"/>
      <w:divBdr>
        <w:top w:val="none" w:sz="0" w:space="0" w:color="auto"/>
        <w:left w:val="none" w:sz="0" w:space="0" w:color="auto"/>
        <w:bottom w:val="none" w:sz="0" w:space="0" w:color="auto"/>
        <w:right w:val="none" w:sz="0" w:space="0" w:color="auto"/>
      </w:divBdr>
    </w:div>
    <w:div w:id="814640325">
      <w:bodyDiv w:val="1"/>
      <w:marLeft w:val="0"/>
      <w:marRight w:val="0"/>
      <w:marTop w:val="0"/>
      <w:marBottom w:val="0"/>
      <w:divBdr>
        <w:top w:val="none" w:sz="0" w:space="0" w:color="auto"/>
        <w:left w:val="none" w:sz="0" w:space="0" w:color="auto"/>
        <w:bottom w:val="none" w:sz="0" w:space="0" w:color="auto"/>
        <w:right w:val="none" w:sz="0" w:space="0" w:color="auto"/>
      </w:divBdr>
    </w:div>
    <w:div w:id="818962789">
      <w:bodyDiv w:val="1"/>
      <w:marLeft w:val="0"/>
      <w:marRight w:val="0"/>
      <w:marTop w:val="0"/>
      <w:marBottom w:val="0"/>
      <w:divBdr>
        <w:top w:val="none" w:sz="0" w:space="0" w:color="auto"/>
        <w:left w:val="none" w:sz="0" w:space="0" w:color="auto"/>
        <w:bottom w:val="none" w:sz="0" w:space="0" w:color="auto"/>
        <w:right w:val="none" w:sz="0" w:space="0" w:color="auto"/>
      </w:divBdr>
    </w:div>
    <w:div w:id="821967424">
      <w:bodyDiv w:val="1"/>
      <w:marLeft w:val="0"/>
      <w:marRight w:val="0"/>
      <w:marTop w:val="0"/>
      <w:marBottom w:val="0"/>
      <w:divBdr>
        <w:top w:val="none" w:sz="0" w:space="0" w:color="auto"/>
        <w:left w:val="none" w:sz="0" w:space="0" w:color="auto"/>
        <w:bottom w:val="none" w:sz="0" w:space="0" w:color="auto"/>
        <w:right w:val="none" w:sz="0" w:space="0" w:color="auto"/>
      </w:divBdr>
      <w:divsChild>
        <w:div w:id="132529394">
          <w:marLeft w:val="0"/>
          <w:marRight w:val="0"/>
          <w:marTop w:val="0"/>
          <w:marBottom w:val="0"/>
          <w:divBdr>
            <w:top w:val="none" w:sz="0" w:space="0" w:color="auto"/>
            <w:left w:val="none" w:sz="0" w:space="0" w:color="auto"/>
            <w:bottom w:val="none" w:sz="0" w:space="0" w:color="auto"/>
            <w:right w:val="none" w:sz="0" w:space="0" w:color="auto"/>
          </w:divBdr>
          <w:divsChild>
            <w:div w:id="1706059416">
              <w:marLeft w:val="0"/>
              <w:marRight w:val="0"/>
              <w:marTop w:val="0"/>
              <w:marBottom w:val="0"/>
              <w:divBdr>
                <w:top w:val="none" w:sz="0" w:space="0" w:color="auto"/>
                <w:left w:val="none" w:sz="0" w:space="0" w:color="auto"/>
                <w:bottom w:val="none" w:sz="0" w:space="0" w:color="auto"/>
                <w:right w:val="none" w:sz="0" w:space="0" w:color="auto"/>
              </w:divBdr>
              <w:divsChild>
                <w:div w:id="1256740976">
                  <w:marLeft w:val="0"/>
                  <w:marRight w:val="0"/>
                  <w:marTop w:val="0"/>
                  <w:marBottom w:val="0"/>
                  <w:divBdr>
                    <w:top w:val="none" w:sz="0" w:space="0" w:color="auto"/>
                    <w:left w:val="none" w:sz="0" w:space="0" w:color="auto"/>
                    <w:bottom w:val="none" w:sz="0" w:space="0" w:color="auto"/>
                    <w:right w:val="none" w:sz="0" w:space="0" w:color="auto"/>
                  </w:divBdr>
                  <w:divsChild>
                    <w:div w:id="1827286184">
                      <w:marLeft w:val="0"/>
                      <w:marRight w:val="0"/>
                      <w:marTop w:val="0"/>
                      <w:marBottom w:val="0"/>
                      <w:divBdr>
                        <w:top w:val="none" w:sz="0" w:space="0" w:color="auto"/>
                        <w:left w:val="none" w:sz="0" w:space="0" w:color="auto"/>
                        <w:bottom w:val="none" w:sz="0" w:space="0" w:color="auto"/>
                        <w:right w:val="none" w:sz="0" w:space="0" w:color="auto"/>
                      </w:divBdr>
                      <w:divsChild>
                        <w:div w:id="268322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116282">
      <w:bodyDiv w:val="1"/>
      <w:marLeft w:val="0"/>
      <w:marRight w:val="0"/>
      <w:marTop w:val="0"/>
      <w:marBottom w:val="0"/>
      <w:divBdr>
        <w:top w:val="none" w:sz="0" w:space="0" w:color="auto"/>
        <w:left w:val="none" w:sz="0" w:space="0" w:color="auto"/>
        <w:bottom w:val="none" w:sz="0" w:space="0" w:color="auto"/>
        <w:right w:val="none" w:sz="0" w:space="0" w:color="auto"/>
      </w:divBdr>
    </w:div>
    <w:div w:id="825123806">
      <w:bodyDiv w:val="1"/>
      <w:marLeft w:val="0"/>
      <w:marRight w:val="0"/>
      <w:marTop w:val="0"/>
      <w:marBottom w:val="0"/>
      <w:divBdr>
        <w:top w:val="none" w:sz="0" w:space="0" w:color="auto"/>
        <w:left w:val="none" w:sz="0" w:space="0" w:color="auto"/>
        <w:bottom w:val="none" w:sz="0" w:space="0" w:color="auto"/>
        <w:right w:val="none" w:sz="0" w:space="0" w:color="auto"/>
      </w:divBdr>
    </w:div>
    <w:div w:id="832526841">
      <w:bodyDiv w:val="1"/>
      <w:marLeft w:val="0"/>
      <w:marRight w:val="0"/>
      <w:marTop w:val="0"/>
      <w:marBottom w:val="0"/>
      <w:divBdr>
        <w:top w:val="none" w:sz="0" w:space="0" w:color="auto"/>
        <w:left w:val="none" w:sz="0" w:space="0" w:color="auto"/>
        <w:bottom w:val="none" w:sz="0" w:space="0" w:color="auto"/>
        <w:right w:val="none" w:sz="0" w:space="0" w:color="auto"/>
      </w:divBdr>
    </w:div>
    <w:div w:id="832644297">
      <w:bodyDiv w:val="1"/>
      <w:marLeft w:val="0"/>
      <w:marRight w:val="0"/>
      <w:marTop w:val="0"/>
      <w:marBottom w:val="0"/>
      <w:divBdr>
        <w:top w:val="none" w:sz="0" w:space="0" w:color="auto"/>
        <w:left w:val="none" w:sz="0" w:space="0" w:color="auto"/>
        <w:bottom w:val="none" w:sz="0" w:space="0" w:color="auto"/>
        <w:right w:val="none" w:sz="0" w:space="0" w:color="auto"/>
      </w:divBdr>
    </w:div>
    <w:div w:id="838158279">
      <w:bodyDiv w:val="1"/>
      <w:marLeft w:val="0"/>
      <w:marRight w:val="0"/>
      <w:marTop w:val="0"/>
      <w:marBottom w:val="0"/>
      <w:divBdr>
        <w:top w:val="none" w:sz="0" w:space="0" w:color="auto"/>
        <w:left w:val="none" w:sz="0" w:space="0" w:color="auto"/>
        <w:bottom w:val="none" w:sz="0" w:space="0" w:color="auto"/>
        <w:right w:val="none" w:sz="0" w:space="0" w:color="auto"/>
      </w:divBdr>
    </w:div>
    <w:div w:id="842864777">
      <w:bodyDiv w:val="1"/>
      <w:marLeft w:val="0"/>
      <w:marRight w:val="0"/>
      <w:marTop w:val="0"/>
      <w:marBottom w:val="0"/>
      <w:divBdr>
        <w:top w:val="none" w:sz="0" w:space="0" w:color="auto"/>
        <w:left w:val="none" w:sz="0" w:space="0" w:color="auto"/>
        <w:bottom w:val="none" w:sz="0" w:space="0" w:color="auto"/>
        <w:right w:val="none" w:sz="0" w:space="0" w:color="auto"/>
      </w:divBdr>
    </w:div>
    <w:div w:id="843935772">
      <w:bodyDiv w:val="1"/>
      <w:marLeft w:val="0"/>
      <w:marRight w:val="0"/>
      <w:marTop w:val="0"/>
      <w:marBottom w:val="0"/>
      <w:divBdr>
        <w:top w:val="none" w:sz="0" w:space="0" w:color="auto"/>
        <w:left w:val="none" w:sz="0" w:space="0" w:color="auto"/>
        <w:bottom w:val="none" w:sz="0" w:space="0" w:color="auto"/>
        <w:right w:val="none" w:sz="0" w:space="0" w:color="auto"/>
      </w:divBdr>
    </w:div>
    <w:div w:id="845024862">
      <w:bodyDiv w:val="1"/>
      <w:marLeft w:val="0"/>
      <w:marRight w:val="0"/>
      <w:marTop w:val="0"/>
      <w:marBottom w:val="0"/>
      <w:divBdr>
        <w:top w:val="none" w:sz="0" w:space="0" w:color="auto"/>
        <w:left w:val="none" w:sz="0" w:space="0" w:color="auto"/>
        <w:bottom w:val="none" w:sz="0" w:space="0" w:color="auto"/>
        <w:right w:val="none" w:sz="0" w:space="0" w:color="auto"/>
      </w:divBdr>
    </w:div>
    <w:div w:id="855461581">
      <w:bodyDiv w:val="1"/>
      <w:marLeft w:val="0"/>
      <w:marRight w:val="0"/>
      <w:marTop w:val="0"/>
      <w:marBottom w:val="0"/>
      <w:divBdr>
        <w:top w:val="none" w:sz="0" w:space="0" w:color="auto"/>
        <w:left w:val="none" w:sz="0" w:space="0" w:color="auto"/>
        <w:bottom w:val="none" w:sz="0" w:space="0" w:color="auto"/>
        <w:right w:val="none" w:sz="0" w:space="0" w:color="auto"/>
      </w:divBdr>
    </w:div>
    <w:div w:id="857697680">
      <w:bodyDiv w:val="1"/>
      <w:marLeft w:val="0"/>
      <w:marRight w:val="0"/>
      <w:marTop w:val="0"/>
      <w:marBottom w:val="0"/>
      <w:divBdr>
        <w:top w:val="none" w:sz="0" w:space="0" w:color="auto"/>
        <w:left w:val="none" w:sz="0" w:space="0" w:color="auto"/>
        <w:bottom w:val="none" w:sz="0" w:space="0" w:color="auto"/>
        <w:right w:val="none" w:sz="0" w:space="0" w:color="auto"/>
      </w:divBdr>
    </w:div>
    <w:div w:id="860163774">
      <w:bodyDiv w:val="1"/>
      <w:marLeft w:val="0"/>
      <w:marRight w:val="0"/>
      <w:marTop w:val="0"/>
      <w:marBottom w:val="0"/>
      <w:divBdr>
        <w:top w:val="none" w:sz="0" w:space="0" w:color="auto"/>
        <w:left w:val="none" w:sz="0" w:space="0" w:color="auto"/>
        <w:bottom w:val="none" w:sz="0" w:space="0" w:color="auto"/>
        <w:right w:val="none" w:sz="0" w:space="0" w:color="auto"/>
      </w:divBdr>
    </w:div>
    <w:div w:id="864712030">
      <w:bodyDiv w:val="1"/>
      <w:marLeft w:val="0"/>
      <w:marRight w:val="0"/>
      <w:marTop w:val="0"/>
      <w:marBottom w:val="0"/>
      <w:divBdr>
        <w:top w:val="none" w:sz="0" w:space="0" w:color="auto"/>
        <w:left w:val="none" w:sz="0" w:space="0" w:color="auto"/>
        <w:bottom w:val="none" w:sz="0" w:space="0" w:color="auto"/>
        <w:right w:val="none" w:sz="0" w:space="0" w:color="auto"/>
      </w:divBdr>
    </w:div>
    <w:div w:id="866060420">
      <w:bodyDiv w:val="1"/>
      <w:marLeft w:val="0"/>
      <w:marRight w:val="0"/>
      <w:marTop w:val="0"/>
      <w:marBottom w:val="0"/>
      <w:divBdr>
        <w:top w:val="none" w:sz="0" w:space="0" w:color="auto"/>
        <w:left w:val="none" w:sz="0" w:space="0" w:color="auto"/>
        <w:bottom w:val="none" w:sz="0" w:space="0" w:color="auto"/>
        <w:right w:val="none" w:sz="0" w:space="0" w:color="auto"/>
      </w:divBdr>
    </w:div>
    <w:div w:id="871845849">
      <w:bodyDiv w:val="1"/>
      <w:marLeft w:val="0"/>
      <w:marRight w:val="0"/>
      <w:marTop w:val="0"/>
      <w:marBottom w:val="0"/>
      <w:divBdr>
        <w:top w:val="none" w:sz="0" w:space="0" w:color="auto"/>
        <w:left w:val="none" w:sz="0" w:space="0" w:color="auto"/>
        <w:bottom w:val="none" w:sz="0" w:space="0" w:color="auto"/>
        <w:right w:val="none" w:sz="0" w:space="0" w:color="auto"/>
      </w:divBdr>
      <w:divsChild>
        <w:div w:id="1851675321">
          <w:marLeft w:val="0"/>
          <w:marRight w:val="300"/>
          <w:marTop w:val="0"/>
          <w:marBottom w:val="0"/>
          <w:divBdr>
            <w:top w:val="none" w:sz="0" w:space="0" w:color="auto"/>
            <w:left w:val="none" w:sz="0" w:space="0" w:color="auto"/>
            <w:bottom w:val="none" w:sz="0" w:space="0" w:color="auto"/>
            <w:right w:val="none" w:sz="0" w:space="0" w:color="auto"/>
          </w:divBdr>
          <w:divsChild>
            <w:div w:id="1648435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937221">
      <w:bodyDiv w:val="1"/>
      <w:marLeft w:val="0"/>
      <w:marRight w:val="0"/>
      <w:marTop w:val="0"/>
      <w:marBottom w:val="0"/>
      <w:divBdr>
        <w:top w:val="none" w:sz="0" w:space="0" w:color="auto"/>
        <w:left w:val="none" w:sz="0" w:space="0" w:color="auto"/>
        <w:bottom w:val="none" w:sz="0" w:space="0" w:color="auto"/>
        <w:right w:val="none" w:sz="0" w:space="0" w:color="auto"/>
      </w:divBdr>
      <w:divsChild>
        <w:div w:id="896403648">
          <w:marLeft w:val="0"/>
          <w:marRight w:val="0"/>
          <w:marTop w:val="0"/>
          <w:marBottom w:val="0"/>
          <w:divBdr>
            <w:top w:val="none" w:sz="0" w:space="0" w:color="auto"/>
            <w:left w:val="none" w:sz="0" w:space="0" w:color="auto"/>
            <w:bottom w:val="none" w:sz="0" w:space="0" w:color="auto"/>
            <w:right w:val="none" w:sz="0" w:space="0" w:color="auto"/>
          </w:divBdr>
          <w:divsChild>
            <w:div w:id="1612400122">
              <w:marLeft w:val="0"/>
              <w:marRight w:val="0"/>
              <w:marTop w:val="0"/>
              <w:marBottom w:val="0"/>
              <w:divBdr>
                <w:top w:val="none" w:sz="0" w:space="0" w:color="auto"/>
                <w:left w:val="none" w:sz="0" w:space="0" w:color="auto"/>
                <w:bottom w:val="none" w:sz="0" w:space="0" w:color="auto"/>
                <w:right w:val="none" w:sz="0" w:space="0" w:color="auto"/>
              </w:divBdr>
              <w:divsChild>
                <w:div w:id="2099524544">
                  <w:marLeft w:val="0"/>
                  <w:marRight w:val="0"/>
                  <w:marTop w:val="0"/>
                  <w:marBottom w:val="0"/>
                  <w:divBdr>
                    <w:top w:val="none" w:sz="0" w:space="0" w:color="auto"/>
                    <w:left w:val="none" w:sz="0" w:space="0" w:color="auto"/>
                    <w:bottom w:val="none" w:sz="0" w:space="0" w:color="auto"/>
                    <w:right w:val="none" w:sz="0" w:space="0" w:color="auto"/>
                  </w:divBdr>
                  <w:divsChild>
                    <w:div w:id="129028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8514329">
      <w:bodyDiv w:val="1"/>
      <w:marLeft w:val="0"/>
      <w:marRight w:val="0"/>
      <w:marTop w:val="0"/>
      <w:marBottom w:val="0"/>
      <w:divBdr>
        <w:top w:val="none" w:sz="0" w:space="0" w:color="auto"/>
        <w:left w:val="none" w:sz="0" w:space="0" w:color="auto"/>
        <w:bottom w:val="none" w:sz="0" w:space="0" w:color="auto"/>
        <w:right w:val="none" w:sz="0" w:space="0" w:color="auto"/>
      </w:divBdr>
    </w:div>
    <w:div w:id="880676850">
      <w:bodyDiv w:val="1"/>
      <w:marLeft w:val="0"/>
      <w:marRight w:val="0"/>
      <w:marTop w:val="0"/>
      <w:marBottom w:val="0"/>
      <w:divBdr>
        <w:top w:val="none" w:sz="0" w:space="0" w:color="auto"/>
        <w:left w:val="none" w:sz="0" w:space="0" w:color="auto"/>
        <w:bottom w:val="none" w:sz="0" w:space="0" w:color="auto"/>
        <w:right w:val="none" w:sz="0" w:space="0" w:color="auto"/>
      </w:divBdr>
    </w:div>
    <w:div w:id="889607862">
      <w:bodyDiv w:val="1"/>
      <w:marLeft w:val="0"/>
      <w:marRight w:val="0"/>
      <w:marTop w:val="0"/>
      <w:marBottom w:val="0"/>
      <w:divBdr>
        <w:top w:val="none" w:sz="0" w:space="0" w:color="auto"/>
        <w:left w:val="none" w:sz="0" w:space="0" w:color="auto"/>
        <w:bottom w:val="none" w:sz="0" w:space="0" w:color="auto"/>
        <w:right w:val="none" w:sz="0" w:space="0" w:color="auto"/>
      </w:divBdr>
    </w:div>
    <w:div w:id="900678746">
      <w:bodyDiv w:val="1"/>
      <w:marLeft w:val="0"/>
      <w:marRight w:val="0"/>
      <w:marTop w:val="0"/>
      <w:marBottom w:val="0"/>
      <w:divBdr>
        <w:top w:val="none" w:sz="0" w:space="0" w:color="auto"/>
        <w:left w:val="none" w:sz="0" w:space="0" w:color="auto"/>
        <w:bottom w:val="none" w:sz="0" w:space="0" w:color="auto"/>
        <w:right w:val="none" w:sz="0" w:space="0" w:color="auto"/>
      </w:divBdr>
    </w:div>
    <w:div w:id="912083572">
      <w:bodyDiv w:val="1"/>
      <w:marLeft w:val="0"/>
      <w:marRight w:val="0"/>
      <w:marTop w:val="0"/>
      <w:marBottom w:val="0"/>
      <w:divBdr>
        <w:top w:val="none" w:sz="0" w:space="0" w:color="auto"/>
        <w:left w:val="none" w:sz="0" w:space="0" w:color="auto"/>
        <w:bottom w:val="none" w:sz="0" w:space="0" w:color="auto"/>
        <w:right w:val="none" w:sz="0" w:space="0" w:color="auto"/>
      </w:divBdr>
    </w:div>
    <w:div w:id="940258583">
      <w:bodyDiv w:val="1"/>
      <w:marLeft w:val="0"/>
      <w:marRight w:val="0"/>
      <w:marTop w:val="0"/>
      <w:marBottom w:val="0"/>
      <w:divBdr>
        <w:top w:val="none" w:sz="0" w:space="0" w:color="auto"/>
        <w:left w:val="none" w:sz="0" w:space="0" w:color="auto"/>
        <w:bottom w:val="none" w:sz="0" w:space="0" w:color="auto"/>
        <w:right w:val="none" w:sz="0" w:space="0" w:color="auto"/>
      </w:divBdr>
    </w:div>
    <w:div w:id="940839303">
      <w:bodyDiv w:val="1"/>
      <w:marLeft w:val="0"/>
      <w:marRight w:val="0"/>
      <w:marTop w:val="0"/>
      <w:marBottom w:val="0"/>
      <w:divBdr>
        <w:top w:val="none" w:sz="0" w:space="0" w:color="auto"/>
        <w:left w:val="none" w:sz="0" w:space="0" w:color="auto"/>
        <w:bottom w:val="none" w:sz="0" w:space="0" w:color="auto"/>
        <w:right w:val="none" w:sz="0" w:space="0" w:color="auto"/>
      </w:divBdr>
    </w:div>
    <w:div w:id="943415876">
      <w:bodyDiv w:val="1"/>
      <w:marLeft w:val="0"/>
      <w:marRight w:val="0"/>
      <w:marTop w:val="0"/>
      <w:marBottom w:val="0"/>
      <w:divBdr>
        <w:top w:val="none" w:sz="0" w:space="0" w:color="auto"/>
        <w:left w:val="none" w:sz="0" w:space="0" w:color="auto"/>
        <w:bottom w:val="none" w:sz="0" w:space="0" w:color="auto"/>
        <w:right w:val="none" w:sz="0" w:space="0" w:color="auto"/>
      </w:divBdr>
    </w:div>
    <w:div w:id="952977946">
      <w:bodyDiv w:val="1"/>
      <w:marLeft w:val="0"/>
      <w:marRight w:val="0"/>
      <w:marTop w:val="0"/>
      <w:marBottom w:val="0"/>
      <w:divBdr>
        <w:top w:val="none" w:sz="0" w:space="0" w:color="auto"/>
        <w:left w:val="none" w:sz="0" w:space="0" w:color="auto"/>
        <w:bottom w:val="none" w:sz="0" w:space="0" w:color="auto"/>
        <w:right w:val="none" w:sz="0" w:space="0" w:color="auto"/>
      </w:divBdr>
    </w:div>
    <w:div w:id="957951353">
      <w:bodyDiv w:val="1"/>
      <w:marLeft w:val="0"/>
      <w:marRight w:val="0"/>
      <w:marTop w:val="0"/>
      <w:marBottom w:val="0"/>
      <w:divBdr>
        <w:top w:val="none" w:sz="0" w:space="0" w:color="auto"/>
        <w:left w:val="none" w:sz="0" w:space="0" w:color="auto"/>
        <w:bottom w:val="none" w:sz="0" w:space="0" w:color="auto"/>
        <w:right w:val="none" w:sz="0" w:space="0" w:color="auto"/>
      </w:divBdr>
    </w:div>
    <w:div w:id="965770933">
      <w:bodyDiv w:val="1"/>
      <w:marLeft w:val="0"/>
      <w:marRight w:val="0"/>
      <w:marTop w:val="0"/>
      <w:marBottom w:val="0"/>
      <w:divBdr>
        <w:top w:val="none" w:sz="0" w:space="0" w:color="auto"/>
        <w:left w:val="none" w:sz="0" w:space="0" w:color="auto"/>
        <w:bottom w:val="none" w:sz="0" w:space="0" w:color="auto"/>
        <w:right w:val="none" w:sz="0" w:space="0" w:color="auto"/>
      </w:divBdr>
      <w:divsChild>
        <w:div w:id="2081562928">
          <w:marLeft w:val="0"/>
          <w:marRight w:val="0"/>
          <w:marTop w:val="0"/>
          <w:marBottom w:val="0"/>
          <w:divBdr>
            <w:top w:val="none" w:sz="0" w:space="0" w:color="auto"/>
            <w:left w:val="none" w:sz="0" w:space="0" w:color="auto"/>
            <w:bottom w:val="none" w:sz="0" w:space="0" w:color="auto"/>
            <w:right w:val="none" w:sz="0" w:space="0" w:color="auto"/>
          </w:divBdr>
          <w:divsChild>
            <w:div w:id="942886233">
              <w:marLeft w:val="0"/>
              <w:marRight w:val="0"/>
              <w:marTop w:val="75"/>
              <w:marBottom w:val="0"/>
              <w:divBdr>
                <w:top w:val="none" w:sz="0" w:space="0" w:color="auto"/>
                <w:left w:val="none" w:sz="0" w:space="0" w:color="auto"/>
                <w:bottom w:val="none" w:sz="0" w:space="0" w:color="auto"/>
                <w:right w:val="none" w:sz="0" w:space="0" w:color="auto"/>
              </w:divBdr>
              <w:divsChild>
                <w:div w:id="5909905">
                  <w:marLeft w:val="2970"/>
                  <w:marRight w:val="2970"/>
                  <w:marTop w:val="0"/>
                  <w:marBottom w:val="0"/>
                  <w:divBdr>
                    <w:top w:val="none" w:sz="0" w:space="0" w:color="auto"/>
                    <w:left w:val="none" w:sz="0" w:space="0" w:color="auto"/>
                    <w:bottom w:val="none" w:sz="0" w:space="0" w:color="auto"/>
                    <w:right w:val="none" w:sz="0" w:space="0" w:color="auto"/>
                  </w:divBdr>
                </w:div>
              </w:divsChild>
            </w:div>
          </w:divsChild>
        </w:div>
      </w:divsChild>
    </w:div>
    <w:div w:id="966200421">
      <w:bodyDiv w:val="1"/>
      <w:marLeft w:val="0"/>
      <w:marRight w:val="0"/>
      <w:marTop w:val="0"/>
      <w:marBottom w:val="0"/>
      <w:divBdr>
        <w:top w:val="none" w:sz="0" w:space="0" w:color="auto"/>
        <w:left w:val="none" w:sz="0" w:space="0" w:color="auto"/>
        <w:bottom w:val="none" w:sz="0" w:space="0" w:color="auto"/>
        <w:right w:val="none" w:sz="0" w:space="0" w:color="auto"/>
      </w:divBdr>
      <w:divsChild>
        <w:div w:id="108203804">
          <w:marLeft w:val="0"/>
          <w:marRight w:val="0"/>
          <w:marTop w:val="0"/>
          <w:marBottom w:val="0"/>
          <w:divBdr>
            <w:top w:val="none" w:sz="0" w:space="0" w:color="auto"/>
            <w:left w:val="none" w:sz="0" w:space="0" w:color="auto"/>
            <w:bottom w:val="none" w:sz="0" w:space="0" w:color="auto"/>
            <w:right w:val="none" w:sz="0" w:space="0" w:color="auto"/>
          </w:divBdr>
        </w:div>
      </w:divsChild>
    </w:div>
    <w:div w:id="967659404">
      <w:bodyDiv w:val="1"/>
      <w:marLeft w:val="0"/>
      <w:marRight w:val="0"/>
      <w:marTop w:val="0"/>
      <w:marBottom w:val="0"/>
      <w:divBdr>
        <w:top w:val="none" w:sz="0" w:space="0" w:color="auto"/>
        <w:left w:val="none" w:sz="0" w:space="0" w:color="auto"/>
        <w:bottom w:val="none" w:sz="0" w:space="0" w:color="auto"/>
        <w:right w:val="none" w:sz="0" w:space="0" w:color="auto"/>
      </w:divBdr>
    </w:div>
    <w:div w:id="968052340">
      <w:bodyDiv w:val="1"/>
      <w:marLeft w:val="0"/>
      <w:marRight w:val="0"/>
      <w:marTop w:val="0"/>
      <w:marBottom w:val="0"/>
      <w:divBdr>
        <w:top w:val="none" w:sz="0" w:space="0" w:color="auto"/>
        <w:left w:val="none" w:sz="0" w:space="0" w:color="auto"/>
        <w:bottom w:val="none" w:sz="0" w:space="0" w:color="auto"/>
        <w:right w:val="none" w:sz="0" w:space="0" w:color="auto"/>
      </w:divBdr>
    </w:div>
    <w:div w:id="972101566">
      <w:bodyDiv w:val="1"/>
      <w:marLeft w:val="0"/>
      <w:marRight w:val="0"/>
      <w:marTop w:val="0"/>
      <w:marBottom w:val="0"/>
      <w:divBdr>
        <w:top w:val="none" w:sz="0" w:space="0" w:color="auto"/>
        <w:left w:val="none" w:sz="0" w:space="0" w:color="auto"/>
        <w:bottom w:val="none" w:sz="0" w:space="0" w:color="auto"/>
        <w:right w:val="none" w:sz="0" w:space="0" w:color="auto"/>
      </w:divBdr>
    </w:div>
    <w:div w:id="972489750">
      <w:bodyDiv w:val="1"/>
      <w:marLeft w:val="0"/>
      <w:marRight w:val="0"/>
      <w:marTop w:val="0"/>
      <w:marBottom w:val="0"/>
      <w:divBdr>
        <w:top w:val="none" w:sz="0" w:space="0" w:color="auto"/>
        <w:left w:val="none" w:sz="0" w:space="0" w:color="auto"/>
        <w:bottom w:val="none" w:sz="0" w:space="0" w:color="auto"/>
        <w:right w:val="none" w:sz="0" w:space="0" w:color="auto"/>
      </w:divBdr>
    </w:div>
    <w:div w:id="994187156">
      <w:bodyDiv w:val="1"/>
      <w:marLeft w:val="0"/>
      <w:marRight w:val="0"/>
      <w:marTop w:val="0"/>
      <w:marBottom w:val="0"/>
      <w:divBdr>
        <w:top w:val="none" w:sz="0" w:space="0" w:color="auto"/>
        <w:left w:val="none" w:sz="0" w:space="0" w:color="auto"/>
        <w:bottom w:val="none" w:sz="0" w:space="0" w:color="auto"/>
        <w:right w:val="none" w:sz="0" w:space="0" w:color="auto"/>
      </w:divBdr>
    </w:div>
    <w:div w:id="1001927578">
      <w:bodyDiv w:val="1"/>
      <w:marLeft w:val="0"/>
      <w:marRight w:val="0"/>
      <w:marTop w:val="0"/>
      <w:marBottom w:val="0"/>
      <w:divBdr>
        <w:top w:val="none" w:sz="0" w:space="0" w:color="auto"/>
        <w:left w:val="none" w:sz="0" w:space="0" w:color="auto"/>
        <w:bottom w:val="none" w:sz="0" w:space="0" w:color="auto"/>
        <w:right w:val="none" w:sz="0" w:space="0" w:color="auto"/>
      </w:divBdr>
    </w:div>
    <w:div w:id="1007289667">
      <w:bodyDiv w:val="1"/>
      <w:marLeft w:val="0"/>
      <w:marRight w:val="0"/>
      <w:marTop w:val="0"/>
      <w:marBottom w:val="0"/>
      <w:divBdr>
        <w:top w:val="none" w:sz="0" w:space="0" w:color="auto"/>
        <w:left w:val="none" w:sz="0" w:space="0" w:color="auto"/>
        <w:bottom w:val="none" w:sz="0" w:space="0" w:color="auto"/>
        <w:right w:val="none" w:sz="0" w:space="0" w:color="auto"/>
      </w:divBdr>
      <w:divsChild>
        <w:div w:id="1603999814">
          <w:marLeft w:val="0"/>
          <w:marRight w:val="0"/>
          <w:marTop w:val="100"/>
          <w:marBottom w:val="100"/>
          <w:divBdr>
            <w:top w:val="none" w:sz="0" w:space="0" w:color="auto"/>
            <w:left w:val="none" w:sz="0" w:space="0" w:color="auto"/>
            <w:bottom w:val="none" w:sz="0" w:space="0" w:color="auto"/>
            <w:right w:val="none" w:sz="0" w:space="0" w:color="auto"/>
          </w:divBdr>
          <w:divsChild>
            <w:div w:id="337201226">
              <w:marLeft w:val="0"/>
              <w:marRight w:val="0"/>
              <w:marTop w:val="0"/>
              <w:marBottom w:val="0"/>
              <w:divBdr>
                <w:top w:val="none" w:sz="0" w:space="0" w:color="auto"/>
                <w:left w:val="none" w:sz="0" w:space="0" w:color="auto"/>
                <w:bottom w:val="none" w:sz="0" w:space="0" w:color="auto"/>
                <w:right w:val="none" w:sz="0" w:space="0" w:color="auto"/>
              </w:divBdr>
              <w:divsChild>
                <w:div w:id="1217819730">
                  <w:marLeft w:val="0"/>
                  <w:marRight w:val="0"/>
                  <w:marTop w:val="0"/>
                  <w:marBottom w:val="0"/>
                  <w:divBdr>
                    <w:top w:val="single" w:sz="6" w:space="21" w:color="C4D4E4"/>
                    <w:left w:val="none" w:sz="0" w:space="0" w:color="auto"/>
                    <w:bottom w:val="none" w:sz="0" w:space="0" w:color="auto"/>
                    <w:right w:val="none" w:sz="0" w:space="0" w:color="auto"/>
                  </w:divBdr>
                  <w:divsChild>
                    <w:div w:id="2103336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601547">
      <w:bodyDiv w:val="1"/>
      <w:marLeft w:val="0"/>
      <w:marRight w:val="0"/>
      <w:marTop w:val="0"/>
      <w:marBottom w:val="0"/>
      <w:divBdr>
        <w:top w:val="none" w:sz="0" w:space="0" w:color="auto"/>
        <w:left w:val="none" w:sz="0" w:space="0" w:color="auto"/>
        <w:bottom w:val="none" w:sz="0" w:space="0" w:color="auto"/>
        <w:right w:val="none" w:sz="0" w:space="0" w:color="auto"/>
      </w:divBdr>
    </w:div>
    <w:div w:id="1014956462">
      <w:bodyDiv w:val="1"/>
      <w:marLeft w:val="0"/>
      <w:marRight w:val="0"/>
      <w:marTop w:val="0"/>
      <w:marBottom w:val="0"/>
      <w:divBdr>
        <w:top w:val="none" w:sz="0" w:space="0" w:color="auto"/>
        <w:left w:val="none" w:sz="0" w:space="0" w:color="auto"/>
        <w:bottom w:val="none" w:sz="0" w:space="0" w:color="auto"/>
        <w:right w:val="none" w:sz="0" w:space="0" w:color="auto"/>
      </w:divBdr>
    </w:div>
    <w:div w:id="1018435446">
      <w:bodyDiv w:val="1"/>
      <w:marLeft w:val="0"/>
      <w:marRight w:val="0"/>
      <w:marTop w:val="0"/>
      <w:marBottom w:val="0"/>
      <w:divBdr>
        <w:top w:val="none" w:sz="0" w:space="0" w:color="auto"/>
        <w:left w:val="none" w:sz="0" w:space="0" w:color="auto"/>
        <w:bottom w:val="none" w:sz="0" w:space="0" w:color="auto"/>
        <w:right w:val="none" w:sz="0" w:space="0" w:color="auto"/>
      </w:divBdr>
    </w:div>
    <w:div w:id="1021661242">
      <w:bodyDiv w:val="1"/>
      <w:marLeft w:val="0"/>
      <w:marRight w:val="0"/>
      <w:marTop w:val="0"/>
      <w:marBottom w:val="0"/>
      <w:divBdr>
        <w:top w:val="none" w:sz="0" w:space="0" w:color="auto"/>
        <w:left w:val="none" w:sz="0" w:space="0" w:color="auto"/>
        <w:bottom w:val="none" w:sz="0" w:space="0" w:color="auto"/>
        <w:right w:val="none" w:sz="0" w:space="0" w:color="auto"/>
      </w:divBdr>
    </w:div>
    <w:div w:id="1022785299">
      <w:bodyDiv w:val="1"/>
      <w:marLeft w:val="0"/>
      <w:marRight w:val="0"/>
      <w:marTop w:val="0"/>
      <w:marBottom w:val="0"/>
      <w:divBdr>
        <w:top w:val="none" w:sz="0" w:space="0" w:color="auto"/>
        <w:left w:val="none" w:sz="0" w:space="0" w:color="auto"/>
        <w:bottom w:val="none" w:sz="0" w:space="0" w:color="auto"/>
        <w:right w:val="none" w:sz="0" w:space="0" w:color="auto"/>
      </w:divBdr>
    </w:div>
    <w:div w:id="1039163204">
      <w:bodyDiv w:val="1"/>
      <w:marLeft w:val="0"/>
      <w:marRight w:val="0"/>
      <w:marTop w:val="0"/>
      <w:marBottom w:val="0"/>
      <w:divBdr>
        <w:top w:val="none" w:sz="0" w:space="0" w:color="auto"/>
        <w:left w:val="none" w:sz="0" w:space="0" w:color="auto"/>
        <w:bottom w:val="none" w:sz="0" w:space="0" w:color="auto"/>
        <w:right w:val="none" w:sz="0" w:space="0" w:color="auto"/>
      </w:divBdr>
    </w:div>
    <w:div w:id="1041318057">
      <w:bodyDiv w:val="1"/>
      <w:marLeft w:val="0"/>
      <w:marRight w:val="0"/>
      <w:marTop w:val="0"/>
      <w:marBottom w:val="0"/>
      <w:divBdr>
        <w:top w:val="none" w:sz="0" w:space="0" w:color="auto"/>
        <w:left w:val="none" w:sz="0" w:space="0" w:color="auto"/>
        <w:bottom w:val="none" w:sz="0" w:space="0" w:color="auto"/>
        <w:right w:val="none" w:sz="0" w:space="0" w:color="auto"/>
      </w:divBdr>
    </w:div>
    <w:div w:id="1042174411">
      <w:bodyDiv w:val="1"/>
      <w:marLeft w:val="0"/>
      <w:marRight w:val="0"/>
      <w:marTop w:val="0"/>
      <w:marBottom w:val="0"/>
      <w:divBdr>
        <w:top w:val="none" w:sz="0" w:space="0" w:color="auto"/>
        <w:left w:val="none" w:sz="0" w:space="0" w:color="auto"/>
        <w:bottom w:val="none" w:sz="0" w:space="0" w:color="auto"/>
        <w:right w:val="none" w:sz="0" w:space="0" w:color="auto"/>
      </w:divBdr>
    </w:div>
    <w:div w:id="1046100651">
      <w:bodyDiv w:val="1"/>
      <w:marLeft w:val="0"/>
      <w:marRight w:val="0"/>
      <w:marTop w:val="0"/>
      <w:marBottom w:val="0"/>
      <w:divBdr>
        <w:top w:val="none" w:sz="0" w:space="0" w:color="auto"/>
        <w:left w:val="none" w:sz="0" w:space="0" w:color="auto"/>
        <w:bottom w:val="none" w:sz="0" w:space="0" w:color="auto"/>
        <w:right w:val="none" w:sz="0" w:space="0" w:color="auto"/>
      </w:divBdr>
    </w:div>
    <w:div w:id="1050617266">
      <w:bodyDiv w:val="1"/>
      <w:marLeft w:val="0"/>
      <w:marRight w:val="0"/>
      <w:marTop w:val="0"/>
      <w:marBottom w:val="0"/>
      <w:divBdr>
        <w:top w:val="none" w:sz="0" w:space="0" w:color="auto"/>
        <w:left w:val="none" w:sz="0" w:space="0" w:color="auto"/>
        <w:bottom w:val="none" w:sz="0" w:space="0" w:color="auto"/>
        <w:right w:val="none" w:sz="0" w:space="0" w:color="auto"/>
      </w:divBdr>
    </w:div>
    <w:div w:id="1057240732">
      <w:bodyDiv w:val="1"/>
      <w:marLeft w:val="0"/>
      <w:marRight w:val="0"/>
      <w:marTop w:val="0"/>
      <w:marBottom w:val="0"/>
      <w:divBdr>
        <w:top w:val="none" w:sz="0" w:space="0" w:color="auto"/>
        <w:left w:val="none" w:sz="0" w:space="0" w:color="auto"/>
        <w:bottom w:val="none" w:sz="0" w:space="0" w:color="auto"/>
        <w:right w:val="none" w:sz="0" w:space="0" w:color="auto"/>
      </w:divBdr>
    </w:div>
    <w:div w:id="1067336285">
      <w:bodyDiv w:val="1"/>
      <w:marLeft w:val="0"/>
      <w:marRight w:val="0"/>
      <w:marTop w:val="0"/>
      <w:marBottom w:val="0"/>
      <w:divBdr>
        <w:top w:val="none" w:sz="0" w:space="0" w:color="auto"/>
        <w:left w:val="none" w:sz="0" w:space="0" w:color="auto"/>
        <w:bottom w:val="none" w:sz="0" w:space="0" w:color="auto"/>
        <w:right w:val="none" w:sz="0" w:space="0" w:color="auto"/>
      </w:divBdr>
    </w:div>
    <w:div w:id="1072966180">
      <w:bodyDiv w:val="1"/>
      <w:marLeft w:val="0"/>
      <w:marRight w:val="0"/>
      <w:marTop w:val="0"/>
      <w:marBottom w:val="0"/>
      <w:divBdr>
        <w:top w:val="none" w:sz="0" w:space="0" w:color="auto"/>
        <w:left w:val="none" w:sz="0" w:space="0" w:color="auto"/>
        <w:bottom w:val="none" w:sz="0" w:space="0" w:color="auto"/>
        <w:right w:val="none" w:sz="0" w:space="0" w:color="auto"/>
      </w:divBdr>
    </w:div>
    <w:div w:id="1073241942">
      <w:bodyDiv w:val="1"/>
      <w:marLeft w:val="0"/>
      <w:marRight w:val="0"/>
      <w:marTop w:val="0"/>
      <w:marBottom w:val="0"/>
      <w:divBdr>
        <w:top w:val="none" w:sz="0" w:space="0" w:color="auto"/>
        <w:left w:val="none" w:sz="0" w:space="0" w:color="auto"/>
        <w:bottom w:val="none" w:sz="0" w:space="0" w:color="auto"/>
        <w:right w:val="none" w:sz="0" w:space="0" w:color="auto"/>
      </w:divBdr>
    </w:div>
    <w:div w:id="1085152788">
      <w:bodyDiv w:val="1"/>
      <w:marLeft w:val="0"/>
      <w:marRight w:val="0"/>
      <w:marTop w:val="0"/>
      <w:marBottom w:val="0"/>
      <w:divBdr>
        <w:top w:val="none" w:sz="0" w:space="0" w:color="auto"/>
        <w:left w:val="none" w:sz="0" w:space="0" w:color="auto"/>
        <w:bottom w:val="none" w:sz="0" w:space="0" w:color="auto"/>
        <w:right w:val="none" w:sz="0" w:space="0" w:color="auto"/>
      </w:divBdr>
    </w:div>
    <w:div w:id="1086926534">
      <w:bodyDiv w:val="1"/>
      <w:marLeft w:val="0"/>
      <w:marRight w:val="0"/>
      <w:marTop w:val="0"/>
      <w:marBottom w:val="0"/>
      <w:divBdr>
        <w:top w:val="none" w:sz="0" w:space="0" w:color="auto"/>
        <w:left w:val="none" w:sz="0" w:space="0" w:color="auto"/>
        <w:bottom w:val="none" w:sz="0" w:space="0" w:color="auto"/>
        <w:right w:val="none" w:sz="0" w:space="0" w:color="auto"/>
      </w:divBdr>
    </w:div>
    <w:div w:id="1100226339">
      <w:bodyDiv w:val="1"/>
      <w:marLeft w:val="0"/>
      <w:marRight w:val="0"/>
      <w:marTop w:val="0"/>
      <w:marBottom w:val="0"/>
      <w:divBdr>
        <w:top w:val="none" w:sz="0" w:space="0" w:color="auto"/>
        <w:left w:val="none" w:sz="0" w:space="0" w:color="auto"/>
        <w:bottom w:val="none" w:sz="0" w:space="0" w:color="auto"/>
        <w:right w:val="none" w:sz="0" w:space="0" w:color="auto"/>
      </w:divBdr>
    </w:div>
    <w:div w:id="1100831289">
      <w:bodyDiv w:val="1"/>
      <w:marLeft w:val="0"/>
      <w:marRight w:val="0"/>
      <w:marTop w:val="0"/>
      <w:marBottom w:val="0"/>
      <w:divBdr>
        <w:top w:val="none" w:sz="0" w:space="0" w:color="auto"/>
        <w:left w:val="none" w:sz="0" w:space="0" w:color="auto"/>
        <w:bottom w:val="none" w:sz="0" w:space="0" w:color="auto"/>
        <w:right w:val="none" w:sz="0" w:space="0" w:color="auto"/>
      </w:divBdr>
    </w:div>
    <w:div w:id="1110248468">
      <w:bodyDiv w:val="1"/>
      <w:marLeft w:val="0"/>
      <w:marRight w:val="0"/>
      <w:marTop w:val="0"/>
      <w:marBottom w:val="0"/>
      <w:divBdr>
        <w:top w:val="none" w:sz="0" w:space="0" w:color="auto"/>
        <w:left w:val="none" w:sz="0" w:space="0" w:color="auto"/>
        <w:bottom w:val="none" w:sz="0" w:space="0" w:color="auto"/>
        <w:right w:val="none" w:sz="0" w:space="0" w:color="auto"/>
      </w:divBdr>
    </w:div>
    <w:div w:id="1111633220">
      <w:bodyDiv w:val="1"/>
      <w:marLeft w:val="0"/>
      <w:marRight w:val="0"/>
      <w:marTop w:val="0"/>
      <w:marBottom w:val="0"/>
      <w:divBdr>
        <w:top w:val="none" w:sz="0" w:space="0" w:color="auto"/>
        <w:left w:val="none" w:sz="0" w:space="0" w:color="auto"/>
        <w:bottom w:val="none" w:sz="0" w:space="0" w:color="auto"/>
        <w:right w:val="none" w:sz="0" w:space="0" w:color="auto"/>
      </w:divBdr>
    </w:div>
    <w:div w:id="1112944352">
      <w:bodyDiv w:val="1"/>
      <w:marLeft w:val="0"/>
      <w:marRight w:val="0"/>
      <w:marTop w:val="0"/>
      <w:marBottom w:val="0"/>
      <w:divBdr>
        <w:top w:val="none" w:sz="0" w:space="0" w:color="auto"/>
        <w:left w:val="none" w:sz="0" w:space="0" w:color="auto"/>
        <w:bottom w:val="none" w:sz="0" w:space="0" w:color="auto"/>
        <w:right w:val="none" w:sz="0" w:space="0" w:color="auto"/>
      </w:divBdr>
    </w:div>
    <w:div w:id="1122263601">
      <w:bodyDiv w:val="1"/>
      <w:marLeft w:val="0"/>
      <w:marRight w:val="0"/>
      <w:marTop w:val="0"/>
      <w:marBottom w:val="0"/>
      <w:divBdr>
        <w:top w:val="none" w:sz="0" w:space="0" w:color="auto"/>
        <w:left w:val="none" w:sz="0" w:space="0" w:color="auto"/>
        <w:bottom w:val="none" w:sz="0" w:space="0" w:color="auto"/>
        <w:right w:val="none" w:sz="0" w:space="0" w:color="auto"/>
      </w:divBdr>
    </w:div>
    <w:div w:id="1126195252">
      <w:bodyDiv w:val="1"/>
      <w:marLeft w:val="0"/>
      <w:marRight w:val="0"/>
      <w:marTop w:val="0"/>
      <w:marBottom w:val="0"/>
      <w:divBdr>
        <w:top w:val="none" w:sz="0" w:space="0" w:color="auto"/>
        <w:left w:val="none" w:sz="0" w:space="0" w:color="auto"/>
        <w:bottom w:val="none" w:sz="0" w:space="0" w:color="auto"/>
        <w:right w:val="none" w:sz="0" w:space="0" w:color="auto"/>
      </w:divBdr>
    </w:div>
    <w:div w:id="1129513380">
      <w:bodyDiv w:val="1"/>
      <w:marLeft w:val="0"/>
      <w:marRight w:val="0"/>
      <w:marTop w:val="0"/>
      <w:marBottom w:val="0"/>
      <w:divBdr>
        <w:top w:val="none" w:sz="0" w:space="0" w:color="auto"/>
        <w:left w:val="none" w:sz="0" w:space="0" w:color="auto"/>
        <w:bottom w:val="none" w:sz="0" w:space="0" w:color="auto"/>
        <w:right w:val="none" w:sz="0" w:space="0" w:color="auto"/>
      </w:divBdr>
    </w:div>
    <w:div w:id="1133601409">
      <w:bodyDiv w:val="1"/>
      <w:marLeft w:val="0"/>
      <w:marRight w:val="0"/>
      <w:marTop w:val="0"/>
      <w:marBottom w:val="0"/>
      <w:divBdr>
        <w:top w:val="none" w:sz="0" w:space="0" w:color="auto"/>
        <w:left w:val="none" w:sz="0" w:space="0" w:color="auto"/>
        <w:bottom w:val="none" w:sz="0" w:space="0" w:color="auto"/>
        <w:right w:val="none" w:sz="0" w:space="0" w:color="auto"/>
      </w:divBdr>
    </w:div>
    <w:div w:id="1140607534">
      <w:bodyDiv w:val="1"/>
      <w:marLeft w:val="0"/>
      <w:marRight w:val="0"/>
      <w:marTop w:val="0"/>
      <w:marBottom w:val="0"/>
      <w:divBdr>
        <w:top w:val="none" w:sz="0" w:space="0" w:color="auto"/>
        <w:left w:val="none" w:sz="0" w:space="0" w:color="auto"/>
        <w:bottom w:val="none" w:sz="0" w:space="0" w:color="auto"/>
        <w:right w:val="none" w:sz="0" w:space="0" w:color="auto"/>
      </w:divBdr>
    </w:div>
    <w:div w:id="1142191327">
      <w:bodyDiv w:val="1"/>
      <w:marLeft w:val="0"/>
      <w:marRight w:val="0"/>
      <w:marTop w:val="0"/>
      <w:marBottom w:val="0"/>
      <w:divBdr>
        <w:top w:val="none" w:sz="0" w:space="0" w:color="auto"/>
        <w:left w:val="none" w:sz="0" w:space="0" w:color="auto"/>
        <w:bottom w:val="none" w:sz="0" w:space="0" w:color="auto"/>
        <w:right w:val="none" w:sz="0" w:space="0" w:color="auto"/>
      </w:divBdr>
    </w:div>
    <w:div w:id="1171487710">
      <w:bodyDiv w:val="1"/>
      <w:marLeft w:val="0"/>
      <w:marRight w:val="0"/>
      <w:marTop w:val="0"/>
      <w:marBottom w:val="0"/>
      <w:divBdr>
        <w:top w:val="none" w:sz="0" w:space="0" w:color="auto"/>
        <w:left w:val="none" w:sz="0" w:space="0" w:color="auto"/>
        <w:bottom w:val="none" w:sz="0" w:space="0" w:color="auto"/>
        <w:right w:val="none" w:sz="0" w:space="0" w:color="auto"/>
      </w:divBdr>
    </w:div>
    <w:div w:id="1176307578">
      <w:bodyDiv w:val="1"/>
      <w:marLeft w:val="0"/>
      <w:marRight w:val="0"/>
      <w:marTop w:val="0"/>
      <w:marBottom w:val="0"/>
      <w:divBdr>
        <w:top w:val="none" w:sz="0" w:space="0" w:color="auto"/>
        <w:left w:val="none" w:sz="0" w:space="0" w:color="auto"/>
        <w:bottom w:val="none" w:sz="0" w:space="0" w:color="auto"/>
        <w:right w:val="none" w:sz="0" w:space="0" w:color="auto"/>
      </w:divBdr>
    </w:div>
    <w:div w:id="1184784641">
      <w:bodyDiv w:val="1"/>
      <w:marLeft w:val="0"/>
      <w:marRight w:val="0"/>
      <w:marTop w:val="0"/>
      <w:marBottom w:val="0"/>
      <w:divBdr>
        <w:top w:val="none" w:sz="0" w:space="0" w:color="auto"/>
        <w:left w:val="none" w:sz="0" w:space="0" w:color="auto"/>
        <w:bottom w:val="none" w:sz="0" w:space="0" w:color="auto"/>
        <w:right w:val="none" w:sz="0" w:space="0" w:color="auto"/>
      </w:divBdr>
    </w:div>
    <w:div w:id="1189830572">
      <w:bodyDiv w:val="1"/>
      <w:marLeft w:val="0"/>
      <w:marRight w:val="0"/>
      <w:marTop w:val="0"/>
      <w:marBottom w:val="0"/>
      <w:divBdr>
        <w:top w:val="none" w:sz="0" w:space="0" w:color="auto"/>
        <w:left w:val="none" w:sz="0" w:space="0" w:color="auto"/>
        <w:bottom w:val="none" w:sz="0" w:space="0" w:color="auto"/>
        <w:right w:val="none" w:sz="0" w:space="0" w:color="auto"/>
      </w:divBdr>
    </w:div>
    <w:div w:id="1191839027">
      <w:bodyDiv w:val="1"/>
      <w:marLeft w:val="0"/>
      <w:marRight w:val="0"/>
      <w:marTop w:val="0"/>
      <w:marBottom w:val="0"/>
      <w:divBdr>
        <w:top w:val="none" w:sz="0" w:space="0" w:color="auto"/>
        <w:left w:val="none" w:sz="0" w:space="0" w:color="auto"/>
        <w:bottom w:val="none" w:sz="0" w:space="0" w:color="auto"/>
        <w:right w:val="none" w:sz="0" w:space="0" w:color="auto"/>
      </w:divBdr>
    </w:div>
    <w:div w:id="1192647255">
      <w:bodyDiv w:val="1"/>
      <w:marLeft w:val="0"/>
      <w:marRight w:val="0"/>
      <w:marTop w:val="0"/>
      <w:marBottom w:val="0"/>
      <w:divBdr>
        <w:top w:val="none" w:sz="0" w:space="0" w:color="auto"/>
        <w:left w:val="none" w:sz="0" w:space="0" w:color="auto"/>
        <w:bottom w:val="none" w:sz="0" w:space="0" w:color="auto"/>
        <w:right w:val="none" w:sz="0" w:space="0" w:color="auto"/>
      </w:divBdr>
    </w:div>
    <w:div w:id="1195190474">
      <w:bodyDiv w:val="1"/>
      <w:marLeft w:val="0"/>
      <w:marRight w:val="0"/>
      <w:marTop w:val="0"/>
      <w:marBottom w:val="0"/>
      <w:divBdr>
        <w:top w:val="none" w:sz="0" w:space="0" w:color="auto"/>
        <w:left w:val="none" w:sz="0" w:space="0" w:color="auto"/>
        <w:bottom w:val="none" w:sz="0" w:space="0" w:color="auto"/>
        <w:right w:val="none" w:sz="0" w:space="0" w:color="auto"/>
      </w:divBdr>
    </w:div>
    <w:div w:id="1198156996">
      <w:bodyDiv w:val="1"/>
      <w:marLeft w:val="0"/>
      <w:marRight w:val="0"/>
      <w:marTop w:val="0"/>
      <w:marBottom w:val="0"/>
      <w:divBdr>
        <w:top w:val="none" w:sz="0" w:space="0" w:color="auto"/>
        <w:left w:val="none" w:sz="0" w:space="0" w:color="auto"/>
        <w:bottom w:val="none" w:sz="0" w:space="0" w:color="auto"/>
        <w:right w:val="none" w:sz="0" w:space="0" w:color="auto"/>
      </w:divBdr>
    </w:div>
    <w:div w:id="1200314731">
      <w:bodyDiv w:val="1"/>
      <w:marLeft w:val="0"/>
      <w:marRight w:val="0"/>
      <w:marTop w:val="0"/>
      <w:marBottom w:val="0"/>
      <w:divBdr>
        <w:top w:val="none" w:sz="0" w:space="0" w:color="auto"/>
        <w:left w:val="none" w:sz="0" w:space="0" w:color="auto"/>
        <w:bottom w:val="none" w:sz="0" w:space="0" w:color="auto"/>
        <w:right w:val="none" w:sz="0" w:space="0" w:color="auto"/>
      </w:divBdr>
    </w:div>
    <w:div w:id="1200701772">
      <w:bodyDiv w:val="1"/>
      <w:marLeft w:val="0"/>
      <w:marRight w:val="0"/>
      <w:marTop w:val="0"/>
      <w:marBottom w:val="0"/>
      <w:divBdr>
        <w:top w:val="none" w:sz="0" w:space="0" w:color="auto"/>
        <w:left w:val="none" w:sz="0" w:space="0" w:color="auto"/>
        <w:bottom w:val="none" w:sz="0" w:space="0" w:color="auto"/>
        <w:right w:val="none" w:sz="0" w:space="0" w:color="auto"/>
      </w:divBdr>
    </w:div>
    <w:div w:id="1220363612">
      <w:bodyDiv w:val="1"/>
      <w:marLeft w:val="0"/>
      <w:marRight w:val="0"/>
      <w:marTop w:val="0"/>
      <w:marBottom w:val="0"/>
      <w:divBdr>
        <w:top w:val="none" w:sz="0" w:space="0" w:color="auto"/>
        <w:left w:val="none" w:sz="0" w:space="0" w:color="auto"/>
        <w:bottom w:val="none" w:sz="0" w:space="0" w:color="auto"/>
        <w:right w:val="none" w:sz="0" w:space="0" w:color="auto"/>
      </w:divBdr>
    </w:div>
    <w:div w:id="1225989091">
      <w:bodyDiv w:val="1"/>
      <w:marLeft w:val="0"/>
      <w:marRight w:val="0"/>
      <w:marTop w:val="0"/>
      <w:marBottom w:val="0"/>
      <w:divBdr>
        <w:top w:val="none" w:sz="0" w:space="0" w:color="auto"/>
        <w:left w:val="none" w:sz="0" w:space="0" w:color="auto"/>
        <w:bottom w:val="none" w:sz="0" w:space="0" w:color="auto"/>
        <w:right w:val="none" w:sz="0" w:space="0" w:color="auto"/>
      </w:divBdr>
    </w:div>
    <w:div w:id="1232960629">
      <w:bodyDiv w:val="1"/>
      <w:marLeft w:val="0"/>
      <w:marRight w:val="0"/>
      <w:marTop w:val="0"/>
      <w:marBottom w:val="0"/>
      <w:divBdr>
        <w:top w:val="none" w:sz="0" w:space="0" w:color="auto"/>
        <w:left w:val="none" w:sz="0" w:space="0" w:color="auto"/>
        <w:bottom w:val="none" w:sz="0" w:space="0" w:color="auto"/>
        <w:right w:val="none" w:sz="0" w:space="0" w:color="auto"/>
      </w:divBdr>
    </w:div>
    <w:div w:id="1238587888">
      <w:bodyDiv w:val="1"/>
      <w:marLeft w:val="0"/>
      <w:marRight w:val="0"/>
      <w:marTop w:val="0"/>
      <w:marBottom w:val="0"/>
      <w:divBdr>
        <w:top w:val="none" w:sz="0" w:space="0" w:color="auto"/>
        <w:left w:val="none" w:sz="0" w:space="0" w:color="auto"/>
        <w:bottom w:val="none" w:sz="0" w:space="0" w:color="auto"/>
        <w:right w:val="none" w:sz="0" w:space="0" w:color="auto"/>
      </w:divBdr>
    </w:div>
    <w:div w:id="1247039058">
      <w:bodyDiv w:val="1"/>
      <w:marLeft w:val="0"/>
      <w:marRight w:val="0"/>
      <w:marTop w:val="0"/>
      <w:marBottom w:val="0"/>
      <w:divBdr>
        <w:top w:val="none" w:sz="0" w:space="0" w:color="auto"/>
        <w:left w:val="none" w:sz="0" w:space="0" w:color="auto"/>
        <w:bottom w:val="none" w:sz="0" w:space="0" w:color="auto"/>
        <w:right w:val="none" w:sz="0" w:space="0" w:color="auto"/>
      </w:divBdr>
    </w:div>
    <w:div w:id="1249197686">
      <w:bodyDiv w:val="1"/>
      <w:marLeft w:val="0"/>
      <w:marRight w:val="0"/>
      <w:marTop w:val="0"/>
      <w:marBottom w:val="0"/>
      <w:divBdr>
        <w:top w:val="none" w:sz="0" w:space="0" w:color="auto"/>
        <w:left w:val="none" w:sz="0" w:space="0" w:color="auto"/>
        <w:bottom w:val="none" w:sz="0" w:space="0" w:color="auto"/>
        <w:right w:val="none" w:sz="0" w:space="0" w:color="auto"/>
      </w:divBdr>
    </w:div>
    <w:div w:id="1251309405">
      <w:bodyDiv w:val="1"/>
      <w:marLeft w:val="0"/>
      <w:marRight w:val="0"/>
      <w:marTop w:val="0"/>
      <w:marBottom w:val="0"/>
      <w:divBdr>
        <w:top w:val="none" w:sz="0" w:space="0" w:color="auto"/>
        <w:left w:val="none" w:sz="0" w:space="0" w:color="auto"/>
        <w:bottom w:val="none" w:sz="0" w:space="0" w:color="auto"/>
        <w:right w:val="none" w:sz="0" w:space="0" w:color="auto"/>
      </w:divBdr>
    </w:div>
    <w:div w:id="1254587904">
      <w:bodyDiv w:val="1"/>
      <w:marLeft w:val="0"/>
      <w:marRight w:val="0"/>
      <w:marTop w:val="0"/>
      <w:marBottom w:val="0"/>
      <w:divBdr>
        <w:top w:val="none" w:sz="0" w:space="0" w:color="auto"/>
        <w:left w:val="none" w:sz="0" w:space="0" w:color="auto"/>
        <w:bottom w:val="none" w:sz="0" w:space="0" w:color="auto"/>
        <w:right w:val="none" w:sz="0" w:space="0" w:color="auto"/>
      </w:divBdr>
    </w:div>
    <w:div w:id="1255823837">
      <w:bodyDiv w:val="1"/>
      <w:marLeft w:val="0"/>
      <w:marRight w:val="0"/>
      <w:marTop w:val="0"/>
      <w:marBottom w:val="0"/>
      <w:divBdr>
        <w:top w:val="none" w:sz="0" w:space="0" w:color="auto"/>
        <w:left w:val="none" w:sz="0" w:space="0" w:color="auto"/>
        <w:bottom w:val="none" w:sz="0" w:space="0" w:color="auto"/>
        <w:right w:val="none" w:sz="0" w:space="0" w:color="auto"/>
      </w:divBdr>
    </w:div>
    <w:div w:id="1256086176">
      <w:bodyDiv w:val="1"/>
      <w:marLeft w:val="0"/>
      <w:marRight w:val="0"/>
      <w:marTop w:val="0"/>
      <w:marBottom w:val="0"/>
      <w:divBdr>
        <w:top w:val="none" w:sz="0" w:space="0" w:color="auto"/>
        <w:left w:val="none" w:sz="0" w:space="0" w:color="auto"/>
        <w:bottom w:val="none" w:sz="0" w:space="0" w:color="auto"/>
        <w:right w:val="none" w:sz="0" w:space="0" w:color="auto"/>
      </w:divBdr>
    </w:div>
    <w:div w:id="1258711913">
      <w:bodyDiv w:val="1"/>
      <w:marLeft w:val="0"/>
      <w:marRight w:val="0"/>
      <w:marTop w:val="0"/>
      <w:marBottom w:val="0"/>
      <w:divBdr>
        <w:top w:val="none" w:sz="0" w:space="0" w:color="auto"/>
        <w:left w:val="none" w:sz="0" w:space="0" w:color="auto"/>
        <w:bottom w:val="none" w:sz="0" w:space="0" w:color="auto"/>
        <w:right w:val="none" w:sz="0" w:space="0" w:color="auto"/>
      </w:divBdr>
    </w:div>
    <w:div w:id="1264337536">
      <w:bodyDiv w:val="1"/>
      <w:marLeft w:val="0"/>
      <w:marRight w:val="0"/>
      <w:marTop w:val="0"/>
      <w:marBottom w:val="0"/>
      <w:divBdr>
        <w:top w:val="none" w:sz="0" w:space="0" w:color="auto"/>
        <w:left w:val="none" w:sz="0" w:space="0" w:color="auto"/>
        <w:bottom w:val="none" w:sz="0" w:space="0" w:color="auto"/>
        <w:right w:val="none" w:sz="0" w:space="0" w:color="auto"/>
      </w:divBdr>
    </w:div>
    <w:div w:id="1282224095">
      <w:bodyDiv w:val="1"/>
      <w:marLeft w:val="0"/>
      <w:marRight w:val="0"/>
      <w:marTop w:val="0"/>
      <w:marBottom w:val="0"/>
      <w:divBdr>
        <w:top w:val="none" w:sz="0" w:space="0" w:color="auto"/>
        <w:left w:val="none" w:sz="0" w:space="0" w:color="auto"/>
        <w:bottom w:val="none" w:sz="0" w:space="0" w:color="auto"/>
        <w:right w:val="none" w:sz="0" w:space="0" w:color="auto"/>
      </w:divBdr>
    </w:div>
    <w:div w:id="1289118493">
      <w:bodyDiv w:val="1"/>
      <w:marLeft w:val="0"/>
      <w:marRight w:val="0"/>
      <w:marTop w:val="0"/>
      <w:marBottom w:val="0"/>
      <w:divBdr>
        <w:top w:val="none" w:sz="0" w:space="0" w:color="auto"/>
        <w:left w:val="none" w:sz="0" w:space="0" w:color="auto"/>
        <w:bottom w:val="none" w:sz="0" w:space="0" w:color="auto"/>
        <w:right w:val="none" w:sz="0" w:space="0" w:color="auto"/>
      </w:divBdr>
    </w:div>
    <w:div w:id="1294747163">
      <w:bodyDiv w:val="1"/>
      <w:marLeft w:val="0"/>
      <w:marRight w:val="0"/>
      <w:marTop w:val="0"/>
      <w:marBottom w:val="0"/>
      <w:divBdr>
        <w:top w:val="none" w:sz="0" w:space="0" w:color="auto"/>
        <w:left w:val="none" w:sz="0" w:space="0" w:color="auto"/>
        <w:bottom w:val="none" w:sz="0" w:space="0" w:color="auto"/>
        <w:right w:val="none" w:sz="0" w:space="0" w:color="auto"/>
      </w:divBdr>
    </w:div>
    <w:div w:id="1298610120">
      <w:bodyDiv w:val="1"/>
      <w:marLeft w:val="0"/>
      <w:marRight w:val="0"/>
      <w:marTop w:val="0"/>
      <w:marBottom w:val="0"/>
      <w:divBdr>
        <w:top w:val="none" w:sz="0" w:space="0" w:color="auto"/>
        <w:left w:val="none" w:sz="0" w:space="0" w:color="auto"/>
        <w:bottom w:val="none" w:sz="0" w:space="0" w:color="auto"/>
        <w:right w:val="none" w:sz="0" w:space="0" w:color="auto"/>
      </w:divBdr>
    </w:div>
    <w:div w:id="1304308595">
      <w:bodyDiv w:val="1"/>
      <w:marLeft w:val="0"/>
      <w:marRight w:val="0"/>
      <w:marTop w:val="0"/>
      <w:marBottom w:val="0"/>
      <w:divBdr>
        <w:top w:val="none" w:sz="0" w:space="0" w:color="auto"/>
        <w:left w:val="none" w:sz="0" w:space="0" w:color="auto"/>
        <w:bottom w:val="none" w:sz="0" w:space="0" w:color="auto"/>
        <w:right w:val="none" w:sz="0" w:space="0" w:color="auto"/>
      </w:divBdr>
    </w:div>
    <w:div w:id="1317494661">
      <w:bodyDiv w:val="1"/>
      <w:marLeft w:val="0"/>
      <w:marRight w:val="0"/>
      <w:marTop w:val="0"/>
      <w:marBottom w:val="0"/>
      <w:divBdr>
        <w:top w:val="none" w:sz="0" w:space="0" w:color="auto"/>
        <w:left w:val="none" w:sz="0" w:space="0" w:color="auto"/>
        <w:bottom w:val="none" w:sz="0" w:space="0" w:color="auto"/>
        <w:right w:val="none" w:sz="0" w:space="0" w:color="auto"/>
      </w:divBdr>
    </w:div>
    <w:div w:id="1320616553">
      <w:bodyDiv w:val="1"/>
      <w:marLeft w:val="0"/>
      <w:marRight w:val="0"/>
      <w:marTop w:val="0"/>
      <w:marBottom w:val="0"/>
      <w:divBdr>
        <w:top w:val="none" w:sz="0" w:space="0" w:color="auto"/>
        <w:left w:val="none" w:sz="0" w:space="0" w:color="auto"/>
        <w:bottom w:val="none" w:sz="0" w:space="0" w:color="auto"/>
        <w:right w:val="none" w:sz="0" w:space="0" w:color="auto"/>
      </w:divBdr>
    </w:div>
    <w:div w:id="1322810661">
      <w:bodyDiv w:val="1"/>
      <w:marLeft w:val="0"/>
      <w:marRight w:val="0"/>
      <w:marTop w:val="0"/>
      <w:marBottom w:val="0"/>
      <w:divBdr>
        <w:top w:val="none" w:sz="0" w:space="0" w:color="auto"/>
        <w:left w:val="none" w:sz="0" w:space="0" w:color="auto"/>
        <w:bottom w:val="none" w:sz="0" w:space="0" w:color="auto"/>
        <w:right w:val="none" w:sz="0" w:space="0" w:color="auto"/>
      </w:divBdr>
    </w:div>
    <w:div w:id="1324820982">
      <w:bodyDiv w:val="1"/>
      <w:marLeft w:val="0"/>
      <w:marRight w:val="0"/>
      <w:marTop w:val="0"/>
      <w:marBottom w:val="0"/>
      <w:divBdr>
        <w:top w:val="none" w:sz="0" w:space="0" w:color="auto"/>
        <w:left w:val="none" w:sz="0" w:space="0" w:color="auto"/>
        <w:bottom w:val="none" w:sz="0" w:space="0" w:color="auto"/>
        <w:right w:val="none" w:sz="0" w:space="0" w:color="auto"/>
      </w:divBdr>
    </w:div>
    <w:div w:id="1326936522">
      <w:bodyDiv w:val="1"/>
      <w:marLeft w:val="0"/>
      <w:marRight w:val="0"/>
      <w:marTop w:val="0"/>
      <w:marBottom w:val="0"/>
      <w:divBdr>
        <w:top w:val="none" w:sz="0" w:space="0" w:color="auto"/>
        <w:left w:val="none" w:sz="0" w:space="0" w:color="auto"/>
        <w:bottom w:val="none" w:sz="0" w:space="0" w:color="auto"/>
        <w:right w:val="none" w:sz="0" w:space="0" w:color="auto"/>
      </w:divBdr>
    </w:div>
    <w:div w:id="1330525055">
      <w:bodyDiv w:val="1"/>
      <w:marLeft w:val="0"/>
      <w:marRight w:val="0"/>
      <w:marTop w:val="0"/>
      <w:marBottom w:val="0"/>
      <w:divBdr>
        <w:top w:val="none" w:sz="0" w:space="0" w:color="auto"/>
        <w:left w:val="none" w:sz="0" w:space="0" w:color="auto"/>
        <w:bottom w:val="none" w:sz="0" w:space="0" w:color="auto"/>
        <w:right w:val="none" w:sz="0" w:space="0" w:color="auto"/>
      </w:divBdr>
    </w:div>
    <w:div w:id="1350913330">
      <w:bodyDiv w:val="1"/>
      <w:marLeft w:val="0"/>
      <w:marRight w:val="0"/>
      <w:marTop w:val="0"/>
      <w:marBottom w:val="0"/>
      <w:divBdr>
        <w:top w:val="none" w:sz="0" w:space="0" w:color="auto"/>
        <w:left w:val="none" w:sz="0" w:space="0" w:color="auto"/>
        <w:bottom w:val="none" w:sz="0" w:space="0" w:color="auto"/>
        <w:right w:val="none" w:sz="0" w:space="0" w:color="auto"/>
      </w:divBdr>
    </w:div>
    <w:div w:id="1350984508">
      <w:bodyDiv w:val="1"/>
      <w:marLeft w:val="0"/>
      <w:marRight w:val="0"/>
      <w:marTop w:val="0"/>
      <w:marBottom w:val="0"/>
      <w:divBdr>
        <w:top w:val="none" w:sz="0" w:space="0" w:color="auto"/>
        <w:left w:val="none" w:sz="0" w:space="0" w:color="auto"/>
        <w:bottom w:val="none" w:sz="0" w:space="0" w:color="auto"/>
        <w:right w:val="none" w:sz="0" w:space="0" w:color="auto"/>
      </w:divBdr>
    </w:div>
    <w:div w:id="1360549082">
      <w:bodyDiv w:val="1"/>
      <w:marLeft w:val="0"/>
      <w:marRight w:val="0"/>
      <w:marTop w:val="0"/>
      <w:marBottom w:val="0"/>
      <w:divBdr>
        <w:top w:val="none" w:sz="0" w:space="0" w:color="auto"/>
        <w:left w:val="none" w:sz="0" w:space="0" w:color="auto"/>
        <w:bottom w:val="none" w:sz="0" w:space="0" w:color="auto"/>
        <w:right w:val="none" w:sz="0" w:space="0" w:color="auto"/>
      </w:divBdr>
    </w:div>
    <w:div w:id="1368064841">
      <w:bodyDiv w:val="1"/>
      <w:marLeft w:val="0"/>
      <w:marRight w:val="0"/>
      <w:marTop w:val="0"/>
      <w:marBottom w:val="0"/>
      <w:divBdr>
        <w:top w:val="none" w:sz="0" w:space="0" w:color="auto"/>
        <w:left w:val="none" w:sz="0" w:space="0" w:color="auto"/>
        <w:bottom w:val="none" w:sz="0" w:space="0" w:color="auto"/>
        <w:right w:val="none" w:sz="0" w:space="0" w:color="auto"/>
      </w:divBdr>
    </w:div>
    <w:div w:id="1383213674">
      <w:bodyDiv w:val="1"/>
      <w:marLeft w:val="0"/>
      <w:marRight w:val="0"/>
      <w:marTop w:val="0"/>
      <w:marBottom w:val="0"/>
      <w:divBdr>
        <w:top w:val="none" w:sz="0" w:space="0" w:color="auto"/>
        <w:left w:val="none" w:sz="0" w:space="0" w:color="auto"/>
        <w:bottom w:val="none" w:sz="0" w:space="0" w:color="auto"/>
        <w:right w:val="none" w:sz="0" w:space="0" w:color="auto"/>
      </w:divBdr>
    </w:div>
    <w:div w:id="1390496546">
      <w:bodyDiv w:val="1"/>
      <w:marLeft w:val="0"/>
      <w:marRight w:val="0"/>
      <w:marTop w:val="0"/>
      <w:marBottom w:val="0"/>
      <w:divBdr>
        <w:top w:val="none" w:sz="0" w:space="0" w:color="auto"/>
        <w:left w:val="none" w:sz="0" w:space="0" w:color="auto"/>
        <w:bottom w:val="none" w:sz="0" w:space="0" w:color="auto"/>
        <w:right w:val="none" w:sz="0" w:space="0" w:color="auto"/>
      </w:divBdr>
    </w:div>
    <w:div w:id="1396665271">
      <w:bodyDiv w:val="1"/>
      <w:marLeft w:val="0"/>
      <w:marRight w:val="0"/>
      <w:marTop w:val="0"/>
      <w:marBottom w:val="0"/>
      <w:divBdr>
        <w:top w:val="none" w:sz="0" w:space="0" w:color="auto"/>
        <w:left w:val="none" w:sz="0" w:space="0" w:color="auto"/>
        <w:bottom w:val="none" w:sz="0" w:space="0" w:color="auto"/>
        <w:right w:val="none" w:sz="0" w:space="0" w:color="auto"/>
      </w:divBdr>
    </w:div>
    <w:div w:id="1407998787">
      <w:bodyDiv w:val="1"/>
      <w:marLeft w:val="0"/>
      <w:marRight w:val="0"/>
      <w:marTop w:val="0"/>
      <w:marBottom w:val="0"/>
      <w:divBdr>
        <w:top w:val="none" w:sz="0" w:space="0" w:color="auto"/>
        <w:left w:val="none" w:sz="0" w:space="0" w:color="auto"/>
        <w:bottom w:val="none" w:sz="0" w:space="0" w:color="auto"/>
        <w:right w:val="none" w:sz="0" w:space="0" w:color="auto"/>
      </w:divBdr>
    </w:div>
    <w:div w:id="1409230523">
      <w:bodyDiv w:val="1"/>
      <w:marLeft w:val="0"/>
      <w:marRight w:val="0"/>
      <w:marTop w:val="0"/>
      <w:marBottom w:val="0"/>
      <w:divBdr>
        <w:top w:val="none" w:sz="0" w:space="0" w:color="auto"/>
        <w:left w:val="none" w:sz="0" w:space="0" w:color="auto"/>
        <w:bottom w:val="none" w:sz="0" w:space="0" w:color="auto"/>
        <w:right w:val="none" w:sz="0" w:space="0" w:color="auto"/>
      </w:divBdr>
      <w:divsChild>
        <w:div w:id="724721486">
          <w:marLeft w:val="0"/>
          <w:marRight w:val="0"/>
          <w:marTop w:val="0"/>
          <w:marBottom w:val="0"/>
          <w:divBdr>
            <w:top w:val="none" w:sz="0" w:space="0" w:color="auto"/>
            <w:left w:val="none" w:sz="0" w:space="0" w:color="auto"/>
            <w:bottom w:val="none" w:sz="0" w:space="0" w:color="auto"/>
            <w:right w:val="none" w:sz="0" w:space="0" w:color="auto"/>
          </w:divBdr>
          <w:divsChild>
            <w:div w:id="94831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6127311">
      <w:bodyDiv w:val="1"/>
      <w:marLeft w:val="0"/>
      <w:marRight w:val="0"/>
      <w:marTop w:val="0"/>
      <w:marBottom w:val="0"/>
      <w:divBdr>
        <w:top w:val="none" w:sz="0" w:space="0" w:color="auto"/>
        <w:left w:val="none" w:sz="0" w:space="0" w:color="auto"/>
        <w:bottom w:val="none" w:sz="0" w:space="0" w:color="auto"/>
        <w:right w:val="none" w:sz="0" w:space="0" w:color="auto"/>
      </w:divBdr>
    </w:div>
    <w:div w:id="1443651120">
      <w:bodyDiv w:val="1"/>
      <w:marLeft w:val="0"/>
      <w:marRight w:val="0"/>
      <w:marTop w:val="0"/>
      <w:marBottom w:val="0"/>
      <w:divBdr>
        <w:top w:val="none" w:sz="0" w:space="0" w:color="auto"/>
        <w:left w:val="none" w:sz="0" w:space="0" w:color="auto"/>
        <w:bottom w:val="none" w:sz="0" w:space="0" w:color="auto"/>
        <w:right w:val="none" w:sz="0" w:space="0" w:color="auto"/>
      </w:divBdr>
    </w:div>
    <w:div w:id="1451781219">
      <w:bodyDiv w:val="1"/>
      <w:marLeft w:val="0"/>
      <w:marRight w:val="0"/>
      <w:marTop w:val="0"/>
      <w:marBottom w:val="0"/>
      <w:divBdr>
        <w:top w:val="none" w:sz="0" w:space="0" w:color="auto"/>
        <w:left w:val="none" w:sz="0" w:space="0" w:color="auto"/>
        <w:bottom w:val="none" w:sz="0" w:space="0" w:color="auto"/>
        <w:right w:val="none" w:sz="0" w:space="0" w:color="auto"/>
      </w:divBdr>
      <w:divsChild>
        <w:div w:id="1069615354">
          <w:marLeft w:val="0"/>
          <w:marRight w:val="0"/>
          <w:marTop w:val="0"/>
          <w:marBottom w:val="0"/>
          <w:divBdr>
            <w:top w:val="none" w:sz="0" w:space="0" w:color="auto"/>
            <w:left w:val="none" w:sz="0" w:space="0" w:color="auto"/>
            <w:bottom w:val="none" w:sz="0" w:space="0" w:color="auto"/>
            <w:right w:val="none" w:sz="0" w:space="0" w:color="auto"/>
          </w:divBdr>
          <w:divsChild>
            <w:div w:id="963537232">
              <w:marLeft w:val="0"/>
              <w:marRight w:val="0"/>
              <w:marTop w:val="0"/>
              <w:marBottom w:val="0"/>
              <w:divBdr>
                <w:top w:val="none" w:sz="0" w:space="0" w:color="auto"/>
                <w:left w:val="none" w:sz="0" w:space="0" w:color="auto"/>
                <w:bottom w:val="none" w:sz="0" w:space="0" w:color="auto"/>
                <w:right w:val="none" w:sz="0" w:space="0" w:color="auto"/>
              </w:divBdr>
            </w:div>
            <w:div w:id="1686126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845247">
      <w:bodyDiv w:val="1"/>
      <w:marLeft w:val="0"/>
      <w:marRight w:val="0"/>
      <w:marTop w:val="0"/>
      <w:marBottom w:val="0"/>
      <w:divBdr>
        <w:top w:val="none" w:sz="0" w:space="0" w:color="auto"/>
        <w:left w:val="none" w:sz="0" w:space="0" w:color="auto"/>
        <w:bottom w:val="none" w:sz="0" w:space="0" w:color="auto"/>
        <w:right w:val="none" w:sz="0" w:space="0" w:color="auto"/>
      </w:divBdr>
    </w:div>
    <w:div w:id="1480225488">
      <w:bodyDiv w:val="1"/>
      <w:marLeft w:val="0"/>
      <w:marRight w:val="0"/>
      <w:marTop w:val="0"/>
      <w:marBottom w:val="0"/>
      <w:divBdr>
        <w:top w:val="none" w:sz="0" w:space="0" w:color="auto"/>
        <w:left w:val="none" w:sz="0" w:space="0" w:color="auto"/>
        <w:bottom w:val="none" w:sz="0" w:space="0" w:color="auto"/>
        <w:right w:val="none" w:sz="0" w:space="0" w:color="auto"/>
      </w:divBdr>
    </w:div>
    <w:div w:id="1491210183">
      <w:bodyDiv w:val="1"/>
      <w:marLeft w:val="0"/>
      <w:marRight w:val="0"/>
      <w:marTop w:val="0"/>
      <w:marBottom w:val="0"/>
      <w:divBdr>
        <w:top w:val="none" w:sz="0" w:space="0" w:color="auto"/>
        <w:left w:val="none" w:sz="0" w:space="0" w:color="auto"/>
        <w:bottom w:val="none" w:sz="0" w:space="0" w:color="auto"/>
        <w:right w:val="none" w:sz="0" w:space="0" w:color="auto"/>
      </w:divBdr>
      <w:divsChild>
        <w:div w:id="777792254">
          <w:marLeft w:val="0"/>
          <w:marRight w:val="0"/>
          <w:marTop w:val="0"/>
          <w:marBottom w:val="0"/>
          <w:divBdr>
            <w:top w:val="none" w:sz="0" w:space="0" w:color="auto"/>
            <w:left w:val="none" w:sz="0" w:space="0" w:color="auto"/>
            <w:bottom w:val="none" w:sz="0" w:space="0" w:color="auto"/>
            <w:right w:val="none" w:sz="0" w:space="0" w:color="auto"/>
          </w:divBdr>
        </w:div>
      </w:divsChild>
    </w:div>
    <w:div w:id="1497108731">
      <w:bodyDiv w:val="1"/>
      <w:marLeft w:val="0"/>
      <w:marRight w:val="0"/>
      <w:marTop w:val="0"/>
      <w:marBottom w:val="0"/>
      <w:divBdr>
        <w:top w:val="none" w:sz="0" w:space="0" w:color="auto"/>
        <w:left w:val="none" w:sz="0" w:space="0" w:color="auto"/>
        <w:bottom w:val="none" w:sz="0" w:space="0" w:color="auto"/>
        <w:right w:val="none" w:sz="0" w:space="0" w:color="auto"/>
      </w:divBdr>
    </w:div>
    <w:div w:id="1500539148">
      <w:bodyDiv w:val="1"/>
      <w:marLeft w:val="0"/>
      <w:marRight w:val="0"/>
      <w:marTop w:val="0"/>
      <w:marBottom w:val="0"/>
      <w:divBdr>
        <w:top w:val="none" w:sz="0" w:space="0" w:color="auto"/>
        <w:left w:val="none" w:sz="0" w:space="0" w:color="auto"/>
        <w:bottom w:val="none" w:sz="0" w:space="0" w:color="auto"/>
        <w:right w:val="none" w:sz="0" w:space="0" w:color="auto"/>
      </w:divBdr>
    </w:div>
    <w:div w:id="1506628748">
      <w:bodyDiv w:val="1"/>
      <w:marLeft w:val="0"/>
      <w:marRight w:val="0"/>
      <w:marTop w:val="0"/>
      <w:marBottom w:val="0"/>
      <w:divBdr>
        <w:top w:val="none" w:sz="0" w:space="0" w:color="auto"/>
        <w:left w:val="none" w:sz="0" w:space="0" w:color="auto"/>
        <w:bottom w:val="none" w:sz="0" w:space="0" w:color="auto"/>
        <w:right w:val="none" w:sz="0" w:space="0" w:color="auto"/>
      </w:divBdr>
    </w:div>
    <w:div w:id="1510828626">
      <w:bodyDiv w:val="1"/>
      <w:marLeft w:val="0"/>
      <w:marRight w:val="0"/>
      <w:marTop w:val="0"/>
      <w:marBottom w:val="0"/>
      <w:divBdr>
        <w:top w:val="none" w:sz="0" w:space="0" w:color="auto"/>
        <w:left w:val="none" w:sz="0" w:space="0" w:color="auto"/>
        <w:bottom w:val="none" w:sz="0" w:space="0" w:color="auto"/>
        <w:right w:val="none" w:sz="0" w:space="0" w:color="auto"/>
      </w:divBdr>
      <w:divsChild>
        <w:div w:id="1164928316">
          <w:marLeft w:val="0"/>
          <w:marRight w:val="0"/>
          <w:marTop w:val="0"/>
          <w:marBottom w:val="0"/>
          <w:divBdr>
            <w:top w:val="none" w:sz="0" w:space="0" w:color="auto"/>
            <w:left w:val="none" w:sz="0" w:space="0" w:color="auto"/>
            <w:bottom w:val="none" w:sz="0" w:space="0" w:color="auto"/>
            <w:right w:val="none" w:sz="0" w:space="0" w:color="auto"/>
          </w:divBdr>
          <w:divsChild>
            <w:div w:id="500395938">
              <w:marLeft w:val="2669"/>
              <w:marRight w:val="198"/>
              <w:marTop w:val="0"/>
              <w:marBottom w:val="264"/>
              <w:divBdr>
                <w:top w:val="none" w:sz="0" w:space="0" w:color="auto"/>
                <w:left w:val="none" w:sz="0" w:space="0" w:color="auto"/>
                <w:bottom w:val="none" w:sz="0" w:space="0" w:color="auto"/>
                <w:right w:val="none" w:sz="0" w:space="0" w:color="auto"/>
              </w:divBdr>
              <w:divsChild>
                <w:div w:id="1728260290">
                  <w:marLeft w:val="0"/>
                  <w:marRight w:val="0"/>
                  <w:marTop w:val="0"/>
                  <w:marBottom w:val="0"/>
                  <w:divBdr>
                    <w:top w:val="none" w:sz="0" w:space="0" w:color="auto"/>
                    <w:left w:val="single" w:sz="4" w:space="0" w:color="000000"/>
                    <w:bottom w:val="single" w:sz="4" w:space="0" w:color="000000"/>
                    <w:right w:val="single" w:sz="4" w:space="0" w:color="000000"/>
                  </w:divBdr>
                  <w:divsChild>
                    <w:div w:id="1417168650">
                      <w:marLeft w:val="0"/>
                      <w:marRight w:val="0"/>
                      <w:marTop w:val="0"/>
                      <w:marBottom w:val="264"/>
                      <w:divBdr>
                        <w:top w:val="none" w:sz="0" w:space="0" w:color="auto"/>
                        <w:left w:val="none" w:sz="0" w:space="0" w:color="auto"/>
                        <w:bottom w:val="none" w:sz="0" w:space="0" w:color="auto"/>
                        <w:right w:val="none" w:sz="0" w:space="0" w:color="auto"/>
                      </w:divBdr>
                      <w:divsChild>
                        <w:div w:id="1629314574">
                          <w:marLeft w:val="0"/>
                          <w:marRight w:val="0"/>
                          <w:marTop w:val="0"/>
                          <w:marBottom w:val="0"/>
                          <w:divBdr>
                            <w:top w:val="none" w:sz="0" w:space="0" w:color="auto"/>
                            <w:left w:val="none" w:sz="0" w:space="0" w:color="auto"/>
                            <w:bottom w:val="none" w:sz="0" w:space="0" w:color="auto"/>
                            <w:right w:val="none" w:sz="0" w:space="0" w:color="auto"/>
                          </w:divBdr>
                          <w:divsChild>
                            <w:div w:id="340936775">
                              <w:marLeft w:val="0"/>
                              <w:marRight w:val="0"/>
                              <w:marTop w:val="0"/>
                              <w:marBottom w:val="0"/>
                              <w:divBdr>
                                <w:top w:val="none" w:sz="0" w:space="0" w:color="auto"/>
                                <w:left w:val="none" w:sz="0" w:space="0" w:color="auto"/>
                                <w:bottom w:val="none" w:sz="0" w:space="0" w:color="auto"/>
                                <w:right w:val="none" w:sz="0" w:space="0" w:color="auto"/>
                              </w:divBdr>
                              <w:divsChild>
                                <w:div w:id="2106143791">
                                  <w:marLeft w:val="0"/>
                                  <w:marRight w:val="0"/>
                                  <w:marTop w:val="0"/>
                                  <w:marBottom w:val="0"/>
                                  <w:divBdr>
                                    <w:top w:val="none" w:sz="0" w:space="0" w:color="auto"/>
                                    <w:left w:val="none" w:sz="0" w:space="0" w:color="auto"/>
                                    <w:bottom w:val="none" w:sz="0" w:space="0" w:color="auto"/>
                                    <w:right w:val="none" w:sz="0" w:space="0" w:color="auto"/>
                                  </w:divBdr>
                                  <w:divsChild>
                                    <w:div w:id="109009186">
                                      <w:marLeft w:val="0"/>
                                      <w:marRight w:val="0"/>
                                      <w:marTop w:val="132"/>
                                      <w:marBottom w:val="132"/>
                                      <w:divBdr>
                                        <w:top w:val="none" w:sz="0" w:space="0" w:color="auto"/>
                                        <w:left w:val="none" w:sz="0" w:space="0" w:color="auto"/>
                                        <w:bottom w:val="none" w:sz="0" w:space="0" w:color="auto"/>
                                        <w:right w:val="none" w:sz="0" w:space="0" w:color="auto"/>
                                      </w:divBdr>
                                      <w:divsChild>
                                        <w:div w:id="296422656">
                                          <w:marLeft w:val="264"/>
                                          <w:marRight w:val="0"/>
                                          <w:marTop w:val="66"/>
                                          <w:marBottom w:val="0"/>
                                          <w:divBdr>
                                            <w:top w:val="none" w:sz="0" w:space="0" w:color="auto"/>
                                            <w:left w:val="none" w:sz="0" w:space="0" w:color="auto"/>
                                            <w:bottom w:val="none" w:sz="0" w:space="0" w:color="auto"/>
                                            <w:right w:val="none" w:sz="0" w:space="0" w:color="auto"/>
                                          </w:divBdr>
                                          <w:divsChild>
                                            <w:div w:id="1972519858">
                                              <w:marLeft w:val="661"/>
                                              <w:marRight w:val="0"/>
                                              <w:marTop w:val="0"/>
                                              <w:marBottom w:val="0"/>
                                              <w:divBdr>
                                                <w:top w:val="none" w:sz="0" w:space="0" w:color="auto"/>
                                                <w:left w:val="none" w:sz="0" w:space="0" w:color="auto"/>
                                                <w:bottom w:val="none" w:sz="0" w:space="0" w:color="auto"/>
                                                <w:right w:val="none" w:sz="0" w:space="0" w:color="auto"/>
                                              </w:divBdr>
                                            </w:div>
                                          </w:divsChild>
                                        </w:div>
                                        <w:div w:id="2046633883">
                                          <w:marLeft w:val="264"/>
                                          <w:marRight w:val="0"/>
                                          <w:marTop w:val="66"/>
                                          <w:marBottom w:val="0"/>
                                          <w:divBdr>
                                            <w:top w:val="none" w:sz="0" w:space="0" w:color="auto"/>
                                            <w:left w:val="none" w:sz="0" w:space="0" w:color="auto"/>
                                            <w:bottom w:val="none" w:sz="0" w:space="0" w:color="auto"/>
                                            <w:right w:val="none" w:sz="0" w:space="0" w:color="auto"/>
                                          </w:divBdr>
                                          <w:divsChild>
                                            <w:div w:id="1268732316">
                                              <w:marLeft w:val="661"/>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07025">
      <w:bodyDiv w:val="1"/>
      <w:marLeft w:val="0"/>
      <w:marRight w:val="0"/>
      <w:marTop w:val="0"/>
      <w:marBottom w:val="0"/>
      <w:divBdr>
        <w:top w:val="none" w:sz="0" w:space="0" w:color="auto"/>
        <w:left w:val="none" w:sz="0" w:space="0" w:color="auto"/>
        <w:bottom w:val="none" w:sz="0" w:space="0" w:color="auto"/>
        <w:right w:val="none" w:sz="0" w:space="0" w:color="auto"/>
      </w:divBdr>
      <w:divsChild>
        <w:div w:id="104623491">
          <w:marLeft w:val="0"/>
          <w:marRight w:val="0"/>
          <w:marTop w:val="0"/>
          <w:marBottom w:val="0"/>
          <w:divBdr>
            <w:top w:val="single" w:sz="6" w:space="0" w:color="D7D7D7"/>
            <w:left w:val="single" w:sz="6" w:space="0" w:color="D7D7D7"/>
            <w:bottom w:val="single" w:sz="6" w:space="0" w:color="D7D7D7"/>
            <w:right w:val="single" w:sz="6" w:space="0" w:color="D7D7D7"/>
          </w:divBdr>
          <w:divsChild>
            <w:div w:id="36471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2113282">
      <w:bodyDiv w:val="1"/>
      <w:marLeft w:val="0"/>
      <w:marRight w:val="0"/>
      <w:marTop w:val="0"/>
      <w:marBottom w:val="0"/>
      <w:divBdr>
        <w:top w:val="none" w:sz="0" w:space="0" w:color="auto"/>
        <w:left w:val="none" w:sz="0" w:space="0" w:color="auto"/>
        <w:bottom w:val="none" w:sz="0" w:space="0" w:color="auto"/>
        <w:right w:val="none" w:sz="0" w:space="0" w:color="auto"/>
      </w:divBdr>
    </w:div>
    <w:div w:id="1556772141">
      <w:bodyDiv w:val="1"/>
      <w:marLeft w:val="0"/>
      <w:marRight w:val="0"/>
      <w:marTop w:val="0"/>
      <w:marBottom w:val="0"/>
      <w:divBdr>
        <w:top w:val="none" w:sz="0" w:space="0" w:color="auto"/>
        <w:left w:val="none" w:sz="0" w:space="0" w:color="auto"/>
        <w:bottom w:val="none" w:sz="0" w:space="0" w:color="auto"/>
        <w:right w:val="none" w:sz="0" w:space="0" w:color="auto"/>
      </w:divBdr>
    </w:div>
    <w:div w:id="1566573598">
      <w:bodyDiv w:val="1"/>
      <w:marLeft w:val="0"/>
      <w:marRight w:val="0"/>
      <w:marTop w:val="0"/>
      <w:marBottom w:val="0"/>
      <w:divBdr>
        <w:top w:val="none" w:sz="0" w:space="0" w:color="auto"/>
        <w:left w:val="none" w:sz="0" w:space="0" w:color="auto"/>
        <w:bottom w:val="none" w:sz="0" w:space="0" w:color="auto"/>
        <w:right w:val="none" w:sz="0" w:space="0" w:color="auto"/>
      </w:divBdr>
    </w:div>
    <w:div w:id="1570143135">
      <w:bodyDiv w:val="1"/>
      <w:marLeft w:val="0"/>
      <w:marRight w:val="0"/>
      <w:marTop w:val="0"/>
      <w:marBottom w:val="0"/>
      <w:divBdr>
        <w:top w:val="none" w:sz="0" w:space="0" w:color="auto"/>
        <w:left w:val="none" w:sz="0" w:space="0" w:color="auto"/>
        <w:bottom w:val="none" w:sz="0" w:space="0" w:color="auto"/>
        <w:right w:val="none" w:sz="0" w:space="0" w:color="auto"/>
      </w:divBdr>
    </w:div>
    <w:div w:id="1571695559">
      <w:bodyDiv w:val="1"/>
      <w:marLeft w:val="0"/>
      <w:marRight w:val="0"/>
      <w:marTop w:val="0"/>
      <w:marBottom w:val="0"/>
      <w:divBdr>
        <w:top w:val="none" w:sz="0" w:space="0" w:color="auto"/>
        <w:left w:val="none" w:sz="0" w:space="0" w:color="auto"/>
        <w:bottom w:val="none" w:sz="0" w:space="0" w:color="auto"/>
        <w:right w:val="none" w:sz="0" w:space="0" w:color="auto"/>
      </w:divBdr>
    </w:div>
    <w:div w:id="1574046094">
      <w:bodyDiv w:val="1"/>
      <w:marLeft w:val="0"/>
      <w:marRight w:val="0"/>
      <w:marTop w:val="0"/>
      <w:marBottom w:val="0"/>
      <w:divBdr>
        <w:top w:val="none" w:sz="0" w:space="0" w:color="auto"/>
        <w:left w:val="none" w:sz="0" w:space="0" w:color="auto"/>
        <w:bottom w:val="none" w:sz="0" w:space="0" w:color="auto"/>
        <w:right w:val="none" w:sz="0" w:space="0" w:color="auto"/>
      </w:divBdr>
    </w:div>
    <w:div w:id="1579095562">
      <w:bodyDiv w:val="1"/>
      <w:marLeft w:val="0"/>
      <w:marRight w:val="0"/>
      <w:marTop w:val="0"/>
      <w:marBottom w:val="0"/>
      <w:divBdr>
        <w:top w:val="none" w:sz="0" w:space="0" w:color="auto"/>
        <w:left w:val="none" w:sz="0" w:space="0" w:color="auto"/>
        <w:bottom w:val="none" w:sz="0" w:space="0" w:color="auto"/>
        <w:right w:val="none" w:sz="0" w:space="0" w:color="auto"/>
      </w:divBdr>
    </w:div>
    <w:div w:id="1592275169">
      <w:bodyDiv w:val="1"/>
      <w:marLeft w:val="0"/>
      <w:marRight w:val="0"/>
      <w:marTop w:val="0"/>
      <w:marBottom w:val="0"/>
      <w:divBdr>
        <w:top w:val="none" w:sz="0" w:space="0" w:color="auto"/>
        <w:left w:val="none" w:sz="0" w:space="0" w:color="auto"/>
        <w:bottom w:val="none" w:sz="0" w:space="0" w:color="auto"/>
        <w:right w:val="none" w:sz="0" w:space="0" w:color="auto"/>
      </w:divBdr>
    </w:div>
    <w:div w:id="1597060316">
      <w:bodyDiv w:val="1"/>
      <w:marLeft w:val="0"/>
      <w:marRight w:val="0"/>
      <w:marTop w:val="0"/>
      <w:marBottom w:val="0"/>
      <w:divBdr>
        <w:top w:val="none" w:sz="0" w:space="0" w:color="auto"/>
        <w:left w:val="none" w:sz="0" w:space="0" w:color="auto"/>
        <w:bottom w:val="none" w:sz="0" w:space="0" w:color="auto"/>
        <w:right w:val="none" w:sz="0" w:space="0" w:color="auto"/>
      </w:divBdr>
    </w:div>
    <w:div w:id="1599632317">
      <w:bodyDiv w:val="1"/>
      <w:marLeft w:val="0"/>
      <w:marRight w:val="0"/>
      <w:marTop w:val="0"/>
      <w:marBottom w:val="0"/>
      <w:divBdr>
        <w:top w:val="none" w:sz="0" w:space="0" w:color="auto"/>
        <w:left w:val="none" w:sz="0" w:space="0" w:color="auto"/>
        <w:bottom w:val="none" w:sz="0" w:space="0" w:color="auto"/>
        <w:right w:val="none" w:sz="0" w:space="0" w:color="auto"/>
      </w:divBdr>
    </w:div>
    <w:div w:id="1600332775">
      <w:bodyDiv w:val="1"/>
      <w:marLeft w:val="0"/>
      <w:marRight w:val="0"/>
      <w:marTop w:val="0"/>
      <w:marBottom w:val="0"/>
      <w:divBdr>
        <w:top w:val="none" w:sz="0" w:space="0" w:color="auto"/>
        <w:left w:val="none" w:sz="0" w:space="0" w:color="auto"/>
        <w:bottom w:val="none" w:sz="0" w:space="0" w:color="auto"/>
        <w:right w:val="none" w:sz="0" w:space="0" w:color="auto"/>
      </w:divBdr>
    </w:div>
    <w:div w:id="1600673515">
      <w:bodyDiv w:val="1"/>
      <w:marLeft w:val="0"/>
      <w:marRight w:val="0"/>
      <w:marTop w:val="0"/>
      <w:marBottom w:val="0"/>
      <w:divBdr>
        <w:top w:val="none" w:sz="0" w:space="0" w:color="auto"/>
        <w:left w:val="none" w:sz="0" w:space="0" w:color="auto"/>
        <w:bottom w:val="none" w:sz="0" w:space="0" w:color="auto"/>
        <w:right w:val="none" w:sz="0" w:space="0" w:color="auto"/>
      </w:divBdr>
    </w:div>
    <w:div w:id="1602375442">
      <w:bodyDiv w:val="1"/>
      <w:marLeft w:val="0"/>
      <w:marRight w:val="0"/>
      <w:marTop w:val="0"/>
      <w:marBottom w:val="0"/>
      <w:divBdr>
        <w:top w:val="none" w:sz="0" w:space="0" w:color="auto"/>
        <w:left w:val="none" w:sz="0" w:space="0" w:color="auto"/>
        <w:bottom w:val="none" w:sz="0" w:space="0" w:color="auto"/>
        <w:right w:val="none" w:sz="0" w:space="0" w:color="auto"/>
      </w:divBdr>
    </w:div>
    <w:div w:id="1602495347">
      <w:bodyDiv w:val="1"/>
      <w:marLeft w:val="0"/>
      <w:marRight w:val="0"/>
      <w:marTop w:val="0"/>
      <w:marBottom w:val="0"/>
      <w:divBdr>
        <w:top w:val="none" w:sz="0" w:space="0" w:color="auto"/>
        <w:left w:val="none" w:sz="0" w:space="0" w:color="auto"/>
        <w:bottom w:val="none" w:sz="0" w:space="0" w:color="auto"/>
        <w:right w:val="none" w:sz="0" w:space="0" w:color="auto"/>
      </w:divBdr>
    </w:div>
    <w:div w:id="1603804592">
      <w:bodyDiv w:val="1"/>
      <w:marLeft w:val="0"/>
      <w:marRight w:val="0"/>
      <w:marTop w:val="0"/>
      <w:marBottom w:val="0"/>
      <w:divBdr>
        <w:top w:val="none" w:sz="0" w:space="0" w:color="auto"/>
        <w:left w:val="none" w:sz="0" w:space="0" w:color="auto"/>
        <w:bottom w:val="none" w:sz="0" w:space="0" w:color="auto"/>
        <w:right w:val="none" w:sz="0" w:space="0" w:color="auto"/>
      </w:divBdr>
    </w:div>
    <w:div w:id="1613711064">
      <w:bodyDiv w:val="1"/>
      <w:marLeft w:val="0"/>
      <w:marRight w:val="0"/>
      <w:marTop w:val="0"/>
      <w:marBottom w:val="0"/>
      <w:divBdr>
        <w:top w:val="none" w:sz="0" w:space="0" w:color="auto"/>
        <w:left w:val="none" w:sz="0" w:space="0" w:color="auto"/>
        <w:bottom w:val="none" w:sz="0" w:space="0" w:color="auto"/>
        <w:right w:val="none" w:sz="0" w:space="0" w:color="auto"/>
      </w:divBdr>
    </w:div>
    <w:div w:id="1614938590">
      <w:bodyDiv w:val="1"/>
      <w:marLeft w:val="0"/>
      <w:marRight w:val="0"/>
      <w:marTop w:val="0"/>
      <w:marBottom w:val="0"/>
      <w:divBdr>
        <w:top w:val="none" w:sz="0" w:space="0" w:color="auto"/>
        <w:left w:val="none" w:sz="0" w:space="0" w:color="auto"/>
        <w:bottom w:val="none" w:sz="0" w:space="0" w:color="auto"/>
        <w:right w:val="none" w:sz="0" w:space="0" w:color="auto"/>
      </w:divBdr>
    </w:div>
    <w:div w:id="1622879148">
      <w:bodyDiv w:val="1"/>
      <w:marLeft w:val="0"/>
      <w:marRight w:val="0"/>
      <w:marTop w:val="0"/>
      <w:marBottom w:val="0"/>
      <w:divBdr>
        <w:top w:val="none" w:sz="0" w:space="0" w:color="auto"/>
        <w:left w:val="none" w:sz="0" w:space="0" w:color="auto"/>
        <w:bottom w:val="none" w:sz="0" w:space="0" w:color="auto"/>
        <w:right w:val="none" w:sz="0" w:space="0" w:color="auto"/>
      </w:divBdr>
    </w:div>
    <w:div w:id="1628316171">
      <w:bodyDiv w:val="1"/>
      <w:marLeft w:val="0"/>
      <w:marRight w:val="0"/>
      <w:marTop w:val="0"/>
      <w:marBottom w:val="0"/>
      <w:divBdr>
        <w:top w:val="none" w:sz="0" w:space="0" w:color="auto"/>
        <w:left w:val="none" w:sz="0" w:space="0" w:color="auto"/>
        <w:bottom w:val="none" w:sz="0" w:space="0" w:color="auto"/>
        <w:right w:val="none" w:sz="0" w:space="0" w:color="auto"/>
      </w:divBdr>
    </w:div>
    <w:div w:id="1633825314">
      <w:bodyDiv w:val="1"/>
      <w:marLeft w:val="0"/>
      <w:marRight w:val="0"/>
      <w:marTop w:val="0"/>
      <w:marBottom w:val="0"/>
      <w:divBdr>
        <w:top w:val="none" w:sz="0" w:space="0" w:color="auto"/>
        <w:left w:val="none" w:sz="0" w:space="0" w:color="auto"/>
        <w:bottom w:val="none" w:sz="0" w:space="0" w:color="auto"/>
        <w:right w:val="none" w:sz="0" w:space="0" w:color="auto"/>
      </w:divBdr>
    </w:div>
    <w:div w:id="1637444643">
      <w:bodyDiv w:val="1"/>
      <w:marLeft w:val="0"/>
      <w:marRight w:val="0"/>
      <w:marTop w:val="0"/>
      <w:marBottom w:val="0"/>
      <w:divBdr>
        <w:top w:val="none" w:sz="0" w:space="0" w:color="auto"/>
        <w:left w:val="none" w:sz="0" w:space="0" w:color="auto"/>
        <w:bottom w:val="none" w:sz="0" w:space="0" w:color="auto"/>
        <w:right w:val="none" w:sz="0" w:space="0" w:color="auto"/>
      </w:divBdr>
    </w:div>
    <w:div w:id="1642033657">
      <w:bodyDiv w:val="1"/>
      <w:marLeft w:val="0"/>
      <w:marRight w:val="0"/>
      <w:marTop w:val="0"/>
      <w:marBottom w:val="0"/>
      <w:divBdr>
        <w:top w:val="none" w:sz="0" w:space="0" w:color="auto"/>
        <w:left w:val="none" w:sz="0" w:space="0" w:color="auto"/>
        <w:bottom w:val="none" w:sz="0" w:space="0" w:color="auto"/>
        <w:right w:val="none" w:sz="0" w:space="0" w:color="auto"/>
      </w:divBdr>
    </w:div>
    <w:div w:id="1645741006">
      <w:bodyDiv w:val="1"/>
      <w:marLeft w:val="0"/>
      <w:marRight w:val="0"/>
      <w:marTop w:val="0"/>
      <w:marBottom w:val="0"/>
      <w:divBdr>
        <w:top w:val="none" w:sz="0" w:space="0" w:color="auto"/>
        <w:left w:val="none" w:sz="0" w:space="0" w:color="auto"/>
        <w:bottom w:val="none" w:sz="0" w:space="0" w:color="auto"/>
        <w:right w:val="none" w:sz="0" w:space="0" w:color="auto"/>
      </w:divBdr>
    </w:div>
    <w:div w:id="1649478801">
      <w:bodyDiv w:val="1"/>
      <w:marLeft w:val="0"/>
      <w:marRight w:val="0"/>
      <w:marTop w:val="0"/>
      <w:marBottom w:val="0"/>
      <w:divBdr>
        <w:top w:val="none" w:sz="0" w:space="0" w:color="auto"/>
        <w:left w:val="none" w:sz="0" w:space="0" w:color="auto"/>
        <w:bottom w:val="none" w:sz="0" w:space="0" w:color="auto"/>
        <w:right w:val="none" w:sz="0" w:space="0" w:color="auto"/>
      </w:divBdr>
    </w:div>
    <w:div w:id="1655140501">
      <w:bodyDiv w:val="1"/>
      <w:marLeft w:val="0"/>
      <w:marRight w:val="0"/>
      <w:marTop w:val="0"/>
      <w:marBottom w:val="0"/>
      <w:divBdr>
        <w:top w:val="none" w:sz="0" w:space="0" w:color="auto"/>
        <w:left w:val="none" w:sz="0" w:space="0" w:color="auto"/>
        <w:bottom w:val="none" w:sz="0" w:space="0" w:color="auto"/>
        <w:right w:val="none" w:sz="0" w:space="0" w:color="auto"/>
      </w:divBdr>
    </w:div>
    <w:div w:id="1657562545">
      <w:bodyDiv w:val="1"/>
      <w:marLeft w:val="0"/>
      <w:marRight w:val="0"/>
      <w:marTop w:val="0"/>
      <w:marBottom w:val="0"/>
      <w:divBdr>
        <w:top w:val="none" w:sz="0" w:space="0" w:color="auto"/>
        <w:left w:val="none" w:sz="0" w:space="0" w:color="auto"/>
        <w:bottom w:val="none" w:sz="0" w:space="0" w:color="auto"/>
        <w:right w:val="none" w:sz="0" w:space="0" w:color="auto"/>
      </w:divBdr>
    </w:div>
    <w:div w:id="1672685803">
      <w:bodyDiv w:val="1"/>
      <w:marLeft w:val="0"/>
      <w:marRight w:val="0"/>
      <w:marTop w:val="0"/>
      <w:marBottom w:val="0"/>
      <w:divBdr>
        <w:top w:val="none" w:sz="0" w:space="0" w:color="auto"/>
        <w:left w:val="none" w:sz="0" w:space="0" w:color="auto"/>
        <w:bottom w:val="none" w:sz="0" w:space="0" w:color="auto"/>
        <w:right w:val="none" w:sz="0" w:space="0" w:color="auto"/>
      </w:divBdr>
      <w:divsChild>
        <w:div w:id="2070036293">
          <w:marLeft w:val="0"/>
          <w:marRight w:val="0"/>
          <w:marTop w:val="0"/>
          <w:marBottom w:val="0"/>
          <w:divBdr>
            <w:top w:val="none" w:sz="0" w:space="0" w:color="auto"/>
            <w:left w:val="none" w:sz="0" w:space="0" w:color="auto"/>
            <w:bottom w:val="none" w:sz="0" w:space="0" w:color="auto"/>
            <w:right w:val="none" w:sz="0" w:space="0" w:color="auto"/>
          </w:divBdr>
          <w:divsChild>
            <w:div w:id="1780641686">
              <w:marLeft w:val="0"/>
              <w:marRight w:val="0"/>
              <w:marTop w:val="0"/>
              <w:marBottom w:val="0"/>
              <w:divBdr>
                <w:top w:val="none" w:sz="0" w:space="0" w:color="auto"/>
                <w:left w:val="none" w:sz="0" w:space="0" w:color="auto"/>
                <w:bottom w:val="none" w:sz="0" w:space="0" w:color="auto"/>
                <w:right w:val="none" w:sz="0" w:space="0" w:color="auto"/>
              </w:divBdr>
              <w:divsChild>
                <w:div w:id="834565248">
                  <w:marLeft w:val="0"/>
                  <w:marRight w:val="0"/>
                  <w:marTop w:val="0"/>
                  <w:marBottom w:val="0"/>
                  <w:divBdr>
                    <w:top w:val="none" w:sz="0" w:space="0" w:color="auto"/>
                    <w:left w:val="none" w:sz="0" w:space="0" w:color="auto"/>
                    <w:bottom w:val="none" w:sz="0" w:space="0" w:color="auto"/>
                    <w:right w:val="none" w:sz="0" w:space="0" w:color="auto"/>
                  </w:divBdr>
                  <w:divsChild>
                    <w:div w:id="1910724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3485342">
      <w:bodyDiv w:val="1"/>
      <w:marLeft w:val="0"/>
      <w:marRight w:val="0"/>
      <w:marTop w:val="0"/>
      <w:marBottom w:val="0"/>
      <w:divBdr>
        <w:top w:val="none" w:sz="0" w:space="0" w:color="auto"/>
        <w:left w:val="none" w:sz="0" w:space="0" w:color="auto"/>
        <w:bottom w:val="none" w:sz="0" w:space="0" w:color="auto"/>
        <w:right w:val="none" w:sz="0" w:space="0" w:color="auto"/>
      </w:divBdr>
    </w:div>
    <w:div w:id="1676221868">
      <w:bodyDiv w:val="1"/>
      <w:marLeft w:val="0"/>
      <w:marRight w:val="0"/>
      <w:marTop w:val="0"/>
      <w:marBottom w:val="0"/>
      <w:divBdr>
        <w:top w:val="none" w:sz="0" w:space="0" w:color="auto"/>
        <w:left w:val="none" w:sz="0" w:space="0" w:color="auto"/>
        <w:bottom w:val="none" w:sz="0" w:space="0" w:color="auto"/>
        <w:right w:val="none" w:sz="0" w:space="0" w:color="auto"/>
      </w:divBdr>
    </w:div>
    <w:div w:id="1678339225">
      <w:bodyDiv w:val="1"/>
      <w:marLeft w:val="0"/>
      <w:marRight w:val="0"/>
      <w:marTop w:val="0"/>
      <w:marBottom w:val="0"/>
      <w:divBdr>
        <w:top w:val="none" w:sz="0" w:space="0" w:color="auto"/>
        <w:left w:val="none" w:sz="0" w:space="0" w:color="auto"/>
        <w:bottom w:val="none" w:sz="0" w:space="0" w:color="auto"/>
        <w:right w:val="none" w:sz="0" w:space="0" w:color="auto"/>
      </w:divBdr>
    </w:div>
    <w:div w:id="1693023234">
      <w:bodyDiv w:val="1"/>
      <w:marLeft w:val="0"/>
      <w:marRight w:val="0"/>
      <w:marTop w:val="0"/>
      <w:marBottom w:val="0"/>
      <w:divBdr>
        <w:top w:val="none" w:sz="0" w:space="0" w:color="auto"/>
        <w:left w:val="none" w:sz="0" w:space="0" w:color="auto"/>
        <w:bottom w:val="none" w:sz="0" w:space="0" w:color="auto"/>
        <w:right w:val="none" w:sz="0" w:space="0" w:color="auto"/>
      </w:divBdr>
    </w:div>
    <w:div w:id="1693260861">
      <w:bodyDiv w:val="1"/>
      <w:marLeft w:val="0"/>
      <w:marRight w:val="0"/>
      <w:marTop w:val="0"/>
      <w:marBottom w:val="0"/>
      <w:divBdr>
        <w:top w:val="none" w:sz="0" w:space="0" w:color="auto"/>
        <w:left w:val="none" w:sz="0" w:space="0" w:color="auto"/>
        <w:bottom w:val="none" w:sz="0" w:space="0" w:color="auto"/>
        <w:right w:val="none" w:sz="0" w:space="0" w:color="auto"/>
      </w:divBdr>
    </w:div>
    <w:div w:id="1695619314">
      <w:bodyDiv w:val="1"/>
      <w:marLeft w:val="0"/>
      <w:marRight w:val="0"/>
      <w:marTop w:val="0"/>
      <w:marBottom w:val="0"/>
      <w:divBdr>
        <w:top w:val="none" w:sz="0" w:space="0" w:color="auto"/>
        <w:left w:val="none" w:sz="0" w:space="0" w:color="auto"/>
        <w:bottom w:val="none" w:sz="0" w:space="0" w:color="auto"/>
        <w:right w:val="none" w:sz="0" w:space="0" w:color="auto"/>
      </w:divBdr>
    </w:div>
    <w:div w:id="1698431413">
      <w:bodyDiv w:val="1"/>
      <w:marLeft w:val="0"/>
      <w:marRight w:val="0"/>
      <w:marTop w:val="0"/>
      <w:marBottom w:val="0"/>
      <w:divBdr>
        <w:top w:val="none" w:sz="0" w:space="0" w:color="auto"/>
        <w:left w:val="none" w:sz="0" w:space="0" w:color="auto"/>
        <w:bottom w:val="none" w:sz="0" w:space="0" w:color="auto"/>
        <w:right w:val="none" w:sz="0" w:space="0" w:color="auto"/>
      </w:divBdr>
    </w:div>
    <w:div w:id="1700203719">
      <w:bodyDiv w:val="1"/>
      <w:marLeft w:val="0"/>
      <w:marRight w:val="0"/>
      <w:marTop w:val="0"/>
      <w:marBottom w:val="0"/>
      <w:divBdr>
        <w:top w:val="none" w:sz="0" w:space="0" w:color="auto"/>
        <w:left w:val="none" w:sz="0" w:space="0" w:color="auto"/>
        <w:bottom w:val="none" w:sz="0" w:space="0" w:color="auto"/>
        <w:right w:val="none" w:sz="0" w:space="0" w:color="auto"/>
      </w:divBdr>
    </w:div>
    <w:div w:id="1703095113">
      <w:bodyDiv w:val="1"/>
      <w:marLeft w:val="0"/>
      <w:marRight w:val="0"/>
      <w:marTop w:val="0"/>
      <w:marBottom w:val="0"/>
      <w:divBdr>
        <w:top w:val="none" w:sz="0" w:space="0" w:color="auto"/>
        <w:left w:val="none" w:sz="0" w:space="0" w:color="auto"/>
        <w:bottom w:val="none" w:sz="0" w:space="0" w:color="auto"/>
        <w:right w:val="none" w:sz="0" w:space="0" w:color="auto"/>
      </w:divBdr>
    </w:div>
    <w:div w:id="1705010847">
      <w:bodyDiv w:val="1"/>
      <w:marLeft w:val="0"/>
      <w:marRight w:val="0"/>
      <w:marTop w:val="0"/>
      <w:marBottom w:val="0"/>
      <w:divBdr>
        <w:top w:val="none" w:sz="0" w:space="0" w:color="auto"/>
        <w:left w:val="none" w:sz="0" w:space="0" w:color="auto"/>
        <w:bottom w:val="none" w:sz="0" w:space="0" w:color="auto"/>
        <w:right w:val="none" w:sz="0" w:space="0" w:color="auto"/>
      </w:divBdr>
    </w:div>
    <w:div w:id="1708026430">
      <w:bodyDiv w:val="1"/>
      <w:marLeft w:val="0"/>
      <w:marRight w:val="0"/>
      <w:marTop w:val="0"/>
      <w:marBottom w:val="0"/>
      <w:divBdr>
        <w:top w:val="none" w:sz="0" w:space="0" w:color="auto"/>
        <w:left w:val="none" w:sz="0" w:space="0" w:color="auto"/>
        <w:bottom w:val="none" w:sz="0" w:space="0" w:color="auto"/>
        <w:right w:val="none" w:sz="0" w:space="0" w:color="auto"/>
      </w:divBdr>
    </w:div>
    <w:div w:id="1708598766">
      <w:bodyDiv w:val="1"/>
      <w:marLeft w:val="0"/>
      <w:marRight w:val="0"/>
      <w:marTop w:val="0"/>
      <w:marBottom w:val="0"/>
      <w:divBdr>
        <w:top w:val="none" w:sz="0" w:space="0" w:color="auto"/>
        <w:left w:val="none" w:sz="0" w:space="0" w:color="auto"/>
        <w:bottom w:val="none" w:sz="0" w:space="0" w:color="auto"/>
        <w:right w:val="none" w:sz="0" w:space="0" w:color="auto"/>
      </w:divBdr>
    </w:div>
    <w:div w:id="1712606447">
      <w:bodyDiv w:val="1"/>
      <w:marLeft w:val="0"/>
      <w:marRight w:val="0"/>
      <w:marTop w:val="0"/>
      <w:marBottom w:val="0"/>
      <w:divBdr>
        <w:top w:val="none" w:sz="0" w:space="0" w:color="auto"/>
        <w:left w:val="none" w:sz="0" w:space="0" w:color="auto"/>
        <w:bottom w:val="none" w:sz="0" w:space="0" w:color="auto"/>
        <w:right w:val="none" w:sz="0" w:space="0" w:color="auto"/>
      </w:divBdr>
    </w:div>
    <w:div w:id="1720937358">
      <w:bodyDiv w:val="1"/>
      <w:marLeft w:val="50"/>
      <w:marRight w:val="0"/>
      <w:marTop w:val="63"/>
      <w:marBottom w:val="63"/>
      <w:divBdr>
        <w:top w:val="none" w:sz="0" w:space="0" w:color="auto"/>
        <w:left w:val="none" w:sz="0" w:space="0" w:color="auto"/>
        <w:bottom w:val="none" w:sz="0" w:space="0" w:color="auto"/>
        <w:right w:val="none" w:sz="0" w:space="0" w:color="auto"/>
      </w:divBdr>
      <w:divsChild>
        <w:div w:id="1976444179">
          <w:marLeft w:val="0"/>
          <w:marRight w:val="0"/>
          <w:marTop w:val="0"/>
          <w:marBottom w:val="0"/>
          <w:divBdr>
            <w:top w:val="none" w:sz="0" w:space="0" w:color="auto"/>
            <w:left w:val="none" w:sz="0" w:space="0" w:color="auto"/>
            <w:bottom w:val="none" w:sz="0" w:space="0" w:color="auto"/>
            <w:right w:val="none" w:sz="0" w:space="0" w:color="auto"/>
          </w:divBdr>
        </w:div>
      </w:divsChild>
    </w:div>
    <w:div w:id="1720981561">
      <w:bodyDiv w:val="1"/>
      <w:marLeft w:val="0"/>
      <w:marRight w:val="0"/>
      <w:marTop w:val="0"/>
      <w:marBottom w:val="0"/>
      <w:divBdr>
        <w:top w:val="none" w:sz="0" w:space="0" w:color="auto"/>
        <w:left w:val="none" w:sz="0" w:space="0" w:color="auto"/>
        <w:bottom w:val="none" w:sz="0" w:space="0" w:color="auto"/>
        <w:right w:val="none" w:sz="0" w:space="0" w:color="auto"/>
      </w:divBdr>
    </w:div>
    <w:div w:id="1723601943">
      <w:bodyDiv w:val="1"/>
      <w:marLeft w:val="0"/>
      <w:marRight w:val="0"/>
      <w:marTop w:val="0"/>
      <w:marBottom w:val="0"/>
      <w:divBdr>
        <w:top w:val="none" w:sz="0" w:space="0" w:color="auto"/>
        <w:left w:val="none" w:sz="0" w:space="0" w:color="auto"/>
        <w:bottom w:val="none" w:sz="0" w:space="0" w:color="auto"/>
        <w:right w:val="none" w:sz="0" w:space="0" w:color="auto"/>
      </w:divBdr>
    </w:div>
    <w:div w:id="1724211926">
      <w:bodyDiv w:val="1"/>
      <w:marLeft w:val="0"/>
      <w:marRight w:val="0"/>
      <w:marTop w:val="0"/>
      <w:marBottom w:val="0"/>
      <w:divBdr>
        <w:top w:val="none" w:sz="0" w:space="0" w:color="auto"/>
        <w:left w:val="none" w:sz="0" w:space="0" w:color="auto"/>
        <w:bottom w:val="none" w:sz="0" w:space="0" w:color="auto"/>
        <w:right w:val="none" w:sz="0" w:space="0" w:color="auto"/>
      </w:divBdr>
    </w:div>
    <w:div w:id="1728263110">
      <w:bodyDiv w:val="1"/>
      <w:marLeft w:val="0"/>
      <w:marRight w:val="0"/>
      <w:marTop w:val="0"/>
      <w:marBottom w:val="0"/>
      <w:divBdr>
        <w:top w:val="none" w:sz="0" w:space="0" w:color="auto"/>
        <w:left w:val="none" w:sz="0" w:space="0" w:color="auto"/>
        <w:bottom w:val="none" w:sz="0" w:space="0" w:color="auto"/>
        <w:right w:val="none" w:sz="0" w:space="0" w:color="auto"/>
      </w:divBdr>
    </w:div>
    <w:div w:id="1735665488">
      <w:bodyDiv w:val="1"/>
      <w:marLeft w:val="0"/>
      <w:marRight w:val="0"/>
      <w:marTop w:val="0"/>
      <w:marBottom w:val="0"/>
      <w:divBdr>
        <w:top w:val="none" w:sz="0" w:space="0" w:color="auto"/>
        <w:left w:val="none" w:sz="0" w:space="0" w:color="auto"/>
        <w:bottom w:val="none" w:sz="0" w:space="0" w:color="auto"/>
        <w:right w:val="none" w:sz="0" w:space="0" w:color="auto"/>
      </w:divBdr>
    </w:div>
    <w:div w:id="1747920184">
      <w:bodyDiv w:val="1"/>
      <w:marLeft w:val="0"/>
      <w:marRight w:val="0"/>
      <w:marTop w:val="0"/>
      <w:marBottom w:val="0"/>
      <w:divBdr>
        <w:top w:val="none" w:sz="0" w:space="0" w:color="auto"/>
        <w:left w:val="none" w:sz="0" w:space="0" w:color="auto"/>
        <w:bottom w:val="none" w:sz="0" w:space="0" w:color="auto"/>
        <w:right w:val="none" w:sz="0" w:space="0" w:color="auto"/>
      </w:divBdr>
    </w:div>
    <w:div w:id="1753504414">
      <w:bodyDiv w:val="1"/>
      <w:marLeft w:val="0"/>
      <w:marRight w:val="0"/>
      <w:marTop w:val="0"/>
      <w:marBottom w:val="0"/>
      <w:divBdr>
        <w:top w:val="none" w:sz="0" w:space="0" w:color="auto"/>
        <w:left w:val="none" w:sz="0" w:space="0" w:color="auto"/>
        <w:bottom w:val="none" w:sz="0" w:space="0" w:color="auto"/>
        <w:right w:val="none" w:sz="0" w:space="0" w:color="auto"/>
      </w:divBdr>
    </w:div>
    <w:div w:id="1754009030">
      <w:bodyDiv w:val="1"/>
      <w:marLeft w:val="0"/>
      <w:marRight w:val="0"/>
      <w:marTop w:val="0"/>
      <w:marBottom w:val="0"/>
      <w:divBdr>
        <w:top w:val="none" w:sz="0" w:space="0" w:color="auto"/>
        <w:left w:val="none" w:sz="0" w:space="0" w:color="auto"/>
        <w:bottom w:val="none" w:sz="0" w:space="0" w:color="auto"/>
        <w:right w:val="none" w:sz="0" w:space="0" w:color="auto"/>
      </w:divBdr>
    </w:div>
    <w:div w:id="1769157377">
      <w:bodyDiv w:val="1"/>
      <w:marLeft w:val="0"/>
      <w:marRight w:val="0"/>
      <w:marTop w:val="0"/>
      <w:marBottom w:val="0"/>
      <w:divBdr>
        <w:top w:val="none" w:sz="0" w:space="0" w:color="auto"/>
        <w:left w:val="none" w:sz="0" w:space="0" w:color="auto"/>
        <w:bottom w:val="none" w:sz="0" w:space="0" w:color="auto"/>
        <w:right w:val="none" w:sz="0" w:space="0" w:color="auto"/>
      </w:divBdr>
    </w:div>
    <w:div w:id="1774204821">
      <w:bodyDiv w:val="1"/>
      <w:marLeft w:val="0"/>
      <w:marRight w:val="0"/>
      <w:marTop w:val="0"/>
      <w:marBottom w:val="0"/>
      <w:divBdr>
        <w:top w:val="none" w:sz="0" w:space="0" w:color="auto"/>
        <w:left w:val="none" w:sz="0" w:space="0" w:color="auto"/>
        <w:bottom w:val="none" w:sz="0" w:space="0" w:color="auto"/>
        <w:right w:val="none" w:sz="0" w:space="0" w:color="auto"/>
      </w:divBdr>
    </w:div>
    <w:div w:id="1778981993">
      <w:bodyDiv w:val="1"/>
      <w:marLeft w:val="0"/>
      <w:marRight w:val="0"/>
      <w:marTop w:val="0"/>
      <w:marBottom w:val="0"/>
      <w:divBdr>
        <w:top w:val="none" w:sz="0" w:space="0" w:color="auto"/>
        <w:left w:val="none" w:sz="0" w:space="0" w:color="auto"/>
        <w:bottom w:val="none" w:sz="0" w:space="0" w:color="auto"/>
        <w:right w:val="none" w:sz="0" w:space="0" w:color="auto"/>
      </w:divBdr>
    </w:div>
    <w:div w:id="1783453916">
      <w:bodyDiv w:val="1"/>
      <w:marLeft w:val="0"/>
      <w:marRight w:val="0"/>
      <w:marTop w:val="0"/>
      <w:marBottom w:val="0"/>
      <w:divBdr>
        <w:top w:val="none" w:sz="0" w:space="0" w:color="auto"/>
        <w:left w:val="none" w:sz="0" w:space="0" w:color="auto"/>
        <w:bottom w:val="none" w:sz="0" w:space="0" w:color="auto"/>
        <w:right w:val="none" w:sz="0" w:space="0" w:color="auto"/>
      </w:divBdr>
    </w:div>
    <w:div w:id="1790583818">
      <w:bodyDiv w:val="1"/>
      <w:marLeft w:val="0"/>
      <w:marRight w:val="0"/>
      <w:marTop w:val="0"/>
      <w:marBottom w:val="0"/>
      <w:divBdr>
        <w:top w:val="none" w:sz="0" w:space="0" w:color="auto"/>
        <w:left w:val="none" w:sz="0" w:space="0" w:color="auto"/>
        <w:bottom w:val="none" w:sz="0" w:space="0" w:color="auto"/>
        <w:right w:val="none" w:sz="0" w:space="0" w:color="auto"/>
      </w:divBdr>
    </w:div>
    <w:div w:id="1796220308">
      <w:bodyDiv w:val="1"/>
      <w:marLeft w:val="0"/>
      <w:marRight w:val="0"/>
      <w:marTop w:val="0"/>
      <w:marBottom w:val="0"/>
      <w:divBdr>
        <w:top w:val="none" w:sz="0" w:space="0" w:color="auto"/>
        <w:left w:val="none" w:sz="0" w:space="0" w:color="auto"/>
        <w:bottom w:val="none" w:sz="0" w:space="0" w:color="auto"/>
        <w:right w:val="none" w:sz="0" w:space="0" w:color="auto"/>
      </w:divBdr>
    </w:div>
    <w:div w:id="1797988198">
      <w:bodyDiv w:val="1"/>
      <w:marLeft w:val="0"/>
      <w:marRight w:val="0"/>
      <w:marTop w:val="0"/>
      <w:marBottom w:val="0"/>
      <w:divBdr>
        <w:top w:val="none" w:sz="0" w:space="0" w:color="auto"/>
        <w:left w:val="none" w:sz="0" w:space="0" w:color="auto"/>
        <w:bottom w:val="none" w:sz="0" w:space="0" w:color="auto"/>
        <w:right w:val="none" w:sz="0" w:space="0" w:color="auto"/>
      </w:divBdr>
    </w:div>
    <w:div w:id="1798915266">
      <w:bodyDiv w:val="1"/>
      <w:marLeft w:val="0"/>
      <w:marRight w:val="0"/>
      <w:marTop w:val="0"/>
      <w:marBottom w:val="0"/>
      <w:divBdr>
        <w:top w:val="none" w:sz="0" w:space="0" w:color="auto"/>
        <w:left w:val="none" w:sz="0" w:space="0" w:color="auto"/>
        <w:bottom w:val="none" w:sz="0" w:space="0" w:color="auto"/>
        <w:right w:val="none" w:sz="0" w:space="0" w:color="auto"/>
      </w:divBdr>
    </w:div>
    <w:div w:id="1814640573">
      <w:bodyDiv w:val="1"/>
      <w:marLeft w:val="0"/>
      <w:marRight w:val="0"/>
      <w:marTop w:val="0"/>
      <w:marBottom w:val="0"/>
      <w:divBdr>
        <w:top w:val="none" w:sz="0" w:space="0" w:color="auto"/>
        <w:left w:val="none" w:sz="0" w:space="0" w:color="auto"/>
        <w:bottom w:val="none" w:sz="0" w:space="0" w:color="auto"/>
        <w:right w:val="none" w:sz="0" w:space="0" w:color="auto"/>
      </w:divBdr>
    </w:div>
    <w:div w:id="1821576704">
      <w:bodyDiv w:val="1"/>
      <w:marLeft w:val="0"/>
      <w:marRight w:val="0"/>
      <w:marTop w:val="0"/>
      <w:marBottom w:val="0"/>
      <w:divBdr>
        <w:top w:val="none" w:sz="0" w:space="0" w:color="auto"/>
        <w:left w:val="none" w:sz="0" w:space="0" w:color="auto"/>
        <w:bottom w:val="none" w:sz="0" w:space="0" w:color="auto"/>
        <w:right w:val="none" w:sz="0" w:space="0" w:color="auto"/>
      </w:divBdr>
    </w:div>
    <w:div w:id="1824079555">
      <w:bodyDiv w:val="1"/>
      <w:marLeft w:val="0"/>
      <w:marRight w:val="0"/>
      <w:marTop w:val="0"/>
      <w:marBottom w:val="0"/>
      <w:divBdr>
        <w:top w:val="none" w:sz="0" w:space="0" w:color="auto"/>
        <w:left w:val="none" w:sz="0" w:space="0" w:color="auto"/>
        <w:bottom w:val="none" w:sz="0" w:space="0" w:color="auto"/>
        <w:right w:val="none" w:sz="0" w:space="0" w:color="auto"/>
      </w:divBdr>
    </w:div>
    <w:div w:id="1846364437">
      <w:bodyDiv w:val="1"/>
      <w:marLeft w:val="0"/>
      <w:marRight w:val="0"/>
      <w:marTop w:val="0"/>
      <w:marBottom w:val="0"/>
      <w:divBdr>
        <w:top w:val="none" w:sz="0" w:space="0" w:color="auto"/>
        <w:left w:val="none" w:sz="0" w:space="0" w:color="auto"/>
        <w:bottom w:val="none" w:sz="0" w:space="0" w:color="auto"/>
        <w:right w:val="none" w:sz="0" w:space="0" w:color="auto"/>
      </w:divBdr>
    </w:div>
    <w:div w:id="1852139489">
      <w:bodyDiv w:val="1"/>
      <w:marLeft w:val="0"/>
      <w:marRight w:val="0"/>
      <w:marTop w:val="0"/>
      <w:marBottom w:val="0"/>
      <w:divBdr>
        <w:top w:val="none" w:sz="0" w:space="0" w:color="auto"/>
        <w:left w:val="none" w:sz="0" w:space="0" w:color="auto"/>
        <w:bottom w:val="none" w:sz="0" w:space="0" w:color="auto"/>
        <w:right w:val="none" w:sz="0" w:space="0" w:color="auto"/>
      </w:divBdr>
    </w:div>
    <w:div w:id="1859270967">
      <w:bodyDiv w:val="1"/>
      <w:marLeft w:val="0"/>
      <w:marRight w:val="0"/>
      <w:marTop w:val="0"/>
      <w:marBottom w:val="0"/>
      <w:divBdr>
        <w:top w:val="none" w:sz="0" w:space="0" w:color="auto"/>
        <w:left w:val="none" w:sz="0" w:space="0" w:color="auto"/>
        <w:bottom w:val="none" w:sz="0" w:space="0" w:color="auto"/>
        <w:right w:val="none" w:sz="0" w:space="0" w:color="auto"/>
      </w:divBdr>
    </w:div>
    <w:div w:id="1863202598">
      <w:bodyDiv w:val="1"/>
      <w:marLeft w:val="0"/>
      <w:marRight w:val="0"/>
      <w:marTop w:val="0"/>
      <w:marBottom w:val="0"/>
      <w:divBdr>
        <w:top w:val="none" w:sz="0" w:space="0" w:color="auto"/>
        <w:left w:val="none" w:sz="0" w:space="0" w:color="auto"/>
        <w:bottom w:val="none" w:sz="0" w:space="0" w:color="auto"/>
        <w:right w:val="none" w:sz="0" w:space="0" w:color="auto"/>
      </w:divBdr>
      <w:divsChild>
        <w:div w:id="160001248">
          <w:marLeft w:val="0"/>
          <w:marRight w:val="0"/>
          <w:marTop w:val="0"/>
          <w:marBottom w:val="0"/>
          <w:divBdr>
            <w:top w:val="none" w:sz="0" w:space="0" w:color="auto"/>
            <w:left w:val="none" w:sz="0" w:space="0" w:color="auto"/>
            <w:bottom w:val="none" w:sz="0" w:space="0" w:color="auto"/>
            <w:right w:val="none" w:sz="0" w:space="0" w:color="auto"/>
          </w:divBdr>
          <w:divsChild>
            <w:div w:id="2055690260">
              <w:marLeft w:val="0"/>
              <w:marRight w:val="0"/>
              <w:marTop w:val="0"/>
              <w:marBottom w:val="0"/>
              <w:divBdr>
                <w:top w:val="none" w:sz="0" w:space="0" w:color="auto"/>
                <w:left w:val="single" w:sz="24" w:space="0" w:color="FFFFFF"/>
                <w:bottom w:val="none" w:sz="0" w:space="0" w:color="auto"/>
                <w:right w:val="none" w:sz="0" w:space="0" w:color="auto"/>
              </w:divBdr>
              <w:divsChild>
                <w:div w:id="1579053674">
                  <w:marLeft w:val="0"/>
                  <w:marRight w:val="0"/>
                  <w:marTop w:val="0"/>
                  <w:marBottom w:val="0"/>
                  <w:divBdr>
                    <w:top w:val="none" w:sz="0" w:space="0" w:color="auto"/>
                    <w:left w:val="none" w:sz="0" w:space="0" w:color="auto"/>
                    <w:bottom w:val="none" w:sz="0" w:space="0" w:color="auto"/>
                    <w:right w:val="none" w:sz="0" w:space="0" w:color="auto"/>
                  </w:divBdr>
                  <w:divsChild>
                    <w:div w:id="1533423011">
                      <w:marLeft w:val="120"/>
                      <w:marRight w:val="120"/>
                      <w:marTop w:val="0"/>
                      <w:marBottom w:val="0"/>
                      <w:divBdr>
                        <w:top w:val="none" w:sz="0" w:space="0" w:color="auto"/>
                        <w:left w:val="none" w:sz="0" w:space="0" w:color="auto"/>
                        <w:bottom w:val="none" w:sz="0" w:space="0" w:color="auto"/>
                        <w:right w:val="none" w:sz="0" w:space="0" w:color="auto"/>
                      </w:divBdr>
                      <w:divsChild>
                        <w:div w:id="2001887151">
                          <w:marLeft w:val="0"/>
                          <w:marRight w:val="0"/>
                          <w:marTop w:val="0"/>
                          <w:marBottom w:val="0"/>
                          <w:divBdr>
                            <w:top w:val="none" w:sz="0" w:space="0" w:color="auto"/>
                            <w:left w:val="none" w:sz="0" w:space="0" w:color="auto"/>
                            <w:bottom w:val="none" w:sz="0" w:space="0" w:color="auto"/>
                            <w:right w:val="none" w:sz="0" w:space="0" w:color="auto"/>
                          </w:divBdr>
                          <w:divsChild>
                            <w:div w:id="148328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63854374">
      <w:bodyDiv w:val="1"/>
      <w:marLeft w:val="0"/>
      <w:marRight w:val="0"/>
      <w:marTop w:val="0"/>
      <w:marBottom w:val="0"/>
      <w:divBdr>
        <w:top w:val="none" w:sz="0" w:space="0" w:color="auto"/>
        <w:left w:val="none" w:sz="0" w:space="0" w:color="auto"/>
        <w:bottom w:val="none" w:sz="0" w:space="0" w:color="auto"/>
        <w:right w:val="none" w:sz="0" w:space="0" w:color="auto"/>
      </w:divBdr>
    </w:div>
    <w:div w:id="1869491119">
      <w:bodyDiv w:val="1"/>
      <w:marLeft w:val="0"/>
      <w:marRight w:val="0"/>
      <w:marTop w:val="0"/>
      <w:marBottom w:val="0"/>
      <w:divBdr>
        <w:top w:val="none" w:sz="0" w:space="0" w:color="auto"/>
        <w:left w:val="none" w:sz="0" w:space="0" w:color="auto"/>
        <w:bottom w:val="none" w:sz="0" w:space="0" w:color="auto"/>
        <w:right w:val="none" w:sz="0" w:space="0" w:color="auto"/>
      </w:divBdr>
    </w:div>
    <w:div w:id="1872257900">
      <w:bodyDiv w:val="1"/>
      <w:marLeft w:val="0"/>
      <w:marRight w:val="0"/>
      <w:marTop w:val="0"/>
      <w:marBottom w:val="0"/>
      <w:divBdr>
        <w:top w:val="none" w:sz="0" w:space="0" w:color="auto"/>
        <w:left w:val="none" w:sz="0" w:space="0" w:color="auto"/>
        <w:bottom w:val="none" w:sz="0" w:space="0" w:color="auto"/>
        <w:right w:val="none" w:sz="0" w:space="0" w:color="auto"/>
      </w:divBdr>
    </w:div>
    <w:div w:id="1873612852">
      <w:bodyDiv w:val="1"/>
      <w:marLeft w:val="0"/>
      <w:marRight w:val="0"/>
      <w:marTop w:val="0"/>
      <w:marBottom w:val="0"/>
      <w:divBdr>
        <w:top w:val="none" w:sz="0" w:space="0" w:color="auto"/>
        <w:left w:val="none" w:sz="0" w:space="0" w:color="auto"/>
        <w:bottom w:val="none" w:sz="0" w:space="0" w:color="auto"/>
        <w:right w:val="none" w:sz="0" w:space="0" w:color="auto"/>
      </w:divBdr>
    </w:div>
    <w:div w:id="1875342310">
      <w:bodyDiv w:val="1"/>
      <w:marLeft w:val="0"/>
      <w:marRight w:val="0"/>
      <w:marTop w:val="0"/>
      <w:marBottom w:val="0"/>
      <w:divBdr>
        <w:top w:val="none" w:sz="0" w:space="0" w:color="auto"/>
        <w:left w:val="none" w:sz="0" w:space="0" w:color="auto"/>
        <w:bottom w:val="none" w:sz="0" w:space="0" w:color="auto"/>
        <w:right w:val="none" w:sz="0" w:space="0" w:color="auto"/>
      </w:divBdr>
    </w:div>
    <w:div w:id="1875917904">
      <w:bodyDiv w:val="1"/>
      <w:marLeft w:val="0"/>
      <w:marRight w:val="0"/>
      <w:marTop w:val="0"/>
      <w:marBottom w:val="0"/>
      <w:divBdr>
        <w:top w:val="none" w:sz="0" w:space="0" w:color="auto"/>
        <w:left w:val="none" w:sz="0" w:space="0" w:color="auto"/>
        <w:bottom w:val="none" w:sz="0" w:space="0" w:color="auto"/>
        <w:right w:val="none" w:sz="0" w:space="0" w:color="auto"/>
      </w:divBdr>
    </w:div>
    <w:div w:id="1882009617">
      <w:bodyDiv w:val="1"/>
      <w:marLeft w:val="0"/>
      <w:marRight w:val="0"/>
      <w:marTop w:val="0"/>
      <w:marBottom w:val="0"/>
      <w:divBdr>
        <w:top w:val="none" w:sz="0" w:space="0" w:color="auto"/>
        <w:left w:val="none" w:sz="0" w:space="0" w:color="auto"/>
        <w:bottom w:val="none" w:sz="0" w:space="0" w:color="auto"/>
        <w:right w:val="none" w:sz="0" w:space="0" w:color="auto"/>
      </w:divBdr>
    </w:div>
    <w:div w:id="1883786856">
      <w:bodyDiv w:val="1"/>
      <w:marLeft w:val="0"/>
      <w:marRight w:val="0"/>
      <w:marTop w:val="0"/>
      <w:marBottom w:val="0"/>
      <w:divBdr>
        <w:top w:val="none" w:sz="0" w:space="0" w:color="auto"/>
        <w:left w:val="none" w:sz="0" w:space="0" w:color="auto"/>
        <w:bottom w:val="none" w:sz="0" w:space="0" w:color="auto"/>
        <w:right w:val="none" w:sz="0" w:space="0" w:color="auto"/>
      </w:divBdr>
    </w:div>
    <w:div w:id="1886481857">
      <w:bodyDiv w:val="1"/>
      <w:marLeft w:val="0"/>
      <w:marRight w:val="0"/>
      <w:marTop w:val="0"/>
      <w:marBottom w:val="0"/>
      <w:divBdr>
        <w:top w:val="none" w:sz="0" w:space="0" w:color="auto"/>
        <w:left w:val="none" w:sz="0" w:space="0" w:color="auto"/>
        <w:bottom w:val="none" w:sz="0" w:space="0" w:color="auto"/>
        <w:right w:val="none" w:sz="0" w:space="0" w:color="auto"/>
      </w:divBdr>
    </w:div>
    <w:div w:id="1900282973">
      <w:bodyDiv w:val="1"/>
      <w:marLeft w:val="0"/>
      <w:marRight w:val="0"/>
      <w:marTop w:val="0"/>
      <w:marBottom w:val="0"/>
      <w:divBdr>
        <w:top w:val="none" w:sz="0" w:space="0" w:color="auto"/>
        <w:left w:val="none" w:sz="0" w:space="0" w:color="auto"/>
        <w:bottom w:val="none" w:sz="0" w:space="0" w:color="auto"/>
        <w:right w:val="none" w:sz="0" w:space="0" w:color="auto"/>
      </w:divBdr>
    </w:div>
    <w:div w:id="1903833737">
      <w:bodyDiv w:val="1"/>
      <w:marLeft w:val="0"/>
      <w:marRight w:val="0"/>
      <w:marTop w:val="0"/>
      <w:marBottom w:val="0"/>
      <w:divBdr>
        <w:top w:val="none" w:sz="0" w:space="0" w:color="auto"/>
        <w:left w:val="none" w:sz="0" w:space="0" w:color="auto"/>
        <w:bottom w:val="none" w:sz="0" w:space="0" w:color="auto"/>
        <w:right w:val="none" w:sz="0" w:space="0" w:color="auto"/>
      </w:divBdr>
    </w:div>
    <w:div w:id="1918510114">
      <w:bodyDiv w:val="1"/>
      <w:marLeft w:val="0"/>
      <w:marRight w:val="0"/>
      <w:marTop w:val="0"/>
      <w:marBottom w:val="0"/>
      <w:divBdr>
        <w:top w:val="none" w:sz="0" w:space="0" w:color="auto"/>
        <w:left w:val="none" w:sz="0" w:space="0" w:color="auto"/>
        <w:bottom w:val="none" w:sz="0" w:space="0" w:color="auto"/>
        <w:right w:val="none" w:sz="0" w:space="0" w:color="auto"/>
      </w:divBdr>
    </w:div>
    <w:div w:id="1920627045">
      <w:bodyDiv w:val="1"/>
      <w:marLeft w:val="0"/>
      <w:marRight w:val="0"/>
      <w:marTop w:val="0"/>
      <w:marBottom w:val="0"/>
      <w:divBdr>
        <w:top w:val="none" w:sz="0" w:space="0" w:color="auto"/>
        <w:left w:val="none" w:sz="0" w:space="0" w:color="auto"/>
        <w:bottom w:val="none" w:sz="0" w:space="0" w:color="auto"/>
        <w:right w:val="none" w:sz="0" w:space="0" w:color="auto"/>
      </w:divBdr>
    </w:div>
    <w:div w:id="1921404088">
      <w:bodyDiv w:val="1"/>
      <w:marLeft w:val="0"/>
      <w:marRight w:val="0"/>
      <w:marTop w:val="0"/>
      <w:marBottom w:val="0"/>
      <w:divBdr>
        <w:top w:val="none" w:sz="0" w:space="0" w:color="auto"/>
        <w:left w:val="none" w:sz="0" w:space="0" w:color="auto"/>
        <w:bottom w:val="none" w:sz="0" w:space="0" w:color="auto"/>
        <w:right w:val="none" w:sz="0" w:space="0" w:color="auto"/>
      </w:divBdr>
    </w:div>
    <w:div w:id="1924299325">
      <w:bodyDiv w:val="1"/>
      <w:marLeft w:val="0"/>
      <w:marRight w:val="0"/>
      <w:marTop w:val="0"/>
      <w:marBottom w:val="0"/>
      <w:divBdr>
        <w:top w:val="none" w:sz="0" w:space="0" w:color="auto"/>
        <w:left w:val="none" w:sz="0" w:space="0" w:color="auto"/>
        <w:bottom w:val="none" w:sz="0" w:space="0" w:color="auto"/>
        <w:right w:val="none" w:sz="0" w:space="0" w:color="auto"/>
      </w:divBdr>
    </w:div>
    <w:div w:id="1927575666">
      <w:bodyDiv w:val="1"/>
      <w:marLeft w:val="0"/>
      <w:marRight w:val="0"/>
      <w:marTop w:val="0"/>
      <w:marBottom w:val="0"/>
      <w:divBdr>
        <w:top w:val="none" w:sz="0" w:space="0" w:color="auto"/>
        <w:left w:val="none" w:sz="0" w:space="0" w:color="auto"/>
        <w:bottom w:val="none" w:sz="0" w:space="0" w:color="auto"/>
        <w:right w:val="none" w:sz="0" w:space="0" w:color="auto"/>
      </w:divBdr>
    </w:div>
    <w:div w:id="1947346418">
      <w:bodyDiv w:val="1"/>
      <w:marLeft w:val="0"/>
      <w:marRight w:val="0"/>
      <w:marTop w:val="0"/>
      <w:marBottom w:val="0"/>
      <w:divBdr>
        <w:top w:val="none" w:sz="0" w:space="0" w:color="auto"/>
        <w:left w:val="none" w:sz="0" w:space="0" w:color="auto"/>
        <w:bottom w:val="none" w:sz="0" w:space="0" w:color="auto"/>
        <w:right w:val="none" w:sz="0" w:space="0" w:color="auto"/>
      </w:divBdr>
    </w:div>
    <w:div w:id="1952125064">
      <w:bodyDiv w:val="1"/>
      <w:marLeft w:val="0"/>
      <w:marRight w:val="0"/>
      <w:marTop w:val="0"/>
      <w:marBottom w:val="0"/>
      <w:divBdr>
        <w:top w:val="none" w:sz="0" w:space="0" w:color="auto"/>
        <w:left w:val="none" w:sz="0" w:space="0" w:color="auto"/>
        <w:bottom w:val="none" w:sz="0" w:space="0" w:color="auto"/>
        <w:right w:val="none" w:sz="0" w:space="0" w:color="auto"/>
      </w:divBdr>
    </w:div>
    <w:div w:id="1962959441">
      <w:bodyDiv w:val="1"/>
      <w:marLeft w:val="0"/>
      <w:marRight w:val="0"/>
      <w:marTop w:val="0"/>
      <w:marBottom w:val="0"/>
      <w:divBdr>
        <w:top w:val="none" w:sz="0" w:space="0" w:color="auto"/>
        <w:left w:val="none" w:sz="0" w:space="0" w:color="auto"/>
        <w:bottom w:val="none" w:sz="0" w:space="0" w:color="auto"/>
        <w:right w:val="none" w:sz="0" w:space="0" w:color="auto"/>
      </w:divBdr>
    </w:div>
    <w:div w:id="1966735787">
      <w:bodyDiv w:val="1"/>
      <w:marLeft w:val="0"/>
      <w:marRight w:val="0"/>
      <w:marTop w:val="0"/>
      <w:marBottom w:val="0"/>
      <w:divBdr>
        <w:top w:val="none" w:sz="0" w:space="0" w:color="auto"/>
        <w:left w:val="none" w:sz="0" w:space="0" w:color="auto"/>
        <w:bottom w:val="none" w:sz="0" w:space="0" w:color="auto"/>
        <w:right w:val="none" w:sz="0" w:space="0" w:color="auto"/>
      </w:divBdr>
    </w:div>
    <w:div w:id="1970551951">
      <w:bodyDiv w:val="1"/>
      <w:marLeft w:val="0"/>
      <w:marRight w:val="0"/>
      <w:marTop w:val="0"/>
      <w:marBottom w:val="0"/>
      <w:divBdr>
        <w:top w:val="none" w:sz="0" w:space="0" w:color="auto"/>
        <w:left w:val="none" w:sz="0" w:space="0" w:color="auto"/>
        <w:bottom w:val="none" w:sz="0" w:space="0" w:color="auto"/>
        <w:right w:val="none" w:sz="0" w:space="0" w:color="auto"/>
      </w:divBdr>
    </w:div>
    <w:div w:id="1981156599">
      <w:bodyDiv w:val="1"/>
      <w:marLeft w:val="0"/>
      <w:marRight w:val="0"/>
      <w:marTop w:val="0"/>
      <w:marBottom w:val="0"/>
      <w:divBdr>
        <w:top w:val="none" w:sz="0" w:space="0" w:color="auto"/>
        <w:left w:val="none" w:sz="0" w:space="0" w:color="auto"/>
        <w:bottom w:val="none" w:sz="0" w:space="0" w:color="auto"/>
        <w:right w:val="none" w:sz="0" w:space="0" w:color="auto"/>
      </w:divBdr>
    </w:div>
    <w:div w:id="1981960414">
      <w:bodyDiv w:val="1"/>
      <w:marLeft w:val="0"/>
      <w:marRight w:val="0"/>
      <w:marTop w:val="0"/>
      <w:marBottom w:val="0"/>
      <w:divBdr>
        <w:top w:val="none" w:sz="0" w:space="0" w:color="auto"/>
        <w:left w:val="none" w:sz="0" w:space="0" w:color="auto"/>
        <w:bottom w:val="none" w:sz="0" w:space="0" w:color="auto"/>
        <w:right w:val="none" w:sz="0" w:space="0" w:color="auto"/>
      </w:divBdr>
    </w:div>
    <w:div w:id="1987321981">
      <w:bodyDiv w:val="1"/>
      <w:marLeft w:val="0"/>
      <w:marRight w:val="0"/>
      <w:marTop w:val="0"/>
      <w:marBottom w:val="0"/>
      <w:divBdr>
        <w:top w:val="none" w:sz="0" w:space="0" w:color="auto"/>
        <w:left w:val="none" w:sz="0" w:space="0" w:color="auto"/>
        <w:bottom w:val="none" w:sz="0" w:space="0" w:color="auto"/>
        <w:right w:val="none" w:sz="0" w:space="0" w:color="auto"/>
      </w:divBdr>
    </w:div>
    <w:div w:id="1988241965">
      <w:bodyDiv w:val="1"/>
      <w:marLeft w:val="0"/>
      <w:marRight w:val="0"/>
      <w:marTop w:val="0"/>
      <w:marBottom w:val="0"/>
      <w:divBdr>
        <w:top w:val="none" w:sz="0" w:space="0" w:color="auto"/>
        <w:left w:val="none" w:sz="0" w:space="0" w:color="auto"/>
        <w:bottom w:val="none" w:sz="0" w:space="0" w:color="auto"/>
        <w:right w:val="none" w:sz="0" w:space="0" w:color="auto"/>
      </w:divBdr>
    </w:div>
    <w:div w:id="2000889519">
      <w:bodyDiv w:val="1"/>
      <w:marLeft w:val="0"/>
      <w:marRight w:val="0"/>
      <w:marTop w:val="0"/>
      <w:marBottom w:val="0"/>
      <w:divBdr>
        <w:top w:val="none" w:sz="0" w:space="0" w:color="auto"/>
        <w:left w:val="none" w:sz="0" w:space="0" w:color="auto"/>
        <w:bottom w:val="none" w:sz="0" w:space="0" w:color="auto"/>
        <w:right w:val="none" w:sz="0" w:space="0" w:color="auto"/>
      </w:divBdr>
    </w:div>
    <w:div w:id="2004355739">
      <w:bodyDiv w:val="1"/>
      <w:marLeft w:val="0"/>
      <w:marRight w:val="0"/>
      <w:marTop w:val="0"/>
      <w:marBottom w:val="0"/>
      <w:divBdr>
        <w:top w:val="none" w:sz="0" w:space="0" w:color="auto"/>
        <w:left w:val="none" w:sz="0" w:space="0" w:color="auto"/>
        <w:bottom w:val="none" w:sz="0" w:space="0" w:color="auto"/>
        <w:right w:val="none" w:sz="0" w:space="0" w:color="auto"/>
      </w:divBdr>
    </w:div>
    <w:div w:id="2010910062">
      <w:bodyDiv w:val="1"/>
      <w:marLeft w:val="0"/>
      <w:marRight w:val="0"/>
      <w:marTop w:val="0"/>
      <w:marBottom w:val="0"/>
      <w:divBdr>
        <w:top w:val="none" w:sz="0" w:space="0" w:color="auto"/>
        <w:left w:val="none" w:sz="0" w:space="0" w:color="auto"/>
        <w:bottom w:val="none" w:sz="0" w:space="0" w:color="auto"/>
        <w:right w:val="none" w:sz="0" w:space="0" w:color="auto"/>
      </w:divBdr>
    </w:div>
    <w:div w:id="2013992496">
      <w:bodyDiv w:val="1"/>
      <w:marLeft w:val="0"/>
      <w:marRight w:val="0"/>
      <w:marTop w:val="0"/>
      <w:marBottom w:val="0"/>
      <w:divBdr>
        <w:top w:val="none" w:sz="0" w:space="0" w:color="auto"/>
        <w:left w:val="none" w:sz="0" w:space="0" w:color="auto"/>
        <w:bottom w:val="none" w:sz="0" w:space="0" w:color="auto"/>
        <w:right w:val="none" w:sz="0" w:space="0" w:color="auto"/>
      </w:divBdr>
    </w:div>
    <w:div w:id="2019427654">
      <w:bodyDiv w:val="1"/>
      <w:marLeft w:val="0"/>
      <w:marRight w:val="0"/>
      <w:marTop w:val="0"/>
      <w:marBottom w:val="0"/>
      <w:divBdr>
        <w:top w:val="none" w:sz="0" w:space="0" w:color="auto"/>
        <w:left w:val="none" w:sz="0" w:space="0" w:color="auto"/>
        <w:bottom w:val="none" w:sz="0" w:space="0" w:color="auto"/>
        <w:right w:val="none" w:sz="0" w:space="0" w:color="auto"/>
      </w:divBdr>
    </w:div>
    <w:div w:id="2020546237">
      <w:bodyDiv w:val="1"/>
      <w:marLeft w:val="0"/>
      <w:marRight w:val="0"/>
      <w:marTop w:val="0"/>
      <w:marBottom w:val="0"/>
      <w:divBdr>
        <w:top w:val="none" w:sz="0" w:space="0" w:color="auto"/>
        <w:left w:val="none" w:sz="0" w:space="0" w:color="auto"/>
        <w:bottom w:val="none" w:sz="0" w:space="0" w:color="auto"/>
        <w:right w:val="none" w:sz="0" w:space="0" w:color="auto"/>
      </w:divBdr>
    </w:div>
    <w:div w:id="2023162065">
      <w:bodyDiv w:val="1"/>
      <w:marLeft w:val="0"/>
      <w:marRight w:val="0"/>
      <w:marTop w:val="0"/>
      <w:marBottom w:val="0"/>
      <w:divBdr>
        <w:top w:val="none" w:sz="0" w:space="0" w:color="auto"/>
        <w:left w:val="none" w:sz="0" w:space="0" w:color="auto"/>
        <w:bottom w:val="none" w:sz="0" w:space="0" w:color="auto"/>
        <w:right w:val="none" w:sz="0" w:space="0" w:color="auto"/>
      </w:divBdr>
    </w:div>
    <w:div w:id="2025858591">
      <w:bodyDiv w:val="1"/>
      <w:marLeft w:val="0"/>
      <w:marRight w:val="0"/>
      <w:marTop w:val="0"/>
      <w:marBottom w:val="0"/>
      <w:divBdr>
        <w:top w:val="none" w:sz="0" w:space="0" w:color="auto"/>
        <w:left w:val="none" w:sz="0" w:space="0" w:color="auto"/>
        <w:bottom w:val="none" w:sz="0" w:space="0" w:color="auto"/>
        <w:right w:val="none" w:sz="0" w:space="0" w:color="auto"/>
      </w:divBdr>
    </w:div>
    <w:div w:id="2030108713">
      <w:bodyDiv w:val="1"/>
      <w:marLeft w:val="0"/>
      <w:marRight w:val="0"/>
      <w:marTop w:val="0"/>
      <w:marBottom w:val="0"/>
      <w:divBdr>
        <w:top w:val="none" w:sz="0" w:space="0" w:color="auto"/>
        <w:left w:val="none" w:sz="0" w:space="0" w:color="auto"/>
        <w:bottom w:val="none" w:sz="0" w:space="0" w:color="auto"/>
        <w:right w:val="none" w:sz="0" w:space="0" w:color="auto"/>
      </w:divBdr>
    </w:div>
    <w:div w:id="2034643955">
      <w:bodyDiv w:val="1"/>
      <w:marLeft w:val="0"/>
      <w:marRight w:val="0"/>
      <w:marTop w:val="0"/>
      <w:marBottom w:val="0"/>
      <w:divBdr>
        <w:top w:val="none" w:sz="0" w:space="0" w:color="auto"/>
        <w:left w:val="none" w:sz="0" w:space="0" w:color="auto"/>
        <w:bottom w:val="none" w:sz="0" w:space="0" w:color="auto"/>
        <w:right w:val="none" w:sz="0" w:space="0" w:color="auto"/>
      </w:divBdr>
    </w:div>
    <w:div w:id="2042127987">
      <w:bodyDiv w:val="1"/>
      <w:marLeft w:val="0"/>
      <w:marRight w:val="0"/>
      <w:marTop w:val="0"/>
      <w:marBottom w:val="0"/>
      <w:divBdr>
        <w:top w:val="none" w:sz="0" w:space="0" w:color="auto"/>
        <w:left w:val="none" w:sz="0" w:space="0" w:color="auto"/>
        <w:bottom w:val="none" w:sz="0" w:space="0" w:color="auto"/>
        <w:right w:val="none" w:sz="0" w:space="0" w:color="auto"/>
      </w:divBdr>
    </w:div>
    <w:div w:id="2042629646">
      <w:bodyDiv w:val="1"/>
      <w:marLeft w:val="0"/>
      <w:marRight w:val="0"/>
      <w:marTop w:val="0"/>
      <w:marBottom w:val="0"/>
      <w:divBdr>
        <w:top w:val="none" w:sz="0" w:space="0" w:color="auto"/>
        <w:left w:val="none" w:sz="0" w:space="0" w:color="auto"/>
        <w:bottom w:val="none" w:sz="0" w:space="0" w:color="auto"/>
        <w:right w:val="none" w:sz="0" w:space="0" w:color="auto"/>
      </w:divBdr>
    </w:div>
    <w:div w:id="2045788498">
      <w:bodyDiv w:val="1"/>
      <w:marLeft w:val="0"/>
      <w:marRight w:val="0"/>
      <w:marTop w:val="0"/>
      <w:marBottom w:val="0"/>
      <w:divBdr>
        <w:top w:val="none" w:sz="0" w:space="0" w:color="auto"/>
        <w:left w:val="none" w:sz="0" w:space="0" w:color="auto"/>
        <w:bottom w:val="none" w:sz="0" w:space="0" w:color="auto"/>
        <w:right w:val="none" w:sz="0" w:space="0" w:color="auto"/>
      </w:divBdr>
    </w:div>
    <w:div w:id="2051762643">
      <w:bodyDiv w:val="1"/>
      <w:marLeft w:val="0"/>
      <w:marRight w:val="0"/>
      <w:marTop w:val="0"/>
      <w:marBottom w:val="0"/>
      <w:divBdr>
        <w:top w:val="none" w:sz="0" w:space="0" w:color="auto"/>
        <w:left w:val="none" w:sz="0" w:space="0" w:color="auto"/>
        <w:bottom w:val="none" w:sz="0" w:space="0" w:color="auto"/>
        <w:right w:val="none" w:sz="0" w:space="0" w:color="auto"/>
      </w:divBdr>
    </w:div>
    <w:div w:id="2059238610">
      <w:bodyDiv w:val="1"/>
      <w:marLeft w:val="0"/>
      <w:marRight w:val="0"/>
      <w:marTop w:val="0"/>
      <w:marBottom w:val="0"/>
      <w:divBdr>
        <w:top w:val="none" w:sz="0" w:space="0" w:color="auto"/>
        <w:left w:val="none" w:sz="0" w:space="0" w:color="auto"/>
        <w:bottom w:val="none" w:sz="0" w:space="0" w:color="auto"/>
        <w:right w:val="none" w:sz="0" w:space="0" w:color="auto"/>
      </w:divBdr>
    </w:div>
    <w:div w:id="2062971713">
      <w:bodyDiv w:val="1"/>
      <w:marLeft w:val="0"/>
      <w:marRight w:val="0"/>
      <w:marTop w:val="0"/>
      <w:marBottom w:val="0"/>
      <w:divBdr>
        <w:top w:val="none" w:sz="0" w:space="0" w:color="auto"/>
        <w:left w:val="none" w:sz="0" w:space="0" w:color="auto"/>
        <w:bottom w:val="none" w:sz="0" w:space="0" w:color="auto"/>
        <w:right w:val="none" w:sz="0" w:space="0" w:color="auto"/>
      </w:divBdr>
    </w:div>
    <w:div w:id="2064598451">
      <w:bodyDiv w:val="1"/>
      <w:marLeft w:val="0"/>
      <w:marRight w:val="0"/>
      <w:marTop w:val="0"/>
      <w:marBottom w:val="0"/>
      <w:divBdr>
        <w:top w:val="none" w:sz="0" w:space="0" w:color="auto"/>
        <w:left w:val="none" w:sz="0" w:space="0" w:color="auto"/>
        <w:bottom w:val="none" w:sz="0" w:space="0" w:color="auto"/>
        <w:right w:val="none" w:sz="0" w:space="0" w:color="auto"/>
      </w:divBdr>
    </w:div>
    <w:div w:id="2065828650">
      <w:bodyDiv w:val="1"/>
      <w:marLeft w:val="0"/>
      <w:marRight w:val="0"/>
      <w:marTop w:val="0"/>
      <w:marBottom w:val="0"/>
      <w:divBdr>
        <w:top w:val="none" w:sz="0" w:space="0" w:color="auto"/>
        <w:left w:val="none" w:sz="0" w:space="0" w:color="auto"/>
        <w:bottom w:val="none" w:sz="0" w:space="0" w:color="auto"/>
        <w:right w:val="none" w:sz="0" w:space="0" w:color="auto"/>
      </w:divBdr>
    </w:div>
    <w:div w:id="2069955900">
      <w:bodyDiv w:val="1"/>
      <w:marLeft w:val="0"/>
      <w:marRight w:val="0"/>
      <w:marTop w:val="0"/>
      <w:marBottom w:val="0"/>
      <w:divBdr>
        <w:top w:val="none" w:sz="0" w:space="0" w:color="auto"/>
        <w:left w:val="none" w:sz="0" w:space="0" w:color="auto"/>
        <w:bottom w:val="none" w:sz="0" w:space="0" w:color="auto"/>
        <w:right w:val="none" w:sz="0" w:space="0" w:color="auto"/>
      </w:divBdr>
    </w:div>
    <w:div w:id="2085225942">
      <w:bodyDiv w:val="1"/>
      <w:marLeft w:val="0"/>
      <w:marRight w:val="0"/>
      <w:marTop w:val="0"/>
      <w:marBottom w:val="0"/>
      <w:divBdr>
        <w:top w:val="none" w:sz="0" w:space="0" w:color="auto"/>
        <w:left w:val="none" w:sz="0" w:space="0" w:color="auto"/>
        <w:bottom w:val="none" w:sz="0" w:space="0" w:color="auto"/>
        <w:right w:val="none" w:sz="0" w:space="0" w:color="auto"/>
      </w:divBdr>
    </w:div>
    <w:div w:id="2085761071">
      <w:bodyDiv w:val="1"/>
      <w:marLeft w:val="0"/>
      <w:marRight w:val="0"/>
      <w:marTop w:val="0"/>
      <w:marBottom w:val="0"/>
      <w:divBdr>
        <w:top w:val="none" w:sz="0" w:space="0" w:color="auto"/>
        <w:left w:val="none" w:sz="0" w:space="0" w:color="auto"/>
        <w:bottom w:val="none" w:sz="0" w:space="0" w:color="auto"/>
        <w:right w:val="none" w:sz="0" w:space="0" w:color="auto"/>
      </w:divBdr>
    </w:div>
    <w:div w:id="2090930492">
      <w:bodyDiv w:val="1"/>
      <w:marLeft w:val="0"/>
      <w:marRight w:val="0"/>
      <w:marTop w:val="0"/>
      <w:marBottom w:val="0"/>
      <w:divBdr>
        <w:top w:val="none" w:sz="0" w:space="0" w:color="auto"/>
        <w:left w:val="none" w:sz="0" w:space="0" w:color="auto"/>
        <w:bottom w:val="none" w:sz="0" w:space="0" w:color="auto"/>
        <w:right w:val="none" w:sz="0" w:space="0" w:color="auto"/>
      </w:divBdr>
    </w:div>
    <w:div w:id="2095515935">
      <w:bodyDiv w:val="1"/>
      <w:marLeft w:val="0"/>
      <w:marRight w:val="0"/>
      <w:marTop w:val="0"/>
      <w:marBottom w:val="0"/>
      <w:divBdr>
        <w:top w:val="none" w:sz="0" w:space="0" w:color="auto"/>
        <w:left w:val="none" w:sz="0" w:space="0" w:color="auto"/>
        <w:bottom w:val="none" w:sz="0" w:space="0" w:color="auto"/>
        <w:right w:val="none" w:sz="0" w:space="0" w:color="auto"/>
      </w:divBdr>
    </w:div>
    <w:div w:id="2106151496">
      <w:bodyDiv w:val="1"/>
      <w:marLeft w:val="0"/>
      <w:marRight w:val="0"/>
      <w:marTop w:val="0"/>
      <w:marBottom w:val="0"/>
      <w:divBdr>
        <w:top w:val="none" w:sz="0" w:space="0" w:color="auto"/>
        <w:left w:val="none" w:sz="0" w:space="0" w:color="auto"/>
        <w:bottom w:val="none" w:sz="0" w:space="0" w:color="auto"/>
        <w:right w:val="none" w:sz="0" w:space="0" w:color="auto"/>
      </w:divBdr>
    </w:div>
    <w:div w:id="2109885735">
      <w:bodyDiv w:val="1"/>
      <w:marLeft w:val="0"/>
      <w:marRight w:val="0"/>
      <w:marTop w:val="0"/>
      <w:marBottom w:val="0"/>
      <w:divBdr>
        <w:top w:val="none" w:sz="0" w:space="0" w:color="auto"/>
        <w:left w:val="none" w:sz="0" w:space="0" w:color="auto"/>
        <w:bottom w:val="none" w:sz="0" w:space="0" w:color="auto"/>
        <w:right w:val="none" w:sz="0" w:space="0" w:color="auto"/>
      </w:divBdr>
    </w:div>
    <w:div w:id="2111703374">
      <w:bodyDiv w:val="1"/>
      <w:marLeft w:val="0"/>
      <w:marRight w:val="0"/>
      <w:marTop w:val="0"/>
      <w:marBottom w:val="0"/>
      <w:divBdr>
        <w:top w:val="none" w:sz="0" w:space="0" w:color="auto"/>
        <w:left w:val="none" w:sz="0" w:space="0" w:color="auto"/>
        <w:bottom w:val="none" w:sz="0" w:space="0" w:color="auto"/>
        <w:right w:val="none" w:sz="0" w:space="0" w:color="auto"/>
      </w:divBdr>
    </w:div>
    <w:div w:id="2112583541">
      <w:bodyDiv w:val="1"/>
      <w:marLeft w:val="0"/>
      <w:marRight w:val="0"/>
      <w:marTop w:val="0"/>
      <w:marBottom w:val="0"/>
      <w:divBdr>
        <w:top w:val="none" w:sz="0" w:space="0" w:color="auto"/>
        <w:left w:val="none" w:sz="0" w:space="0" w:color="auto"/>
        <w:bottom w:val="none" w:sz="0" w:space="0" w:color="auto"/>
        <w:right w:val="none" w:sz="0" w:space="0" w:color="auto"/>
      </w:divBdr>
    </w:div>
    <w:div w:id="2117208086">
      <w:bodyDiv w:val="1"/>
      <w:marLeft w:val="0"/>
      <w:marRight w:val="0"/>
      <w:marTop w:val="0"/>
      <w:marBottom w:val="0"/>
      <w:divBdr>
        <w:top w:val="none" w:sz="0" w:space="0" w:color="auto"/>
        <w:left w:val="none" w:sz="0" w:space="0" w:color="auto"/>
        <w:bottom w:val="none" w:sz="0" w:space="0" w:color="auto"/>
        <w:right w:val="none" w:sz="0" w:space="0" w:color="auto"/>
      </w:divBdr>
    </w:div>
    <w:div w:id="2119713046">
      <w:bodyDiv w:val="1"/>
      <w:marLeft w:val="0"/>
      <w:marRight w:val="0"/>
      <w:marTop w:val="0"/>
      <w:marBottom w:val="0"/>
      <w:divBdr>
        <w:top w:val="none" w:sz="0" w:space="0" w:color="auto"/>
        <w:left w:val="none" w:sz="0" w:space="0" w:color="auto"/>
        <w:bottom w:val="none" w:sz="0" w:space="0" w:color="auto"/>
        <w:right w:val="none" w:sz="0" w:space="0" w:color="auto"/>
      </w:divBdr>
    </w:div>
    <w:div w:id="2121339140">
      <w:bodyDiv w:val="1"/>
      <w:marLeft w:val="0"/>
      <w:marRight w:val="0"/>
      <w:marTop w:val="0"/>
      <w:marBottom w:val="0"/>
      <w:divBdr>
        <w:top w:val="none" w:sz="0" w:space="0" w:color="auto"/>
        <w:left w:val="none" w:sz="0" w:space="0" w:color="auto"/>
        <w:bottom w:val="none" w:sz="0" w:space="0" w:color="auto"/>
        <w:right w:val="none" w:sz="0" w:space="0" w:color="auto"/>
      </w:divBdr>
    </w:div>
    <w:div w:id="2132822528">
      <w:bodyDiv w:val="1"/>
      <w:marLeft w:val="0"/>
      <w:marRight w:val="0"/>
      <w:marTop w:val="0"/>
      <w:marBottom w:val="0"/>
      <w:divBdr>
        <w:top w:val="none" w:sz="0" w:space="0" w:color="auto"/>
        <w:left w:val="none" w:sz="0" w:space="0" w:color="auto"/>
        <w:bottom w:val="none" w:sz="0" w:space="0" w:color="auto"/>
        <w:right w:val="none" w:sz="0" w:space="0" w:color="auto"/>
      </w:divBdr>
    </w:div>
    <w:div w:id="2138796261">
      <w:bodyDiv w:val="1"/>
      <w:marLeft w:val="0"/>
      <w:marRight w:val="0"/>
      <w:marTop w:val="0"/>
      <w:marBottom w:val="0"/>
      <w:divBdr>
        <w:top w:val="none" w:sz="0" w:space="0" w:color="auto"/>
        <w:left w:val="none" w:sz="0" w:space="0" w:color="auto"/>
        <w:bottom w:val="none" w:sz="0" w:space="0" w:color="auto"/>
        <w:right w:val="none" w:sz="0" w:space="0" w:color="auto"/>
      </w:divBdr>
    </w:div>
    <w:div w:id="2140340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header" Target="header10.xml"/><Relationship Id="rId39" Type="http://schemas.openxmlformats.org/officeDocument/2006/relationships/hyperlink" Target="http://www.telecom.gov.sk/index/index.php?ids=147132" TargetMode="External"/><Relationship Id="rId21" Type="http://schemas.openxmlformats.org/officeDocument/2006/relationships/image" Target="media/image3.png"/><Relationship Id="rId34" Type="http://schemas.openxmlformats.org/officeDocument/2006/relationships/header" Target="header15.xml"/><Relationship Id="rId42" Type="http://schemas.openxmlformats.org/officeDocument/2006/relationships/hyperlink" Target="http://www.telecom.gov.sk/index/index.php?ids=147132" TargetMode="External"/><Relationship Id="rId47" Type="http://schemas.openxmlformats.org/officeDocument/2006/relationships/hyperlink" Target="http://www.rokovania.sk/Rokovanie.aspx/BodRokovaniaDetail?idMaterial=23177" TargetMode="External"/><Relationship Id="rId50" Type="http://schemas.openxmlformats.org/officeDocument/2006/relationships/hyperlink" Target="http://www.rokovania.sk/Rokovanie.aspx/BodRokovaniaDetail?idMaterial=23177" TargetMode="External"/><Relationship Id="rId55" Type="http://schemas.openxmlformats.org/officeDocument/2006/relationships/footer" Target="footer8.xml"/><Relationship Id="rId63" Type="http://schemas.openxmlformats.org/officeDocument/2006/relationships/header" Target="header23.xml"/><Relationship Id="rId68"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8.xml"/><Relationship Id="rId32" Type="http://schemas.openxmlformats.org/officeDocument/2006/relationships/header" Target="header14.xml"/><Relationship Id="rId37" Type="http://schemas.openxmlformats.org/officeDocument/2006/relationships/header" Target="header17.xml"/><Relationship Id="rId40" Type="http://schemas.openxmlformats.org/officeDocument/2006/relationships/hyperlink" Target="http://www.telecom.gov.sk" TargetMode="External"/><Relationship Id="rId45" Type="http://schemas.openxmlformats.org/officeDocument/2006/relationships/hyperlink" Target="http://www.telecom.gov.sk/index/index.php?ids=147132" TargetMode="External"/><Relationship Id="rId53" Type="http://schemas.openxmlformats.org/officeDocument/2006/relationships/hyperlink" Target="http://www.rokovania.sk/Rokovanie.aspx/BodRokovaniaDetail?idMaterial=23177" TargetMode="External"/><Relationship Id="rId58" Type="http://schemas.openxmlformats.org/officeDocument/2006/relationships/header" Target="header20.xml"/><Relationship Id="rId66"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7.xml"/><Relationship Id="rId28" Type="http://schemas.openxmlformats.org/officeDocument/2006/relationships/header" Target="header12.xml"/><Relationship Id="rId36" Type="http://schemas.openxmlformats.org/officeDocument/2006/relationships/image" Target="media/image5.jpeg"/><Relationship Id="rId49" Type="http://schemas.openxmlformats.org/officeDocument/2006/relationships/hyperlink" Target="http://www.rokovania.sk/Rokovanie.aspx/BodRokovaniaDetail?idMaterial=23177" TargetMode="External"/><Relationship Id="rId57" Type="http://schemas.openxmlformats.org/officeDocument/2006/relationships/footer" Target="footer9.xml"/><Relationship Id="rId61" Type="http://schemas.openxmlformats.org/officeDocument/2006/relationships/header" Target="header22.xml"/><Relationship Id="rId10" Type="http://schemas.openxmlformats.org/officeDocument/2006/relationships/header" Target="header1.xml"/><Relationship Id="rId19" Type="http://schemas.openxmlformats.org/officeDocument/2006/relationships/chart" Target="charts/chart1.xml"/><Relationship Id="rId31" Type="http://schemas.openxmlformats.org/officeDocument/2006/relationships/footer" Target="footer6.xml"/><Relationship Id="rId44" Type="http://schemas.openxmlformats.org/officeDocument/2006/relationships/hyperlink" Target="http://www.telecom.gov.sk/index/index.php?ids=147132" TargetMode="External"/><Relationship Id="rId52" Type="http://schemas.openxmlformats.org/officeDocument/2006/relationships/hyperlink" Target="http://www.rokovania.sk/Rokovanie.aspx/BodRokovaniaDetail?idMaterial=23177" TargetMode="External"/><Relationship Id="rId60" Type="http://schemas.openxmlformats.org/officeDocument/2006/relationships/footer" Target="footer10.xm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image" Target="media/image4.png"/><Relationship Id="rId27" Type="http://schemas.openxmlformats.org/officeDocument/2006/relationships/header" Target="header11.xml"/><Relationship Id="rId30" Type="http://schemas.openxmlformats.org/officeDocument/2006/relationships/footer" Target="footer5.xml"/><Relationship Id="rId35" Type="http://schemas.openxmlformats.org/officeDocument/2006/relationships/header" Target="header16.xml"/><Relationship Id="rId43" Type="http://schemas.openxmlformats.org/officeDocument/2006/relationships/hyperlink" Target="http://www.telecom.gov.sk" TargetMode="External"/><Relationship Id="rId48" Type="http://schemas.openxmlformats.org/officeDocument/2006/relationships/hyperlink" Target="http://www.rokovania.sk/Rokovanie.aspx/BodRokovaniaDetail?idMaterial=23177" TargetMode="External"/><Relationship Id="rId56" Type="http://schemas.openxmlformats.org/officeDocument/2006/relationships/header" Target="header19.xml"/><Relationship Id="rId64" Type="http://schemas.openxmlformats.org/officeDocument/2006/relationships/fontTable" Target="fontTable.xml"/><Relationship Id="rId69" Type="http://schemas.openxmlformats.org/officeDocument/2006/relationships/customXml" Target="../customXml/item4.xml"/><Relationship Id="rId8" Type="http://schemas.openxmlformats.org/officeDocument/2006/relationships/image" Target="media/image1.gif"/><Relationship Id="rId51" Type="http://schemas.openxmlformats.org/officeDocument/2006/relationships/hyperlink" Target="http://www.rokovania.sk/Rokovanie.aspx/BodRokovaniaDetail?idMaterial=23177" TargetMode="Externa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header" Target="header9.xml"/><Relationship Id="rId33" Type="http://schemas.openxmlformats.org/officeDocument/2006/relationships/footer" Target="footer7.xml"/><Relationship Id="rId38" Type="http://schemas.openxmlformats.org/officeDocument/2006/relationships/hyperlink" Target="http://www.telecom.gov.sk/index/index.php?ids=147132" TargetMode="External"/><Relationship Id="rId46" Type="http://schemas.openxmlformats.org/officeDocument/2006/relationships/hyperlink" Target="http://www.telecom.gov.sk" TargetMode="External"/><Relationship Id="rId59" Type="http://schemas.openxmlformats.org/officeDocument/2006/relationships/header" Target="header21.xml"/><Relationship Id="rId67" Type="http://schemas.openxmlformats.org/officeDocument/2006/relationships/customXml" Target="../customXml/item2.xml"/><Relationship Id="rId20" Type="http://schemas.openxmlformats.org/officeDocument/2006/relationships/header" Target="header6.xml"/><Relationship Id="rId41" Type="http://schemas.openxmlformats.org/officeDocument/2006/relationships/hyperlink" Target="http://www.telecom.gov.sk/index/index.php?ids=147132" TargetMode="External"/><Relationship Id="rId54" Type="http://schemas.openxmlformats.org/officeDocument/2006/relationships/header" Target="header18.xml"/><Relationship Id="rId62" Type="http://schemas.openxmlformats.org/officeDocument/2006/relationships/footer" Target="footer11.xml"/></Relationships>
</file>

<file path=word/_rels/footnotes.xml.rels><?xml version="1.0" encoding="UTF-8" standalone="yes"?>
<Relationships xmlns="http://schemas.openxmlformats.org/package/2006/relationships"><Relationship Id="rId8" Type="http://schemas.openxmlformats.org/officeDocument/2006/relationships/hyperlink" Target="http://www.minv.sk/?atlas_2013" TargetMode="External"/><Relationship Id="rId13" Type="http://schemas.openxmlformats.org/officeDocument/2006/relationships/hyperlink" Target="http://www.rokovania.sk/File.aspx/ViewDocumentHtml/Mater-Dokum-141217?prefixFile=m_" TargetMode="External"/><Relationship Id="rId3" Type="http://schemas.openxmlformats.org/officeDocument/2006/relationships/hyperlink" Target="http://www.telecom.gov.sk/files/statistika_vud/preprava_nakl.htm" TargetMode="External"/><Relationship Id="rId7" Type="http://schemas.openxmlformats.org/officeDocument/2006/relationships/hyperlink" Target="http://www.rokovania.sk/Rokovanie.aspx/BodRokovaniaDetail?idMaterial=19457" TargetMode="External"/><Relationship Id="rId12" Type="http://schemas.openxmlformats.org/officeDocument/2006/relationships/hyperlink" Target="http://eur-lex.europa.eu/LexUriServ/LexUriServ.do?uri=COM:2013:0083:FIN:SK:PDF" TargetMode="External"/><Relationship Id="rId2" Type="http://schemas.openxmlformats.org/officeDocument/2006/relationships/hyperlink" Target="http://www.zssk.sk" TargetMode="External"/><Relationship Id="rId1" Type="http://schemas.openxmlformats.org/officeDocument/2006/relationships/hyperlink" Target="http://www.telecom.gov.sk/files/statistika_vud/preprava_nakl.htm" TargetMode="External"/><Relationship Id="rId6" Type="http://schemas.openxmlformats.org/officeDocument/2006/relationships/hyperlink" Target="http://eur-lex.europa.eu/LexUriServ/LexUriServ.do?uri=COM:2010:0715:FIN:SK:HTML" TargetMode="External"/><Relationship Id="rId11" Type="http://schemas.openxmlformats.org/officeDocument/2006/relationships/hyperlink" Target="http://ec.europa.eu/justice/discrimination/files/com_2013_460_en.pdf" TargetMode="External"/><Relationship Id="rId5" Type="http://schemas.openxmlformats.org/officeDocument/2006/relationships/hyperlink" Target="http://epp.eurostat.ec.europa.eu/statistics_explained/index.php?title=File:Modal_split_of_inland_freight_transport,_2000_and_2010_(1)_(%25_of_total_inland_tkm).png&amp;filetimestamp=20121016055006" TargetMode="External"/><Relationship Id="rId10" Type="http://schemas.openxmlformats.org/officeDocument/2006/relationships/hyperlink" Target="http://www.minv.sk/?romske-komunity-uvod&amp;subor=160529" TargetMode="External"/><Relationship Id="rId4" Type="http://schemas.openxmlformats.org/officeDocument/2006/relationships/hyperlink" Target="http://www.cdb.sk/sk/Vystupy-CDB/Statisticke-prehlady/Dlzky-cestnych-komunikacii.alej" TargetMode="External"/><Relationship Id="rId9" Type="http://schemas.openxmlformats.org/officeDocument/2006/relationships/hyperlink" Target="http://www.minv.sk/swift_data/source/romovia/dokumenty/StrategiaSR_integraciaRomov.pdf"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Pracovn__h_rok_programu_Microsoft_Office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sk-SK"/>
  <c:chart>
    <c:autoTitleDeleted val="1"/>
    <c:plotArea>
      <c:layout/>
      <c:barChart>
        <c:barDir val="bar"/>
        <c:grouping val="clustered"/>
        <c:ser>
          <c:idx val="0"/>
          <c:order val="0"/>
          <c:tx>
            <c:strRef>
              <c:f>Hárok1!$B$1</c:f>
              <c:strCache>
                <c:ptCount val="1"/>
                <c:pt idx="0">
                  <c:v>Stĺpec1</c:v>
                </c:pt>
              </c:strCache>
            </c:strRef>
          </c:tx>
          <c:dPt>
            <c:idx val="0"/>
            <c:spPr>
              <a:solidFill>
                <a:schemeClr val="accent2"/>
              </a:solidFill>
            </c:spPr>
          </c:dPt>
          <c:dLbls>
            <c:dLbl>
              <c:idx val="0"/>
              <c:layout>
                <c:manualLayout>
                  <c:x val="0"/>
                  <c:y val="-1.7638888888888943E-2"/>
                </c:manualLayout>
              </c:layout>
              <c:showVal val="1"/>
            </c:dLbl>
            <c:spPr>
              <a:solidFill>
                <a:schemeClr val="bg1"/>
              </a:solidFill>
            </c:spPr>
            <c:txPr>
              <a:bodyPr/>
              <a:lstStyle/>
              <a:p>
                <a:pPr>
                  <a:defRPr>
                    <a:latin typeface="Arial Narrow" pitchFamily="34" charset="0"/>
                  </a:defRPr>
                </a:pPr>
                <a:endParaRPr lang="sk-SK"/>
              </a:p>
            </c:txPr>
            <c:showVal val="1"/>
          </c:dLbls>
          <c:cat>
            <c:strRef>
              <c:f>Hárok1!$A$2:$A$7</c:f>
              <c:strCache>
                <c:ptCount val="6"/>
                <c:pt idx="0">
                  <c:v>Slovenská republika</c:v>
                </c:pt>
                <c:pt idx="1">
                  <c:v>Poľská republika</c:v>
                </c:pt>
                <c:pt idx="2">
                  <c:v>Rakúsko</c:v>
                </c:pt>
                <c:pt idx="3">
                  <c:v>Maďarsko</c:v>
                </c:pt>
                <c:pt idx="4">
                  <c:v>Česká republika</c:v>
                </c:pt>
                <c:pt idx="5">
                  <c:v>EÚ 28 (bez Malty a Lotyšska)</c:v>
                </c:pt>
              </c:strCache>
            </c:strRef>
          </c:cat>
          <c:val>
            <c:numRef>
              <c:f>Hárok1!$B$2:$B$7</c:f>
              <c:numCache>
                <c:formatCode>General</c:formatCode>
                <c:ptCount val="6"/>
                <c:pt idx="0">
                  <c:v>8.5</c:v>
                </c:pt>
                <c:pt idx="1">
                  <c:v>3.4</c:v>
                </c:pt>
                <c:pt idx="2">
                  <c:v>20.5</c:v>
                </c:pt>
                <c:pt idx="3">
                  <c:v>12.7</c:v>
                </c:pt>
                <c:pt idx="4">
                  <c:v>9.4</c:v>
                </c:pt>
                <c:pt idx="5">
                  <c:v>16.399999999999999</c:v>
                </c:pt>
              </c:numCache>
            </c:numRef>
          </c:val>
        </c:ser>
        <c:gapWidth val="190"/>
        <c:axId val="100751232"/>
        <c:axId val="100752768"/>
      </c:barChart>
      <c:catAx>
        <c:axId val="100751232"/>
        <c:scaling>
          <c:orientation val="minMax"/>
        </c:scaling>
        <c:axPos val="l"/>
        <c:tickLblPos val="nextTo"/>
        <c:txPr>
          <a:bodyPr/>
          <a:lstStyle/>
          <a:p>
            <a:pPr>
              <a:defRPr>
                <a:latin typeface="Arial Narrow" pitchFamily="34" charset="0"/>
              </a:defRPr>
            </a:pPr>
            <a:endParaRPr lang="sk-SK"/>
          </a:p>
        </c:txPr>
        <c:crossAx val="100752768"/>
        <c:crosses val="autoZero"/>
        <c:auto val="1"/>
        <c:lblAlgn val="ctr"/>
        <c:lblOffset val="100"/>
      </c:catAx>
      <c:valAx>
        <c:axId val="100752768"/>
        <c:scaling>
          <c:orientation val="minMax"/>
        </c:scaling>
        <c:axPos val="b"/>
        <c:majorGridlines>
          <c:spPr>
            <a:ln w="3175">
              <a:solidFill>
                <a:schemeClr val="bg1">
                  <a:lumMod val="75000"/>
                </a:schemeClr>
              </a:solidFill>
            </a:ln>
          </c:spPr>
        </c:majorGridlines>
        <c:numFmt formatCode="General" sourceLinked="1"/>
        <c:tickLblPos val="nextTo"/>
        <c:crossAx val="100751232"/>
        <c:crosses val="autoZero"/>
        <c:crossBetween val="between"/>
      </c:valAx>
    </c:plotArea>
    <c:plotVisOnly val="1"/>
    <c:dispBlanksAs val="gap"/>
  </c:chart>
  <c:spPr>
    <a:ln>
      <a:noFill/>
    </a:ln>
  </c:spPr>
  <c:externalData r:id="rId1"/>
</c:chartSpace>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279c20c3caf3300dae6b438536eb8c56">
  <xsd:schema xmlns:xsd="http://www.w3.org/2001/XMLSchema" xmlns:p="http://schemas.microsoft.com/office/2006/metadata/properties" targetNamespace="http://schemas.microsoft.com/office/2006/metadata/properties" ma:root="true" ma:fieldsID="0d2e1ca116041f9e11471c52c4c9d60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BCCDAAF2-4F47-44A5-8F58-06AAAC64DD96}"/>
</file>

<file path=customXml/itemProps2.xml><?xml version="1.0" encoding="utf-8"?>
<ds:datastoreItem xmlns:ds="http://schemas.openxmlformats.org/officeDocument/2006/customXml" ds:itemID="{2D59FDA1-B4E7-4AD1-9890-4D5219B747DB}"/>
</file>

<file path=customXml/itemProps3.xml><?xml version="1.0" encoding="utf-8"?>
<ds:datastoreItem xmlns:ds="http://schemas.openxmlformats.org/officeDocument/2006/customXml" ds:itemID="{AD9E5E4D-691F-4953-9363-76269864DC96}"/>
</file>

<file path=customXml/itemProps4.xml><?xml version="1.0" encoding="utf-8"?>
<ds:datastoreItem xmlns:ds="http://schemas.openxmlformats.org/officeDocument/2006/customXml" ds:itemID="{18C5A249-B42F-4E70-B3CE-DE1BCFD2B2ED}"/>
</file>

<file path=docProps/app.xml><?xml version="1.0" encoding="utf-8"?>
<Properties xmlns="http://schemas.openxmlformats.org/officeDocument/2006/extended-properties" xmlns:vt="http://schemas.openxmlformats.org/officeDocument/2006/docPropsVTypes">
  <Template>Normal.dotm</Template>
  <TotalTime>197</TotalTime>
  <Pages>155</Pages>
  <Words>56106</Words>
  <Characters>376280</Characters>
  <Application>Microsoft Office Word</Application>
  <DocSecurity>0</DocSecurity>
  <Lines>3135</Lines>
  <Paragraphs>863</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Operačný program Integrovaná infraštruktúra 2014 - 2020</vt:lpstr>
      <vt:lpstr>Výročná správa o implementácii OPD za rok 2009</vt:lpstr>
    </vt:vector>
  </TitlesOfParts>
  <Company>Ministerstvo financií</Company>
  <LinksUpToDate>false</LinksUpToDate>
  <CharactersWithSpaces>431523</CharactersWithSpaces>
  <SharedDoc>false</SharedDoc>
  <HLinks>
    <vt:vector size="672" baseType="variant">
      <vt:variant>
        <vt:i4>1048628</vt:i4>
      </vt:variant>
      <vt:variant>
        <vt:i4>804</vt:i4>
      </vt:variant>
      <vt:variant>
        <vt:i4>0</vt:i4>
      </vt:variant>
      <vt:variant>
        <vt:i4>5</vt:i4>
      </vt:variant>
      <vt:variant>
        <vt:lpwstr/>
      </vt:variant>
      <vt:variant>
        <vt:lpwstr>_Toc258398791</vt:lpwstr>
      </vt:variant>
      <vt:variant>
        <vt:i4>1048628</vt:i4>
      </vt:variant>
      <vt:variant>
        <vt:i4>798</vt:i4>
      </vt:variant>
      <vt:variant>
        <vt:i4>0</vt:i4>
      </vt:variant>
      <vt:variant>
        <vt:i4>5</vt:i4>
      </vt:variant>
      <vt:variant>
        <vt:lpwstr/>
      </vt:variant>
      <vt:variant>
        <vt:lpwstr>_Toc258398790</vt:lpwstr>
      </vt:variant>
      <vt:variant>
        <vt:i4>1114164</vt:i4>
      </vt:variant>
      <vt:variant>
        <vt:i4>792</vt:i4>
      </vt:variant>
      <vt:variant>
        <vt:i4>0</vt:i4>
      </vt:variant>
      <vt:variant>
        <vt:i4>5</vt:i4>
      </vt:variant>
      <vt:variant>
        <vt:lpwstr/>
      </vt:variant>
      <vt:variant>
        <vt:lpwstr>_Toc258398789</vt:lpwstr>
      </vt:variant>
      <vt:variant>
        <vt:i4>1114164</vt:i4>
      </vt:variant>
      <vt:variant>
        <vt:i4>786</vt:i4>
      </vt:variant>
      <vt:variant>
        <vt:i4>0</vt:i4>
      </vt:variant>
      <vt:variant>
        <vt:i4>5</vt:i4>
      </vt:variant>
      <vt:variant>
        <vt:lpwstr/>
      </vt:variant>
      <vt:variant>
        <vt:lpwstr>_Toc258398788</vt:lpwstr>
      </vt:variant>
      <vt:variant>
        <vt:i4>1114164</vt:i4>
      </vt:variant>
      <vt:variant>
        <vt:i4>780</vt:i4>
      </vt:variant>
      <vt:variant>
        <vt:i4>0</vt:i4>
      </vt:variant>
      <vt:variant>
        <vt:i4>5</vt:i4>
      </vt:variant>
      <vt:variant>
        <vt:lpwstr/>
      </vt:variant>
      <vt:variant>
        <vt:lpwstr>_Toc258398787</vt:lpwstr>
      </vt:variant>
      <vt:variant>
        <vt:i4>1114164</vt:i4>
      </vt:variant>
      <vt:variant>
        <vt:i4>774</vt:i4>
      </vt:variant>
      <vt:variant>
        <vt:i4>0</vt:i4>
      </vt:variant>
      <vt:variant>
        <vt:i4>5</vt:i4>
      </vt:variant>
      <vt:variant>
        <vt:lpwstr/>
      </vt:variant>
      <vt:variant>
        <vt:lpwstr>_Toc258398786</vt:lpwstr>
      </vt:variant>
      <vt:variant>
        <vt:i4>1114164</vt:i4>
      </vt:variant>
      <vt:variant>
        <vt:i4>768</vt:i4>
      </vt:variant>
      <vt:variant>
        <vt:i4>0</vt:i4>
      </vt:variant>
      <vt:variant>
        <vt:i4>5</vt:i4>
      </vt:variant>
      <vt:variant>
        <vt:lpwstr/>
      </vt:variant>
      <vt:variant>
        <vt:lpwstr>_Toc258398785</vt:lpwstr>
      </vt:variant>
      <vt:variant>
        <vt:i4>1114164</vt:i4>
      </vt:variant>
      <vt:variant>
        <vt:i4>762</vt:i4>
      </vt:variant>
      <vt:variant>
        <vt:i4>0</vt:i4>
      </vt:variant>
      <vt:variant>
        <vt:i4>5</vt:i4>
      </vt:variant>
      <vt:variant>
        <vt:lpwstr/>
      </vt:variant>
      <vt:variant>
        <vt:lpwstr>_Toc258398784</vt:lpwstr>
      </vt:variant>
      <vt:variant>
        <vt:i4>1114164</vt:i4>
      </vt:variant>
      <vt:variant>
        <vt:i4>756</vt:i4>
      </vt:variant>
      <vt:variant>
        <vt:i4>0</vt:i4>
      </vt:variant>
      <vt:variant>
        <vt:i4>5</vt:i4>
      </vt:variant>
      <vt:variant>
        <vt:lpwstr/>
      </vt:variant>
      <vt:variant>
        <vt:lpwstr>_Toc258398783</vt:lpwstr>
      </vt:variant>
      <vt:variant>
        <vt:i4>1114164</vt:i4>
      </vt:variant>
      <vt:variant>
        <vt:i4>750</vt:i4>
      </vt:variant>
      <vt:variant>
        <vt:i4>0</vt:i4>
      </vt:variant>
      <vt:variant>
        <vt:i4>5</vt:i4>
      </vt:variant>
      <vt:variant>
        <vt:lpwstr/>
      </vt:variant>
      <vt:variant>
        <vt:lpwstr>_Toc258398782</vt:lpwstr>
      </vt:variant>
      <vt:variant>
        <vt:i4>1114164</vt:i4>
      </vt:variant>
      <vt:variant>
        <vt:i4>744</vt:i4>
      </vt:variant>
      <vt:variant>
        <vt:i4>0</vt:i4>
      </vt:variant>
      <vt:variant>
        <vt:i4>5</vt:i4>
      </vt:variant>
      <vt:variant>
        <vt:lpwstr/>
      </vt:variant>
      <vt:variant>
        <vt:lpwstr>_Toc258398781</vt:lpwstr>
      </vt:variant>
      <vt:variant>
        <vt:i4>1114164</vt:i4>
      </vt:variant>
      <vt:variant>
        <vt:i4>738</vt:i4>
      </vt:variant>
      <vt:variant>
        <vt:i4>0</vt:i4>
      </vt:variant>
      <vt:variant>
        <vt:i4>5</vt:i4>
      </vt:variant>
      <vt:variant>
        <vt:lpwstr/>
      </vt:variant>
      <vt:variant>
        <vt:lpwstr>_Toc258398780</vt:lpwstr>
      </vt:variant>
      <vt:variant>
        <vt:i4>1966132</vt:i4>
      </vt:variant>
      <vt:variant>
        <vt:i4>732</vt:i4>
      </vt:variant>
      <vt:variant>
        <vt:i4>0</vt:i4>
      </vt:variant>
      <vt:variant>
        <vt:i4>5</vt:i4>
      </vt:variant>
      <vt:variant>
        <vt:lpwstr/>
      </vt:variant>
      <vt:variant>
        <vt:lpwstr>_Toc258398779</vt:lpwstr>
      </vt:variant>
      <vt:variant>
        <vt:i4>1966132</vt:i4>
      </vt:variant>
      <vt:variant>
        <vt:i4>726</vt:i4>
      </vt:variant>
      <vt:variant>
        <vt:i4>0</vt:i4>
      </vt:variant>
      <vt:variant>
        <vt:i4>5</vt:i4>
      </vt:variant>
      <vt:variant>
        <vt:lpwstr/>
      </vt:variant>
      <vt:variant>
        <vt:lpwstr>_Toc258398778</vt:lpwstr>
      </vt:variant>
      <vt:variant>
        <vt:i4>1966132</vt:i4>
      </vt:variant>
      <vt:variant>
        <vt:i4>720</vt:i4>
      </vt:variant>
      <vt:variant>
        <vt:i4>0</vt:i4>
      </vt:variant>
      <vt:variant>
        <vt:i4>5</vt:i4>
      </vt:variant>
      <vt:variant>
        <vt:lpwstr/>
      </vt:variant>
      <vt:variant>
        <vt:lpwstr>_Toc258398777</vt:lpwstr>
      </vt:variant>
      <vt:variant>
        <vt:i4>1966132</vt:i4>
      </vt:variant>
      <vt:variant>
        <vt:i4>714</vt:i4>
      </vt:variant>
      <vt:variant>
        <vt:i4>0</vt:i4>
      </vt:variant>
      <vt:variant>
        <vt:i4>5</vt:i4>
      </vt:variant>
      <vt:variant>
        <vt:lpwstr/>
      </vt:variant>
      <vt:variant>
        <vt:lpwstr>_Toc258398776</vt:lpwstr>
      </vt:variant>
      <vt:variant>
        <vt:i4>1966132</vt:i4>
      </vt:variant>
      <vt:variant>
        <vt:i4>708</vt:i4>
      </vt:variant>
      <vt:variant>
        <vt:i4>0</vt:i4>
      </vt:variant>
      <vt:variant>
        <vt:i4>5</vt:i4>
      </vt:variant>
      <vt:variant>
        <vt:lpwstr/>
      </vt:variant>
      <vt:variant>
        <vt:lpwstr>_Toc258398775</vt:lpwstr>
      </vt:variant>
      <vt:variant>
        <vt:i4>1966132</vt:i4>
      </vt:variant>
      <vt:variant>
        <vt:i4>702</vt:i4>
      </vt:variant>
      <vt:variant>
        <vt:i4>0</vt:i4>
      </vt:variant>
      <vt:variant>
        <vt:i4>5</vt:i4>
      </vt:variant>
      <vt:variant>
        <vt:lpwstr/>
      </vt:variant>
      <vt:variant>
        <vt:lpwstr>_Toc258398774</vt:lpwstr>
      </vt:variant>
      <vt:variant>
        <vt:i4>1966132</vt:i4>
      </vt:variant>
      <vt:variant>
        <vt:i4>696</vt:i4>
      </vt:variant>
      <vt:variant>
        <vt:i4>0</vt:i4>
      </vt:variant>
      <vt:variant>
        <vt:i4>5</vt:i4>
      </vt:variant>
      <vt:variant>
        <vt:lpwstr/>
      </vt:variant>
      <vt:variant>
        <vt:lpwstr>_Toc258398773</vt:lpwstr>
      </vt:variant>
      <vt:variant>
        <vt:i4>1966132</vt:i4>
      </vt:variant>
      <vt:variant>
        <vt:i4>690</vt:i4>
      </vt:variant>
      <vt:variant>
        <vt:i4>0</vt:i4>
      </vt:variant>
      <vt:variant>
        <vt:i4>5</vt:i4>
      </vt:variant>
      <vt:variant>
        <vt:lpwstr/>
      </vt:variant>
      <vt:variant>
        <vt:lpwstr>_Toc258398772</vt:lpwstr>
      </vt:variant>
      <vt:variant>
        <vt:i4>1966132</vt:i4>
      </vt:variant>
      <vt:variant>
        <vt:i4>684</vt:i4>
      </vt:variant>
      <vt:variant>
        <vt:i4>0</vt:i4>
      </vt:variant>
      <vt:variant>
        <vt:i4>5</vt:i4>
      </vt:variant>
      <vt:variant>
        <vt:lpwstr/>
      </vt:variant>
      <vt:variant>
        <vt:lpwstr>_Toc258398771</vt:lpwstr>
      </vt:variant>
      <vt:variant>
        <vt:i4>1966132</vt:i4>
      </vt:variant>
      <vt:variant>
        <vt:i4>678</vt:i4>
      </vt:variant>
      <vt:variant>
        <vt:i4>0</vt:i4>
      </vt:variant>
      <vt:variant>
        <vt:i4>5</vt:i4>
      </vt:variant>
      <vt:variant>
        <vt:lpwstr/>
      </vt:variant>
      <vt:variant>
        <vt:lpwstr>_Toc258398770</vt:lpwstr>
      </vt:variant>
      <vt:variant>
        <vt:i4>2031668</vt:i4>
      </vt:variant>
      <vt:variant>
        <vt:i4>672</vt:i4>
      </vt:variant>
      <vt:variant>
        <vt:i4>0</vt:i4>
      </vt:variant>
      <vt:variant>
        <vt:i4>5</vt:i4>
      </vt:variant>
      <vt:variant>
        <vt:lpwstr/>
      </vt:variant>
      <vt:variant>
        <vt:lpwstr>_Toc258398769</vt:lpwstr>
      </vt:variant>
      <vt:variant>
        <vt:i4>2031668</vt:i4>
      </vt:variant>
      <vt:variant>
        <vt:i4>666</vt:i4>
      </vt:variant>
      <vt:variant>
        <vt:i4>0</vt:i4>
      </vt:variant>
      <vt:variant>
        <vt:i4>5</vt:i4>
      </vt:variant>
      <vt:variant>
        <vt:lpwstr/>
      </vt:variant>
      <vt:variant>
        <vt:lpwstr>_Toc258398768</vt:lpwstr>
      </vt:variant>
      <vt:variant>
        <vt:i4>2031668</vt:i4>
      </vt:variant>
      <vt:variant>
        <vt:i4>660</vt:i4>
      </vt:variant>
      <vt:variant>
        <vt:i4>0</vt:i4>
      </vt:variant>
      <vt:variant>
        <vt:i4>5</vt:i4>
      </vt:variant>
      <vt:variant>
        <vt:lpwstr/>
      </vt:variant>
      <vt:variant>
        <vt:lpwstr>_Toc258398767</vt:lpwstr>
      </vt:variant>
      <vt:variant>
        <vt:i4>2031668</vt:i4>
      </vt:variant>
      <vt:variant>
        <vt:i4>654</vt:i4>
      </vt:variant>
      <vt:variant>
        <vt:i4>0</vt:i4>
      </vt:variant>
      <vt:variant>
        <vt:i4>5</vt:i4>
      </vt:variant>
      <vt:variant>
        <vt:lpwstr/>
      </vt:variant>
      <vt:variant>
        <vt:lpwstr>_Toc258398766</vt:lpwstr>
      </vt:variant>
      <vt:variant>
        <vt:i4>2031668</vt:i4>
      </vt:variant>
      <vt:variant>
        <vt:i4>648</vt:i4>
      </vt:variant>
      <vt:variant>
        <vt:i4>0</vt:i4>
      </vt:variant>
      <vt:variant>
        <vt:i4>5</vt:i4>
      </vt:variant>
      <vt:variant>
        <vt:lpwstr/>
      </vt:variant>
      <vt:variant>
        <vt:lpwstr>_Toc258398765</vt:lpwstr>
      </vt:variant>
      <vt:variant>
        <vt:i4>2031668</vt:i4>
      </vt:variant>
      <vt:variant>
        <vt:i4>642</vt:i4>
      </vt:variant>
      <vt:variant>
        <vt:i4>0</vt:i4>
      </vt:variant>
      <vt:variant>
        <vt:i4>5</vt:i4>
      </vt:variant>
      <vt:variant>
        <vt:lpwstr/>
      </vt:variant>
      <vt:variant>
        <vt:lpwstr>_Toc258398764</vt:lpwstr>
      </vt:variant>
      <vt:variant>
        <vt:i4>2031668</vt:i4>
      </vt:variant>
      <vt:variant>
        <vt:i4>636</vt:i4>
      </vt:variant>
      <vt:variant>
        <vt:i4>0</vt:i4>
      </vt:variant>
      <vt:variant>
        <vt:i4>5</vt:i4>
      </vt:variant>
      <vt:variant>
        <vt:lpwstr/>
      </vt:variant>
      <vt:variant>
        <vt:lpwstr>_Toc258398763</vt:lpwstr>
      </vt:variant>
      <vt:variant>
        <vt:i4>2031668</vt:i4>
      </vt:variant>
      <vt:variant>
        <vt:i4>630</vt:i4>
      </vt:variant>
      <vt:variant>
        <vt:i4>0</vt:i4>
      </vt:variant>
      <vt:variant>
        <vt:i4>5</vt:i4>
      </vt:variant>
      <vt:variant>
        <vt:lpwstr/>
      </vt:variant>
      <vt:variant>
        <vt:lpwstr>_Toc258398762</vt:lpwstr>
      </vt:variant>
      <vt:variant>
        <vt:i4>2031668</vt:i4>
      </vt:variant>
      <vt:variant>
        <vt:i4>624</vt:i4>
      </vt:variant>
      <vt:variant>
        <vt:i4>0</vt:i4>
      </vt:variant>
      <vt:variant>
        <vt:i4>5</vt:i4>
      </vt:variant>
      <vt:variant>
        <vt:lpwstr/>
      </vt:variant>
      <vt:variant>
        <vt:lpwstr>_Toc258398761</vt:lpwstr>
      </vt:variant>
      <vt:variant>
        <vt:i4>2031668</vt:i4>
      </vt:variant>
      <vt:variant>
        <vt:i4>618</vt:i4>
      </vt:variant>
      <vt:variant>
        <vt:i4>0</vt:i4>
      </vt:variant>
      <vt:variant>
        <vt:i4>5</vt:i4>
      </vt:variant>
      <vt:variant>
        <vt:lpwstr/>
      </vt:variant>
      <vt:variant>
        <vt:lpwstr>_Toc258398760</vt:lpwstr>
      </vt:variant>
      <vt:variant>
        <vt:i4>1835060</vt:i4>
      </vt:variant>
      <vt:variant>
        <vt:i4>612</vt:i4>
      </vt:variant>
      <vt:variant>
        <vt:i4>0</vt:i4>
      </vt:variant>
      <vt:variant>
        <vt:i4>5</vt:i4>
      </vt:variant>
      <vt:variant>
        <vt:lpwstr/>
      </vt:variant>
      <vt:variant>
        <vt:lpwstr>_Toc258398759</vt:lpwstr>
      </vt:variant>
      <vt:variant>
        <vt:i4>6750305</vt:i4>
      </vt:variant>
      <vt:variant>
        <vt:i4>607</vt:i4>
      </vt:variant>
      <vt:variant>
        <vt:i4>0</vt:i4>
      </vt:variant>
      <vt:variant>
        <vt:i4>5</vt:i4>
      </vt:variant>
      <vt:variant>
        <vt:lpwstr>../../../../../../Documents and Settings/palko/Application Data/Microsoft/Word/www.nsrr.sk</vt:lpwstr>
      </vt:variant>
      <vt:variant>
        <vt:lpwstr/>
      </vt:variant>
      <vt:variant>
        <vt:i4>3211374</vt:i4>
      </vt:variant>
      <vt:variant>
        <vt:i4>604</vt:i4>
      </vt:variant>
      <vt:variant>
        <vt:i4>0</vt:i4>
      </vt:variant>
      <vt:variant>
        <vt:i4>5</vt:i4>
      </vt:variant>
      <vt:variant>
        <vt:lpwstr>www.mdpt-opd.sk</vt:lpwstr>
      </vt:variant>
      <vt:variant>
        <vt:lpwstr/>
      </vt:variant>
      <vt:variant>
        <vt:i4>7340091</vt:i4>
      </vt:variant>
      <vt:variant>
        <vt:i4>601</vt:i4>
      </vt:variant>
      <vt:variant>
        <vt:i4>0</vt:i4>
      </vt:variant>
      <vt:variant>
        <vt:i4>5</vt:i4>
      </vt:variant>
      <vt:variant>
        <vt:lpwstr>http://www.telecom.gov.sk/</vt:lpwstr>
      </vt:variant>
      <vt:variant>
        <vt:lpwstr/>
      </vt:variant>
      <vt:variant>
        <vt:i4>4849683</vt:i4>
      </vt:variant>
      <vt:variant>
        <vt:i4>598</vt:i4>
      </vt:variant>
      <vt:variant>
        <vt:i4>0</vt:i4>
      </vt:variant>
      <vt:variant>
        <vt:i4>5</vt:i4>
      </vt:variant>
      <vt:variant>
        <vt:lpwstr>../../../../../../Documents and Settings/palko/Application Data/Microsoft/Word/www.telecom.gov.sk</vt:lpwstr>
      </vt:variant>
      <vt:variant>
        <vt:lpwstr/>
      </vt:variant>
      <vt:variant>
        <vt:i4>4849683</vt:i4>
      </vt:variant>
      <vt:variant>
        <vt:i4>595</vt:i4>
      </vt:variant>
      <vt:variant>
        <vt:i4>0</vt:i4>
      </vt:variant>
      <vt:variant>
        <vt:i4>5</vt:i4>
      </vt:variant>
      <vt:variant>
        <vt:lpwstr>../../../../../../Documents and Settings/palko/Application Data/Microsoft/Word/www.telecom.gov.sk</vt:lpwstr>
      </vt:variant>
      <vt:variant>
        <vt:lpwstr/>
      </vt:variant>
      <vt:variant>
        <vt:i4>6750305</vt:i4>
      </vt:variant>
      <vt:variant>
        <vt:i4>592</vt:i4>
      </vt:variant>
      <vt:variant>
        <vt:i4>0</vt:i4>
      </vt:variant>
      <vt:variant>
        <vt:i4>5</vt:i4>
      </vt:variant>
      <vt:variant>
        <vt:lpwstr>../../../../../../Documents and Settings/palko/Application Data/Microsoft/Word/www.nsrr.sk</vt:lpwstr>
      </vt:variant>
      <vt:variant>
        <vt:lpwstr/>
      </vt:variant>
      <vt:variant>
        <vt:i4>7340091</vt:i4>
      </vt:variant>
      <vt:variant>
        <vt:i4>586</vt:i4>
      </vt:variant>
      <vt:variant>
        <vt:i4>0</vt:i4>
      </vt:variant>
      <vt:variant>
        <vt:i4>5</vt:i4>
      </vt:variant>
      <vt:variant>
        <vt:lpwstr>http://www.telecom.gov.sk/</vt:lpwstr>
      </vt:variant>
      <vt:variant>
        <vt:lpwstr/>
      </vt:variant>
      <vt:variant>
        <vt:i4>2097218</vt:i4>
      </vt:variant>
      <vt:variant>
        <vt:i4>495</vt:i4>
      </vt:variant>
      <vt:variant>
        <vt:i4>0</vt:i4>
      </vt:variant>
      <vt:variant>
        <vt:i4>5</vt:i4>
      </vt:variant>
      <vt:variant>
        <vt:lpwstr>http://sk.wikipedia.org/wiki/Horn%C3%A9_Ozorovce</vt:lpwstr>
      </vt:variant>
      <vt:variant>
        <vt:lpwstr/>
      </vt:variant>
      <vt:variant>
        <vt:i4>3276866</vt:i4>
      </vt:variant>
      <vt:variant>
        <vt:i4>492</vt:i4>
      </vt:variant>
      <vt:variant>
        <vt:i4>0</vt:i4>
      </vt:variant>
      <vt:variant>
        <vt:i4>5</vt:i4>
      </vt:variant>
      <vt:variant>
        <vt:lpwstr>http://sk.wikipedia.org/wiki/Doln%C3%A9_Ozorovce</vt:lpwstr>
      </vt:variant>
      <vt:variant>
        <vt:lpwstr/>
      </vt:variant>
      <vt:variant>
        <vt:i4>4849683</vt:i4>
      </vt:variant>
      <vt:variant>
        <vt:i4>393</vt:i4>
      </vt:variant>
      <vt:variant>
        <vt:i4>0</vt:i4>
      </vt:variant>
      <vt:variant>
        <vt:i4>5</vt:i4>
      </vt:variant>
      <vt:variant>
        <vt:lpwstr>../../../../../../Documents and Settings/palko/Application Data/Microsoft/Word/www.telecom.gov.sk</vt:lpwstr>
      </vt:variant>
      <vt:variant>
        <vt:lpwstr/>
      </vt:variant>
      <vt:variant>
        <vt:i4>2949162</vt:i4>
      </vt:variant>
      <vt:variant>
        <vt:i4>390</vt:i4>
      </vt:variant>
      <vt:variant>
        <vt:i4>0</vt:i4>
      </vt:variant>
      <vt:variant>
        <vt:i4>5</vt:i4>
      </vt:variant>
      <vt:variant>
        <vt:lpwstr>www.itms.sk</vt:lpwstr>
      </vt:variant>
      <vt:variant>
        <vt:lpwstr/>
      </vt:variant>
      <vt:variant>
        <vt:i4>4849683</vt:i4>
      </vt:variant>
      <vt:variant>
        <vt:i4>387</vt:i4>
      </vt:variant>
      <vt:variant>
        <vt:i4>0</vt:i4>
      </vt:variant>
      <vt:variant>
        <vt:i4>5</vt:i4>
      </vt:variant>
      <vt:variant>
        <vt:lpwstr>../../../../../../Documents and Settings/palko/Application Data/Microsoft/Word/www.telecom.gov.sk</vt:lpwstr>
      </vt:variant>
      <vt:variant>
        <vt:lpwstr/>
      </vt:variant>
      <vt:variant>
        <vt:i4>8192037</vt:i4>
      </vt:variant>
      <vt:variant>
        <vt:i4>384</vt:i4>
      </vt:variant>
      <vt:variant>
        <vt:i4>0</vt:i4>
      </vt:variant>
      <vt:variant>
        <vt:i4>5</vt:i4>
      </vt:variant>
      <vt:variant>
        <vt:lpwstr>../../../../../../Documents and Settings/palko/Application Data/Microsoft/Documents and Settings/Hajnik/Local Settings/Temp/notes6030C8/www.telecom.gov.sk</vt:lpwstr>
      </vt:variant>
      <vt:variant>
        <vt:lpwstr/>
      </vt:variant>
      <vt:variant>
        <vt:i4>8192037</vt:i4>
      </vt:variant>
      <vt:variant>
        <vt:i4>381</vt:i4>
      </vt:variant>
      <vt:variant>
        <vt:i4>0</vt:i4>
      </vt:variant>
      <vt:variant>
        <vt:i4>5</vt:i4>
      </vt:variant>
      <vt:variant>
        <vt:lpwstr>../../../../../../Documents and Settings/palko/Application Data/Microsoft/Documents and Settings/Hajnik/Local Settings/Temp/notes6030C8/www.telecom.gov.sk</vt:lpwstr>
      </vt:variant>
      <vt:variant>
        <vt:lpwstr/>
      </vt:variant>
      <vt:variant>
        <vt:i4>4849683</vt:i4>
      </vt:variant>
      <vt:variant>
        <vt:i4>378</vt:i4>
      </vt:variant>
      <vt:variant>
        <vt:i4>0</vt:i4>
      </vt:variant>
      <vt:variant>
        <vt:i4>5</vt:i4>
      </vt:variant>
      <vt:variant>
        <vt:lpwstr>../../../../../../Documents and Settings/palko/Application Data/Microsoft/Word/www.telecom.gov.sk</vt:lpwstr>
      </vt:variant>
      <vt:variant>
        <vt:lpwstr/>
      </vt:variant>
      <vt:variant>
        <vt:i4>7340148</vt:i4>
      </vt:variant>
      <vt:variant>
        <vt:i4>375</vt:i4>
      </vt:variant>
      <vt:variant>
        <vt:i4>0</vt:i4>
      </vt:variant>
      <vt:variant>
        <vt:i4>5</vt:i4>
      </vt:variant>
      <vt:variant>
        <vt:lpwstr>http://www.vlada.gov.sk/6578/rada-vlady-pre-regionalnu-politiku-a-dohlad-nad-strukturalnymi-operaciami.php</vt:lpwstr>
      </vt:variant>
      <vt:variant>
        <vt:lpwstr/>
      </vt:variant>
      <vt:variant>
        <vt:i4>7340091</vt:i4>
      </vt:variant>
      <vt:variant>
        <vt:i4>372</vt:i4>
      </vt:variant>
      <vt:variant>
        <vt:i4>0</vt:i4>
      </vt:variant>
      <vt:variant>
        <vt:i4>5</vt:i4>
      </vt:variant>
      <vt:variant>
        <vt:lpwstr>http://www.telecom.gov.sk/</vt:lpwstr>
      </vt:variant>
      <vt:variant>
        <vt:lpwstr/>
      </vt:variant>
      <vt:variant>
        <vt:i4>8192037</vt:i4>
      </vt:variant>
      <vt:variant>
        <vt:i4>369</vt:i4>
      </vt:variant>
      <vt:variant>
        <vt:i4>0</vt:i4>
      </vt:variant>
      <vt:variant>
        <vt:i4>5</vt:i4>
      </vt:variant>
      <vt:variant>
        <vt:lpwstr>../../../../../../Documents and Settings/palko/Application Data/Microsoft/Documents and Settings/Hajnik/Local Settings/Temp/notes6030C8/www.telecom.gov.sk</vt:lpwstr>
      </vt:variant>
      <vt:variant>
        <vt:lpwstr/>
      </vt:variant>
      <vt:variant>
        <vt:i4>1310782</vt:i4>
      </vt:variant>
      <vt:variant>
        <vt:i4>356</vt:i4>
      </vt:variant>
      <vt:variant>
        <vt:i4>0</vt:i4>
      </vt:variant>
      <vt:variant>
        <vt:i4>5</vt:i4>
      </vt:variant>
      <vt:variant>
        <vt:lpwstr/>
      </vt:variant>
      <vt:variant>
        <vt:lpwstr>_Toc279746153</vt:lpwstr>
      </vt:variant>
      <vt:variant>
        <vt:i4>1310782</vt:i4>
      </vt:variant>
      <vt:variant>
        <vt:i4>350</vt:i4>
      </vt:variant>
      <vt:variant>
        <vt:i4>0</vt:i4>
      </vt:variant>
      <vt:variant>
        <vt:i4>5</vt:i4>
      </vt:variant>
      <vt:variant>
        <vt:lpwstr/>
      </vt:variant>
      <vt:variant>
        <vt:lpwstr>_Toc279746152</vt:lpwstr>
      </vt:variant>
      <vt:variant>
        <vt:i4>1310782</vt:i4>
      </vt:variant>
      <vt:variant>
        <vt:i4>344</vt:i4>
      </vt:variant>
      <vt:variant>
        <vt:i4>0</vt:i4>
      </vt:variant>
      <vt:variant>
        <vt:i4>5</vt:i4>
      </vt:variant>
      <vt:variant>
        <vt:lpwstr/>
      </vt:variant>
      <vt:variant>
        <vt:lpwstr>_Toc279746151</vt:lpwstr>
      </vt:variant>
      <vt:variant>
        <vt:i4>1310782</vt:i4>
      </vt:variant>
      <vt:variant>
        <vt:i4>338</vt:i4>
      </vt:variant>
      <vt:variant>
        <vt:i4>0</vt:i4>
      </vt:variant>
      <vt:variant>
        <vt:i4>5</vt:i4>
      </vt:variant>
      <vt:variant>
        <vt:lpwstr/>
      </vt:variant>
      <vt:variant>
        <vt:lpwstr>_Toc279746150</vt:lpwstr>
      </vt:variant>
      <vt:variant>
        <vt:i4>1376318</vt:i4>
      </vt:variant>
      <vt:variant>
        <vt:i4>332</vt:i4>
      </vt:variant>
      <vt:variant>
        <vt:i4>0</vt:i4>
      </vt:variant>
      <vt:variant>
        <vt:i4>5</vt:i4>
      </vt:variant>
      <vt:variant>
        <vt:lpwstr/>
      </vt:variant>
      <vt:variant>
        <vt:lpwstr>_Toc279746149</vt:lpwstr>
      </vt:variant>
      <vt:variant>
        <vt:i4>1376318</vt:i4>
      </vt:variant>
      <vt:variant>
        <vt:i4>326</vt:i4>
      </vt:variant>
      <vt:variant>
        <vt:i4>0</vt:i4>
      </vt:variant>
      <vt:variant>
        <vt:i4>5</vt:i4>
      </vt:variant>
      <vt:variant>
        <vt:lpwstr/>
      </vt:variant>
      <vt:variant>
        <vt:lpwstr>_Toc279746148</vt:lpwstr>
      </vt:variant>
      <vt:variant>
        <vt:i4>1376318</vt:i4>
      </vt:variant>
      <vt:variant>
        <vt:i4>320</vt:i4>
      </vt:variant>
      <vt:variant>
        <vt:i4>0</vt:i4>
      </vt:variant>
      <vt:variant>
        <vt:i4>5</vt:i4>
      </vt:variant>
      <vt:variant>
        <vt:lpwstr/>
      </vt:variant>
      <vt:variant>
        <vt:lpwstr>_Toc279746147</vt:lpwstr>
      </vt:variant>
      <vt:variant>
        <vt:i4>1376318</vt:i4>
      </vt:variant>
      <vt:variant>
        <vt:i4>314</vt:i4>
      </vt:variant>
      <vt:variant>
        <vt:i4>0</vt:i4>
      </vt:variant>
      <vt:variant>
        <vt:i4>5</vt:i4>
      </vt:variant>
      <vt:variant>
        <vt:lpwstr/>
      </vt:variant>
      <vt:variant>
        <vt:lpwstr>_Toc279746146</vt:lpwstr>
      </vt:variant>
      <vt:variant>
        <vt:i4>1376318</vt:i4>
      </vt:variant>
      <vt:variant>
        <vt:i4>308</vt:i4>
      </vt:variant>
      <vt:variant>
        <vt:i4>0</vt:i4>
      </vt:variant>
      <vt:variant>
        <vt:i4>5</vt:i4>
      </vt:variant>
      <vt:variant>
        <vt:lpwstr/>
      </vt:variant>
      <vt:variant>
        <vt:lpwstr>_Toc279746145</vt:lpwstr>
      </vt:variant>
      <vt:variant>
        <vt:i4>1376318</vt:i4>
      </vt:variant>
      <vt:variant>
        <vt:i4>302</vt:i4>
      </vt:variant>
      <vt:variant>
        <vt:i4>0</vt:i4>
      </vt:variant>
      <vt:variant>
        <vt:i4>5</vt:i4>
      </vt:variant>
      <vt:variant>
        <vt:lpwstr/>
      </vt:variant>
      <vt:variant>
        <vt:lpwstr>_Toc279746144</vt:lpwstr>
      </vt:variant>
      <vt:variant>
        <vt:i4>1376318</vt:i4>
      </vt:variant>
      <vt:variant>
        <vt:i4>296</vt:i4>
      </vt:variant>
      <vt:variant>
        <vt:i4>0</vt:i4>
      </vt:variant>
      <vt:variant>
        <vt:i4>5</vt:i4>
      </vt:variant>
      <vt:variant>
        <vt:lpwstr/>
      </vt:variant>
      <vt:variant>
        <vt:lpwstr>_Toc279746143</vt:lpwstr>
      </vt:variant>
      <vt:variant>
        <vt:i4>1376318</vt:i4>
      </vt:variant>
      <vt:variant>
        <vt:i4>290</vt:i4>
      </vt:variant>
      <vt:variant>
        <vt:i4>0</vt:i4>
      </vt:variant>
      <vt:variant>
        <vt:i4>5</vt:i4>
      </vt:variant>
      <vt:variant>
        <vt:lpwstr/>
      </vt:variant>
      <vt:variant>
        <vt:lpwstr>_Toc279746142</vt:lpwstr>
      </vt:variant>
      <vt:variant>
        <vt:i4>1376318</vt:i4>
      </vt:variant>
      <vt:variant>
        <vt:i4>284</vt:i4>
      </vt:variant>
      <vt:variant>
        <vt:i4>0</vt:i4>
      </vt:variant>
      <vt:variant>
        <vt:i4>5</vt:i4>
      </vt:variant>
      <vt:variant>
        <vt:lpwstr/>
      </vt:variant>
      <vt:variant>
        <vt:lpwstr>_Toc279746141</vt:lpwstr>
      </vt:variant>
      <vt:variant>
        <vt:i4>1376318</vt:i4>
      </vt:variant>
      <vt:variant>
        <vt:i4>278</vt:i4>
      </vt:variant>
      <vt:variant>
        <vt:i4>0</vt:i4>
      </vt:variant>
      <vt:variant>
        <vt:i4>5</vt:i4>
      </vt:variant>
      <vt:variant>
        <vt:lpwstr/>
      </vt:variant>
      <vt:variant>
        <vt:lpwstr>_Toc279746140</vt:lpwstr>
      </vt:variant>
      <vt:variant>
        <vt:i4>1179710</vt:i4>
      </vt:variant>
      <vt:variant>
        <vt:i4>272</vt:i4>
      </vt:variant>
      <vt:variant>
        <vt:i4>0</vt:i4>
      </vt:variant>
      <vt:variant>
        <vt:i4>5</vt:i4>
      </vt:variant>
      <vt:variant>
        <vt:lpwstr/>
      </vt:variant>
      <vt:variant>
        <vt:lpwstr>_Toc279746139</vt:lpwstr>
      </vt:variant>
      <vt:variant>
        <vt:i4>1179710</vt:i4>
      </vt:variant>
      <vt:variant>
        <vt:i4>266</vt:i4>
      </vt:variant>
      <vt:variant>
        <vt:i4>0</vt:i4>
      </vt:variant>
      <vt:variant>
        <vt:i4>5</vt:i4>
      </vt:variant>
      <vt:variant>
        <vt:lpwstr/>
      </vt:variant>
      <vt:variant>
        <vt:lpwstr>_Toc279746138</vt:lpwstr>
      </vt:variant>
      <vt:variant>
        <vt:i4>1179710</vt:i4>
      </vt:variant>
      <vt:variant>
        <vt:i4>260</vt:i4>
      </vt:variant>
      <vt:variant>
        <vt:i4>0</vt:i4>
      </vt:variant>
      <vt:variant>
        <vt:i4>5</vt:i4>
      </vt:variant>
      <vt:variant>
        <vt:lpwstr/>
      </vt:variant>
      <vt:variant>
        <vt:lpwstr>_Toc279746137</vt:lpwstr>
      </vt:variant>
      <vt:variant>
        <vt:i4>1179710</vt:i4>
      </vt:variant>
      <vt:variant>
        <vt:i4>254</vt:i4>
      </vt:variant>
      <vt:variant>
        <vt:i4>0</vt:i4>
      </vt:variant>
      <vt:variant>
        <vt:i4>5</vt:i4>
      </vt:variant>
      <vt:variant>
        <vt:lpwstr/>
      </vt:variant>
      <vt:variant>
        <vt:lpwstr>_Toc279746136</vt:lpwstr>
      </vt:variant>
      <vt:variant>
        <vt:i4>1179710</vt:i4>
      </vt:variant>
      <vt:variant>
        <vt:i4>248</vt:i4>
      </vt:variant>
      <vt:variant>
        <vt:i4>0</vt:i4>
      </vt:variant>
      <vt:variant>
        <vt:i4>5</vt:i4>
      </vt:variant>
      <vt:variant>
        <vt:lpwstr/>
      </vt:variant>
      <vt:variant>
        <vt:lpwstr>_Toc279746135</vt:lpwstr>
      </vt:variant>
      <vt:variant>
        <vt:i4>1179710</vt:i4>
      </vt:variant>
      <vt:variant>
        <vt:i4>242</vt:i4>
      </vt:variant>
      <vt:variant>
        <vt:i4>0</vt:i4>
      </vt:variant>
      <vt:variant>
        <vt:i4>5</vt:i4>
      </vt:variant>
      <vt:variant>
        <vt:lpwstr/>
      </vt:variant>
      <vt:variant>
        <vt:lpwstr>_Toc279746134</vt:lpwstr>
      </vt:variant>
      <vt:variant>
        <vt:i4>1179710</vt:i4>
      </vt:variant>
      <vt:variant>
        <vt:i4>236</vt:i4>
      </vt:variant>
      <vt:variant>
        <vt:i4>0</vt:i4>
      </vt:variant>
      <vt:variant>
        <vt:i4>5</vt:i4>
      </vt:variant>
      <vt:variant>
        <vt:lpwstr/>
      </vt:variant>
      <vt:variant>
        <vt:lpwstr>_Toc279746133</vt:lpwstr>
      </vt:variant>
      <vt:variant>
        <vt:i4>1179710</vt:i4>
      </vt:variant>
      <vt:variant>
        <vt:i4>230</vt:i4>
      </vt:variant>
      <vt:variant>
        <vt:i4>0</vt:i4>
      </vt:variant>
      <vt:variant>
        <vt:i4>5</vt:i4>
      </vt:variant>
      <vt:variant>
        <vt:lpwstr/>
      </vt:variant>
      <vt:variant>
        <vt:lpwstr>_Toc279746132</vt:lpwstr>
      </vt:variant>
      <vt:variant>
        <vt:i4>1179710</vt:i4>
      </vt:variant>
      <vt:variant>
        <vt:i4>224</vt:i4>
      </vt:variant>
      <vt:variant>
        <vt:i4>0</vt:i4>
      </vt:variant>
      <vt:variant>
        <vt:i4>5</vt:i4>
      </vt:variant>
      <vt:variant>
        <vt:lpwstr/>
      </vt:variant>
      <vt:variant>
        <vt:lpwstr>_Toc279746131</vt:lpwstr>
      </vt:variant>
      <vt:variant>
        <vt:i4>1179710</vt:i4>
      </vt:variant>
      <vt:variant>
        <vt:i4>218</vt:i4>
      </vt:variant>
      <vt:variant>
        <vt:i4>0</vt:i4>
      </vt:variant>
      <vt:variant>
        <vt:i4>5</vt:i4>
      </vt:variant>
      <vt:variant>
        <vt:lpwstr/>
      </vt:variant>
      <vt:variant>
        <vt:lpwstr>_Toc279746130</vt:lpwstr>
      </vt:variant>
      <vt:variant>
        <vt:i4>1245246</vt:i4>
      </vt:variant>
      <vt:variant>
        <vt:i4>212</vt:i4>
      </vt:variant>
      <vt:variant>
        <vt:i4>0</vt:i4>
      </vt:variant>
      <vt:variant>
        <vt:i4>5</vt:i4>
      </vt:variant>
      <vt:variant>
        <vt:lpwstr/>
      </vt:variant>
      <vt:variant>
        <vt:lpwstr>_Toc279746129</vt:lpwstr>
      </vt:variant>
      <vt:variant>
        <vt:i4>1245246</vt:i4>
      </vt:variant>
      <vt:variant>
        <vt:i4>206</vt:i4>
      </vt:variant>
      <vt:variant>
        <vt:i4>0</vt:i4>
      </vt:variant>
      <vt:variant>
        <vt:i4>5</vt:i4>
      </vt:variant>
      <vt:variant>
        <vt:lpwstr/>
      </vt:variant>
      <vt:variant>
        <vt:lpwstr>_Toc279746128</vt:lpwstr>
      </vt:variant>
      <vt:variant>
        <vt:i4>1245246</vt:i4>
      </vt:variant>
      <vt:variant>
        <vt:i4>200</vt:i4>
      </vt:variant>
      <vt:variant>
        <vt:i4>0</vt:i4>
      </vt:variant>
      <vt:variant>
        <vt:i4>5</vt:i4>
      </vt:variant>
      <vt:variant>
        <vt:lpwstr/>
      </vt:variant>
      <vt:variant>
        <vt:lpwstr>_Toc279746127</vt:lpwstr>
      </vt:variant>
      <vt:variant>
        <vt:i4>1245246</vt:i4>
      </vt:variant>
      <vt:variant>
        <vt:i4>194</vt:i4>
      </vt:variant>
      <vt:variant>
        <vt:i4>0</vt:i4>
      </vt:variant>
      <vt:variant>
        <vt:i4>5</vt:i4>
      </vt:variant>
      <vt:variant>
        <vt:lpwstr/>
      </vt:variant>
      <vt:variant>
        <vt:lpwstr>_Toc279746126</vt:lpwstr>
      </vt:variant>
      <vt:variant>
        <vt:i4>1245246</vt:i4>
      </vt:variant>
      <vt:variant>
        <vt:i4>188</vt:i4>
      </vt:variant>
      <vt:variant>
        <vt:i4>0</vt:i4>
      </vt:variant>
      <vt:variant>
        <vt:i4>5</vt:i4>
      </vt:variant>
      <vt:variant>
        <vt:lpwstr/>
      </vt:variant>
      <vt:variant>
        <vt:lpwstr>_Toc279746125</vt:lpwstr>
      </vt:variant>
      <vt:variant>
        <vt:i4>1245246</vt:i4>
      </vt:variant>
      <vt:variant>
        <vt:i4>182</vt:i4>
      </vt:variant>
      <vt:variant>
        <vt:i4>0</vt:i4>
      </vt:variant>
      <vt:variant>
        <vt:i4>5</vt:i4>
      </vt:variant>
      <vt:variant>
        <vt:lpwstr/>
      </vt:variant>
      <vt:variant>
        <vt:lpwstr>_Toc279746124</vt:lpwstr>
      </vt:variant>
      <vt:variant>
        <vt:i4>1245246</vt:i4>
      </vt:variant>
      <vt:variant>
        <vt:i4>176</vt:i4>
      </vt:variant>
      <vt:variant>
        <vt:i4>0</vt:i4>
      </vt:variant>
      <vt:variant>
        <vt:i4>5</vt:i4>
      </vt:variant>
      <vt:variant>
        <vt:lpwstr/>
      </vt:variant>
      <vt:variant>
        <vt:lpwstr>_Toc279746123</vt:lpwstr>
      </vt:variant>
      <vt:variant>
        <vt:i4>1245246</vt:i4>
      </vt:variant>
      <vt:variant>
        <vt:i4>170</vt:i4>
      </vt:variant>
      <vt:variant>
        <vt:i4>0</vt:i4>
      </vt:variant>
      <vt:variant>
        <vt:i4>5</vt:i4>
      </vt:variant>
      <vt:variant>
        <vt:lpwstr/>
      </vt:variant>
      <vt:variant>
        <vt:lpwstr>_Toc279746122</vt:lpwstr>
      </vt:variant>
      <vt:variant>
        <vt:i4>1245246</vt:i4>
      </vt:variant>
      <vt:variant>
        <vt:i4>164</vt:i4>
      </vt:variant>
      <vt:variant>
        <vt:i4>0</vt:i4>
      </vt:variant>
      <vt:variant>
        <vt:i4>5</vt:i4>
      </vt:variant>
      <vt:variant>
        <vt:lpwstr/>
      </vt:variant>
      <vt:variant>
        <vt:lpwstr>_Toc279746121</vt:lpwstr>
      </vt:variant>
      <vt:variant>
        <vt:i4>1245246</vt:i4>
      </vt:variant>
      <vt:variant>
        <vt:i4>158</vt:i4>
      </vt:variant>
      <vt:variant>
        <vt:i4>0</vt:i4>
      </vt:variant>
      <vt:variant>
        <vt:i4>5</vt:i4>
      </vt:variant>
      <vt:variant>
        <vt:lpwstr/>
      </vt:variant>
      <vt:variant>
        <vt:lpwstr>_Toc279746120</vt:lpwstr>
      </vt:variant>
      <vt:variant>
        <vt:i4>1048638</vt:i4>
      </vt:variant>
      <vt:variant>
        <vt:i4>152</vt:i4>
      </vt:variant>
      <vt:variant>
        <vt:i4>0</vt:i4>
      </vt:variant>
      <vt:variant>
        <vt:i4>5</vt:i4>
      </vt:variant>
      <vt:variant>
        <vt:lpwstr/>
      </vt:variant>
      <vt:variant>
        <vt:lpwstr>_Toc279746119</vt:lpwstr>
      </vt:variant>
      <vt:variant>
        <vt:i4>1048638</vt:i4>
      </vt:variant>
      <vt:variant>
        <vt:i4>146</vt:i4>
      </vt:variant>
      <vt:variant>
        <vt:i4>0</vt:i4>
      </vt:variant>
      <vt:variant>
        <vt:i4>5</vt:i4>
      </vt:variant>
      <vt:variant>
        <vt:lpwstr/>
      </vt:variant>
      <vt:variant>
        <vt:lpwstr>_Toc279746118</vt:lpwstr>
      </vt:variant>
      <vt:variant>
        <vt:i4>1048638</vt:i4>
      </vt:variant>
      <vt:variant>
        <vt:i4>140</vt:i4>
      </vt:variant>
      <vt:variant>
        <vt:i4>0</vt:i4>
      </vt:variant>
      <vt:variant>
        <vt:i4>5</vt:i4>
      </vt:variant>
      <vt:variant>
        <vt:lpwstr/>
      </vt:variant>
      <vt:variant>
        <vt:lpwstr>_Toc279746117</vt:lpwstr>
      </vt:variant>
      <vt:variant>
        <vt:i4>1048638</vt:i4>
      </vt:variant>
      <vt:variant>
        <vt:i4>134</vt:i4>
      </vt:variant>
      <vt:variant>
        <vt:i4>0</vt:i4>
      </vt:variant>
      <vt:variant>
        <vt:i4>5</vt:i4>
      </vt:variant>
      <vt:variant>
        <vt:lpwstr/>
      </vt:variant>
      <vt:variant>
        <vt:lpwstr>_Toc279746116</vt:lpwstr>
      </vt:variant>
      <vt:variant>
        <vt:i4>1048638</vt:i4>
      </vt:variant>
      <vt:variant>
        <vt:i4>128</vt:i4>
      </vt:variant>
      <vt:variant>
        <vt:i4>0</vt:i4>
      </vt:variant>
      <vt:variant>
        <vt:i4>5</vt:i4>
      </vt:variant>
      <vt:variant>
        <vt:lpwstr/>
      </vt:variant>
      <vt:variant>
        <vt:lpwstr>_Toc279746115</vt:lpwstr>
      </vt:variant>
      <vt:variant>
        <vt:i4>1048638</vt:i4>
      </vt:variant>
      <vt:variant>
        <vt:i4>122</vt:i4>
      </vt:variant>
      <vt:variant>
        <vt:i4>0</vt:i4>
      </vt:variant>
      <vt:variant>
        <vt:i4>5</vt:i4>
      </vt:variant>
      <vt:variant>
        <vt:lpwstr/>
      </vt:variant>
      <vt:variant>
        <vt:lpwstr>_Toc279746114</vt:lpwstr>
      </vt:variant>
      <vt:variant>
        <vt:i4>1048638</vt:i4>
      </vt:variant>
      <vt:variant>
        <vt:i4>116</vt:i4>
      </vt:variant>
      <vt:variant>
        <vt:i4>0</vt:i4>
      </vt:variant>
      <vt:variant>
        <vt:i4>5</vt:i4>
      </vt:variant>
      <vt:variant>
        <vt:lpwstr/>
      </vt:variant>
      <vt:variant>
        <vt:lpwstr>_Toc279746113</vt:lpwstr>
      </vt:variant>
      <vt:variant>
        <vt:i4>1048638</vt:i4>
      </vt:variant>
      <vt:variant>
        <vt:i4>110</vt:i4>
      </vt:variant>
      <vt:variant>
        <vt:i4>0</vt:i4>
      </vt:variant>
      <vt:variant>
        <vt:i4>5</vt:i4>
      </vt:variant>
      <vt:variant>
        <vt:lpwstr/>
      </vt:variant>
      <vt:variant>
        <vt:lpwstr>_Toc279746112</vt:lpwstr>
      </vt:variant>
      <vt:variant>
        <vt:i4>1048638</vt:i4>
      </vt:variant>
      <vt:variant>
        <vt:i4>104</vt:i4>
      </vt:variant>
      <vt:variant>
        <vt:i4>0</vt:i4>
      </vt:variant>
      <vt:variant>
        <vt:i4>5</vt:i4>
      </vt:variant>
      <vt:variant>
        <vt:lpwstr/>
      </vt:variant>
      <vt:variant>
        <vt:lpwstr>_Toc279746111</vt:lpwstr>
      </vt:variant>
      <vt:variant>
        <vt:i4>1048638</vt:i4>
      </vt:variant>
      <vt:variant>
        <vt:i4>98</vt:i4>
      </vt:variant>
      <vt:variant>
        <vt:i4>0</vt:i4>
      </vt:variant>
      <vt:variant>
        <vt:i4>5</vt:i4>
      </vt:variant>
      <vt:variant>
        <vt:lpwstr/>
      </vt:variant>
      <vt:variant>
        <vt:lpwstr>_Toc279746110</vt:lpwstr>
      </vt:variant>
      <vt:variant>
        <vt:i4>1114174</vt:i4>
      </vt:variant>
      <vt:variant>
        <vt:i4>92</vt:i4>
      </vt:variant>
      <vt:variant>
        <vt:i4>0</vt:i4>
      </vt:variant>
      <vt:variant>
        <vt:i4>5</vt:i4>
      </vt:variant>
      <vt:variant>
        <vt:lpwstr/>
      </vt:variant>
      <vt:variant>
        <vt:lpwstr>_Toc279746109</vt:lpwstr>
      </vt:variant>
      <vt:variant>
        <vt:i4>1114174</vt:i4>
      </vt:variant>
      <vt:variant>
        <vt:i4>86</vt:i4>
      </vt:variant>
      <vt:variant>
        <vt:i4>0</vt:i4>
      </vt:variant>
      <vt:variant>
        <vt:i4>5</vt:i4>
      </vt:variant>
      <vt:variant>
        <vt:lpwstr/>
      </vt:variant>
      <vt:variant>
        <vt:lpwstr>_Toc279746108</vt:lpwstr>
      </vt:variant>
      <vt:variant>
        <vt:i4>1114174</vt:i4>
      </vt:variant>
      <vt:variant>
        <vt:i4>80</vt:i4>
      </vt:variant>
      <vt:variant>
        <vt:i4>0</vt:i4>
      </vt:variant>
      <vt:variant>
        <vt:i4>5</vt:i4>
      </vt:variant>
      <vt:variant>
        <vt:lpwstr/>
      </vt:variant>
      <vt:variant>
        <vt:lpwstr>_Toc279746107</vt:lpwstr>
      </vt:variant>
      <vt:variant>
        <vt:i4>1114174</vt:i4>
      </vt:variant>
      <vt:variant>
        <vt:i4>74</vt:i4>
      </vt:variant>
      <vt:variant>
        <vt:i4>0</vt:i4>
      </vt:variant>
      <vt:variant>
        <vt:i4>5</vt:i4>
      </vt:variant>
      <vt:variant>
        <vt:lpwstr/>
      </vt:variant>
      <vt:variant>
        <vt:lpwstr>_Toc279746106</vt:lpwstr>
      </vt:variant>
      <vt:variant>
        <vt:i4>1114174</vt:i4>
      </vt:variant>
      <vt:variant>
        <vt:i4>68</vt:i4>
      </vt:variant>
      <vt:variant>
        <vt:i4>0</vt:i4>
      </vt:variant>
      <vt:variant>
        <vt:i4>5</vt:i4>
      </vt:variant>
      <vt:variant>
        <vt:lpwstr/>
      </vt:variant>
      <vt:variant>
        <vt:lpwstr>_Toc279746105</vt:lpwstr>
      </vt:variant>
      <vt:variant>
        <vt:i4>1114174</vt:i4>
      </vt:variant>
      <vt:variant>
        <vt:i4>62</vt:i4>
      </vt:variant>
      <vt:variant>
        <vt:i4>0</vt:i4>
      </vt:variant>
      <vt:variant>
        <vt:i4>5</vt:i4>
      </vt:variant>
      <vt:variant>
        <vt:lpwstr/>
      </vt:variant>
      <vt:variant>
        <vt:lpwstr>_Toc279746104</vt:lpwstr>
      </vt:variant>
      <vt:variant>
        <vt:i4>1114174</vt:i4>
      </vt:variant>
      <vt:variant>
        <vt:i4>56</vt:i4>
      </vt:variant>
      <vt:variant>
        <vt:i4>0</vt:i4>
      </vt:variant>
      <vt:variant>
        <vt:i4>5</vt:i4>
      </vt:variant>
      <vt:variant>
        <vt:lpwstr/>
      </vt:variant>
      <vt:variant>
        <vt:lpwstr>_Toc279746103</vt:lpwstr>
      </vt:variant>
      <vt:variant>
        <vt:i4>1114174</vt:i4>
      </vt:variant>
      <vt:variant>
        <vt:i4>50</vt:i4>
      </vt:variant>
      <vt:variant>
        <vt:i4>0</vt:i4>
      </vt:variant>
      <vt:variant>
        <vt:i4>5</vt:i4>
      </vt:variant>
      <vt:variant>
        <vt:lpwstr/>
      </vt:variant>
      <vt:variant>
        <vt:lpwstr>_Toc279746102</vt:lpwstr>
      </vt:variant>
      <vt:variant>
        <vt:i4>1114174</vt:i4>
      </vt:variant>
      <vt:variant>
        <vt:i4>44</vt:i4>
      </vt:variant>
      <vt:variant>
        <vt:i4>0</vt:i4>
      </vt:variant>
      <vt:variant>
        <vt:i4>5</vt:i4>
      </vt:variant>
      <vt:variant>
        <vt:lpwstr/>
      </vt:variant>
      <vt:variant>
        <vt:lpwstr>_Toc279746101</vt:lpwstr>
      </vt:variant>
      <vt:variant>
        <vt:i4>1114174</vt:i4>
      </vt:variant>
      <vt:variant>
        <vt:i4>38</vt:i4>
      </vt:variant>
      <vt:variant>
        <vt:i4>0</vt:i4>
      </vt:variant>
      <vt:variant>
        <vt:i4>5</vt:i4>
      </vt:variant>
      <vt:variant>
        <vt:lpwstr/>
      </vt:variant>
      <vt:variant>
        <vt:lpwstr>_Toc279746100</vt:lpwstr>
      </vt:variant>
      <vt:variant>
        <vt:i4>1572927</vt:i4>
      </vt:variant>
      <vt:variant>
        <vt:i4>32</vt:i4>
      </vt:variant>
      <vt:variant>
        <vt:i4>0</vt:i4>
      </vt:variant>
      <vt:variant>
        <vt:i4>5</vt:i4>
      </vt:variant>
      <vt:variant>
        <vt:lpwstr/>
      </vt:variant>
      <vt:variant>
        <vt:lpwstr>_Toc279746099</vt:lpwstr>
      </vt:variant>
      <vt:variant>
        <vt:i4>1572927</vt:i4>
      </vt:variant>
      <vt:variant>
        <vt:i4>26</vt:i4>
      </vt:variant>
      <vt:variant>
        <vt:i4>0</vt:i4>
      </vt:variant>
      <vt:variant>
        <vt:i4>5</vt:i4>
      </vt:variant>
      <vt:variant>
        <vt:lpwstr/>
      </vt:variant>
      <vt:variant>
        <vt:lpwstr>_Toc279746098</vt:lpwstr>
      </vt:variant>
      <vt:variant>
        <vt:i4>1572927</vt:i4>
      </vt:variant>
      <vt:variant>
        <vt:i4>20</vt:i4>
      </vt:variant>
      <vt:variant>
        <vt:i4>0</vt:i4>
      </vt:variant>
      <vt:variant>
        <vt:i4>5</vt:i4>
      </vt:variant>
      <vt:variant>
        <vt:lpwstr/>
      </vt:variant>
      <vt:variant>
        <vt:lpwstr>_Toc279746097</vt:lpwstr>
      </vt:variant>
      <vt:variant>
        <vt:i4>1572927</vt:i4>
      </vt:variant>
      <vt:variant>
        <vt:i4>14</vt:i4>
      </vt:variant>
      <vt:variant>
        <vt:i4>0</vt:i4>
      </vt:variant>
      <vt:variant>
        <vt:i4>5</vt:i4>
      </vt:variant>
      <vt:variant>
        <vt:lpwstr/>
      </vt:variant>
      <vt:variant>
        <vt:lpwstr>_Toc279746096</vt:lpwstr>
      </vt:variant>
      <vt:variant>
        <vt:i4>1572927</vt:i4>
      </vt:variant>
      <vt:variant>
        <vt:i4>8</vt:i4>
      </vt:variant>
      <vt:variant>
        <vt:i4>0</vt:i4>
      </vt:variant>
      <vt:variant>
        <vt:i4>5</vt:i4>
      </vt:variant>
      <vt:variant>
        <vt:lpwstr/>
      </vt:variant>
      <vt:variant>
        <vt:lpwstr>_Toc279746095</vt:lpwstr>
      </vt:variant>
      <vt:variant>
        <vt:i4>1572927</vt:i4>
      </vt:variant>
      <vt:variant>
        <vt:i4>2</vt:i4>
      </vt:variant>
      <vt:variant>
        <vt:i4>0</vt:i4>
      </vt:variant>
      <vt:variant>
        <vt:i4>5</vt:i4>
      </vt:variant>
      <vt:variant>
        <vt:lpwstr/>
      </vt:variant>
      <vt:variant>
        <vt:lpwstr>_Toc279746094</vt:lpwstr>
      </vt:variant>
      <vt:variant>
        <vt:i4>5963855</vt:i4>
      </vt:variant>
      <vt:variant>
        <vt:i4>0</vt:i4>
      </vt:variant>
      <vt:variant>
        <vt:i4>0</vt:i4>
      </vt:variant>
      <vt:variant>
        <vt:i4>5</vt:i4>
      </vt:variant>
      <vt:variant>
        <vt:lpwstr>http://www.rokovania.sk/appl/material.nsf/0/80A7136468CAE5B0C12574DA00267103?OpenDocument</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Operačný program Integrovaná infraštruktúra 2014 - 2020</dc:title>
  <dc:creator>Oddelenie programovania dopravnej infraštruktúry</dc:creator>
  <cp:lastModifiedBy>behil</cp:lastModifiedBy>
  <cp:revision>24</cp:revision>
  <cp:lastPrinted>2014-04-04T11:39:00Z</cp:lastPrinted>
  <dcterms:created xsi:type="dcterms:W3CDTF">2014-04-17T13:28:00Z</dcterms:created>
  <dcterms:modified xsi:type="dcterms:W3CDTF">2014-04-23T12:17:00Z</dcterms:modified>
</cp:coreProperties>
</file>